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D9488"/>
          <w:sz w:val="17"/>
        </w:rPr>
        <w:t>DATAGAN 360 • ECOSISTEMA AGROPECUARIO DIGITAL • PLANTILLA EDITABLE</w:t>
      </w:r>
    </w:p>
    <w:p>
      <w:pPr>
        <w:spacing w:after="40"/>
      </w:pPr>
      <w:r>
        <w:rPr>
          <w:rFonts w:ascii="Calibri" w:hAnsi="Calibri"/>
          <w:b/>
          <w:color w:val="1A365D"/>
          <w:sz w:val="40"/>
        </w:rPr>
        <w:t>Criterios de Selección Genética y Cuadro de Honor (Word)</w:t>
      </w:r>
    </w:p>
    <w:p>
      <w:pPr>
        <w:spacing w:after="200"/>
      </w:pPr>
      <w:r>
        <w:rPr>
          <w:rFonts w:ascii="Calibri" w:hAnsi="Calibri"/>
          <w:i/>
          <w:color w:val="64748B"/>
          <w:sz w:val="20"/>
        </w:rPr>
        <w:t>Emisión Oficial: Laboratorio de Mejoramiento Genético IPT | Validez Zootécnica &amp; Operativa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</w:tcPr>
          <w:p>
            <w:pPr>
              <w:spacing w:after="80" w:before="80"/>
            </w:pPr>
            <w:r>
              <w:rPr>
                <w:rFonts w:ascii="Calibri" w:hAnsi="Calibri"/>
                <w:color w:val="0F766E"/>
                <w:sz w:val="19"/>
              </w:rPr>
              <w:t>Alcance Técnico del Documento: Metodología zootécnica para identificar a las donadoras más productivas, toros de mayor ganancia y praderas de máxima densidad energética.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rFonts w:ascii="Calibri" w:hAnsi="Calibri"/>
          <w:b/>
          <w:color w:val="1A365D"/>
          <w:sz w:val="24"/>
        </w:rPr>
        <w:t>1. Cuadro de Honor Productivo</w:t>
      </w:r>
    </w:p>
    <w:p>
      <w:pPr>
        <w:spacing w:after="120"/>
      </w:pPr>
      <w:r>
        <w:rPr>
          <w:rFonts w:ascii="Calibri" w:hAnsi="Calibri"/>
          <w:color w:val="1E293B"/>
          <w:sz w:val="20"/>
        </w:rPr>
        <w:t>Algoritmo de clasificación de los diez mejores ejemplares en producción de leche y velocidad de crecimiento en bábcula (GDP).</w:t>
      </w:r>
    </w:p>
    <w:p>
      <w:pPr>
        <w:spacing w:before="160" w:after="40"/>
      </w:pPr>
      <w:r>
        <w:rPr>
          <w:rFonts w:ascii="Calibri" w:hAnsi="Calibri"/>
          <w:b/>
          <w:color w:val="1A365D"/>
          <w:sz w:val="24"/>
        </w:rPr>
        <w:t>2. Vigilancia contra Sobrepastoreo</w:t>
      </w:r>
    </w:p>
    <w:p>
      <w:pPr>
        <w:spacing w:after="120"/>
      </w:pPr>
      <w:r>
        <w:rPr>
          <w:rFonts w:ascii="Calibri" w:hAnsi="Calibri"/>
          <w:color w:val="1E293B"/>
          <w:sz w:val="20"/>
        </w:rPr>
        <w:t>Monitoreo de días continuos de ocupación de praderas para garantizar que el rebrote forrajero alcance el punto óptimo de proteína foliar.</w:t>
      </w:r>
    </w:p>
    <w:p>
      <w:pPr>
        <w:spacing w:before="160" w:after="40"/>
      </w:pPr>
      <w:r>
        <w:rPr>
          <w:rFonts w:ascii="Calibri" w:hAnsi="Calibri"/>
          <w:b/>
          <w:color w:val="1A365D"/>
          <w:sz w:val="24"/>
        </w:rPr>
        <w:t>3. Identificación de Pérdidas y Mayores Gastos</w:t>
      </w:r>
    </w:p>
    <w:p>
      <w:pPr>
        <w:spacing w:after="120"/>
      </w:pPr>
      <w:r>
        <w:rPr>
          <w:rFonts w:ascii="Calibri" w:hAnsi="Calibri"/>
          <w:color w:val="1E293B"/>
          <w:sz w:val="20"/>
        </w:rPr>
        <w:t>Detección rápida de las cinco principales patologías clínicas y rubros financieros donde se concentra el presupuesto operativo.</w:t>
      </w:r>
    </w:p>
    <w:p>
      <w:pPr>
        <w:spacing w:before="200" w:after="80"/>
      </w:pPr>
      <w:r>
        <w:rPr>
          <w:rFonts w:ascii="Calibri" w:hAnsi="Calibri"/>
          <w:b/>
          <w:color w:val="1A365D"/>
          <w:sz w:val="22"/>
        </w:rPr>
        <w:t>Checklist y Hoja de Control Operativo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A365D"/>
          </w:tcPr>
          <w:p>
            <w:r>
              <w:rPr>
                <w:b/>
                <w:color w:val="FFFFFF"/>
                <w:sz w:val="18"/>
              </w:rPr>
              <w:t>Aspecto de Verificación</w:t>
            </w:r>
          </w:p>
        </w:tc>
        <w:tc>
          <w:tcPr>
            <w:tcW w:type="dxa" w:w="3312"/>
            <w:shd w:fill="1A365D"/>
          </w:tcPr>
          <w:p>
            <w:r>
              <w:rPr>
                <w:b/>
                <w:color w:val="FFFFFF"/>
                <w:sz w:val="18"/>
              </w:rPr>
              <w:t>Estado en Finca</w:t>
            </w:r>
          </w:p>
        </w:tc>
        <w:tc>
          <w:tcPr>
            <w:tcW w:type="dxa" w:w="3312"/>
            <w:shd w:fill="1A365D"/>
          </w:tcPr>
          <w:p>
            <w:r>
              <w:rPr>
                <w:b/>
                <w:color w:val="FFFFFF"/>
                <w:sz w:val="18"/>
              </w:rPr>
              <w:t>Firma Responsable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Parametrización e Integración de Datos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Validado y Enlazado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Administrador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Inspección de Lotes y Registros Biológicos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Conforme a Norma ICA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Médico Veterinario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Auditoría de Movimientos y Costos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Cuadrado con Banco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Contador / Mayordomo</w:t>
            </w:r>
          </w:p>
        </w:tc>
      </w:tr>
    </w:tbl>
    <w:p>
      <w:pPr>
        <w:jc w:val="center"/>
      </w:pPr>
      <w:r>
        <w:rPr>
          <w:rFonts w:ascii="Calibri" w:hAnsi="Calibri"/>
          <w:color w:val="94A3B8"/>
          <w:sz w:val="16"/>
        </w:rPr>
        <w:br/>
        <w:t>Documento oficial editable emitido para la comunidad de aprendizaje DataGan 360 • IPT.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