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D9488"/>
          <w:sz w:val="17"/>
        </w:rPr>
        <w:t>DATAGAN 360 • ECOSISTEMA AGROPECUARIO DIGITAL • PLANTILLA EDITABLE</w:t>
      </w:r>
    </w:p>
    <w:p>
      <w:pPr>
        <w:spacing w:after="40"/>
      </w:pPr>
      <w:r>
        <w:rPr>
          <w:rFonts w:ascii="Calibri" w:hAnsi="Calibri"/>
          <w:b/>
          <w:color w:val="1A365D"/>
          <w:sz w:val="40"/>
        </w:rPr>
        <w:t>Formato de Registro de Nacimientos y Certificado de Pedigrí (Word)</w:t>
      </w:r>
    </w:p>
    <w:p>
      <w:pPr>
        <w:spacing w:after="200"/>
      </w:pPr>
      <w:r>
        <w:rPr>
          <w:rFonts w:ascii="Calibri" w:hAnsi="Calibri"/>
          <w:i/>
          <w:color w:val="64748B"/>
          <w:sz w:val="20"/>
        </w:rPr>
        <w:t>Emisión Oficial: Asociación de Criadores &amp; DataGan 360 | Validez Zootécnica &amp; Operativa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</w:tcPr>
          <w:p>
            <w:pPr>
              <w:spacing w:after="80" w:before="80"/>
            </w:pPr>
            <w:r>
              <w:rPr>
                <w:rFonts w:ascii="Calibri" w:hAnsi="Calibri"/>
                <w:color w:val="0F766E"/>
                <w:sz w:val="19"/>
              </w:rPr>
              <w:t>Alcance Técnico del Documento: Protocolo para alta de terneros recién nacidos, cálculo de consanguinidad familiar, asignación de chapeta y generación del árbol genealógico.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Calibri" w:hAnsi="Calibri"/>
          <w:b/>
          <w:color w:val="1A365D"/>
          <w:sz w:val="24"/>
        </w:rPr>
        <w:t>1. Alta Atómica de Nuevos Ejemplares</w:t>
      </w:r>
    </w:p>
    <w:p>
      <w:pPr>
        <w:spacing w:after="120"/>
      </w:pPr>
      <w:r>
        <w:rPr>
          <w:rFonts w:ascii="Calibri" w:hAnsi="Calibri"/>
          <w:color w:val="1E293B"/>
          <w:sz w:val="20"/>
        </w:rPr>
        <w:t>Al presionar 'Guardar Nacimiento' se suma el parto a la madre, se crea el ternero en Bovinos y se enlaza su árbol genealógico.</w:t>
      </w:r>
    </w:p>
    <w:p>
      <w:pPr>
        <w:spacing w:before="160" w:after="40"/>
      </w:pPr>
      <w:r>
        <w:rPr>
          <w:rFonts w:ascii="Calibri" w:hAnsi="Calibri"/>
          <w:b/>
          <w:color w:val="1A365D"/>
          <w:sz w:val="24"/>
        </w:rPr>
        <w:t>2. Identificación Inmediata en Manga</w:t>
      </w:r>
    </w:p>
    <w:p>
      <w:pPr>
        <w:spacing w:after="120"/>
      </w:pPr>
      <w:r>
        <w:rPr>
          <w:rFonts w:ascii="Calibri" w:hAnsi="Calibri"/>
          <w:color w:val="1E293B"/>
          <w:sz w:val="20"/>
        </w:rPr>
        <w:t>Registro de peso al nacer, sexo, número de chapeta visual, microchip RFID y valor comercial inicial.</w:t>
      </w:r>
    </w:p>
    <w:p>
      <w:pPr>
        <w:spacing w:before="160" w:after="40"/>
      </w:pPr>
      <w:r>
        <w:rPr>
          <w:rFonts w:ascii="Calibri" w:hAnsi="Calibri"/>
          <w:b/>
          <w:color w:val="1A365D"/>
          <w:sz w:val="24"/>
        </w:rPr>
        <w:t>3. Navegación del Árbol de Pedigrí</w:t>
      </w:r>
    </w:p>
    <w:p>
      <w:pPr>
        <w:spacing w:after="120"/>
      </w:pPr>
      <w:r>
        <w:rPr>
          <w:rFonts w:ascii="Calibri" w:hAnsi="Calibri"/>
          <w:color w:val="1E293B"/>
          <w:sz w:val="20"/>
        </w:rPr>
        <w:t>Exploración interactiva de ancestros (padres, abuelos, bisabuelos) con exportación directa de certificados de pureza en PDF.</w:t>
      </w:r>
    </w:p>
    <w:p>
      <w:pPr>
        <w:spacing w:before="200" w:after="80"/>
      </w:pPr>
      <w:r>
        <w:rPr>
          <w:rFonts w:ascii="Calibri" w:hAnsi="Calibri"/>
          <w:b/>
          <w:color w:val="1A365D"/>
          <w:sz w:val="22"/>
        </w:rPr>
        <w:t>Checklist y Hoja de Control Operativo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A365D"/>
          </w:tcPr>
          <w:p>
            <w:r>
              <w:rPr>
                <w:b/>
                <w:color w:val="FFFFFF"/>
                <w:sz w:val="18"/>
              </w:rPr>
              <w:t>Aspecto de Verificación</w:t>
            </w:r>
          </w:p>
        </w:tc>
        <w:tc>
          <w:tcPr>
            <w:tcW w:type="dxa" w:w="3312"/>
            <w:shd w:fill="1A365D"/>
          </w:tcPr>
          <w:p>
            <w:r>
              <w:rPr>
                <w:b/>
                <w:color w:val="FFFFFF"/>
                <w:sz w:val="18"/>
              </w:rPr>
              <w:t>Estado en Finca</w:t>
            </w:r>
          </w:p>
        </w:tc>
        <w:tc>
          <w:tcPr>
            <w:tcW w:type="dxa" w:w="3312"/>
            <w:shd w:fill="1A365D"/>
          </w:tcPr>
          <w:p>
            <w:r>
              <w:rPr>
                <w:b/>
                <w:color w:val="FFFFFF"/>
                <w:sz w:val="18"/>
              </w:rPr>
              <w:t>Firma Responsable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Parametrización e Integración de Datos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Validado y Enlazado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Administrador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Inspección de Lotes y Registros Biológicos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Conforme a Norma ICA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Médico Veterinario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Auditoría de Movimientos y Costos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Cuadrado con Banco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Contador / Mayordomo</w:t>
            </w:r>
          </w:p>
        </w:tc>
      </w:tr>
    </w:tbl>
    <w:p>
      <w:pPr>
        <w:jc w:val="center"/>
      </w:pPr>
      <w:r>
        <w:rPr>
          <w:rFonts w:ascii="Calibri" w:hAnsi="Calibri"/>
          <w:color w:val="94A3B8"/>
          <w:sz w:val="16"/>
        </w:rPr>
        <w:br/>
        <w:t>Documento oficial editable emitido para la comunidad de aprendizaje DataGan 360 • IPT.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