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D9488"/>
          <w:sz w:val="17"/>
        </w:rPr>
        <w:t>DATAGAN 360 • ECOSISTEMA AGROPECUARIO DIGITAL • PLANTILLA EDITABLE</w:t>
      </w:r>
    </w:p>
    <w:p>
      <w:pPr>
        <w:spacing w:after="40"/>
      </w:pPr>
      <w:r>
        <w:rPr>
          <w:rFonts w:ascii="Calibri" w:hAnsi="Calibri"/>
          <w:b/>
          <w:color w:val="1A365D"/>
          <w:sz w:val="40"/>
        </w:rPr>
        <w:t>Plantilla Maestra de Gestión de Terceros y RUT (Word)</w:t>
      </w:r>
    </w:p>
    <w:p>
      <w:pPr>
        <w:spacing w:after="200"/>
      </w:pPr>
      <w:r>
        <w:rPr>
          <w:rFonts w:ascii="Calibri" w:hAnsi="Calibri"/>
          <w:i/>
          <w:color w:val="64748B"/>
          <w:sz w:val="20"/>
        </w:rPr>
        <w:t>Emisión Oficial: Gerencia Operativa y Jurídica IPT | Validez Zootécnica &amp; Operativa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</w:tcPr>
          <w:p>
            <w:pPr>
              <w:spacing w:after="80" w:before="80"/>
            </w:pPr>
            <w:r>
              <w:rPr>
                <w:rFonts w:ascii="Calibri" w:hAnsi="Calibri"/>
                <w:color w:val="0F766E"/>
                <w:sz w:val="19"/>
              </w:rPr>
              <w:t>Alcance Técnico del Documento: Ficha corporativa editable para homologación de proveedores agropecuarios, compradores lecheros y transportadores con validación ICA.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1. Clasificación de Actores Comerciales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Diferenciación entre Personas Naturales (Cédula de Ciudadanía) y Empresas Jurídicas (NIT sin dígito de verificación y código de sucursal comercial).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2. Validación de Expresiones Regulares en Campo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Los formularios exigen patrones de formato internacional en teléfonos celulares y correos electrónicos, reflejando un reborde verde activo de validación.</w:t>
      </w:r>
    </w:p>
    <w:p>
      <w:pPr>
        <w:spacing w:before="160" w:after="40"/>
      </w:pPr>
      <w:r>
        <w:rPr>
          <w:rFonts w:ascii="Calibri" w:hAnsi="Calibri"/>
          <w:b/>
          <w:color w:val="1A365D"/>
          <w:sz w:val="24"/>
        </w:rPr>
        <w:t>3. Asignación de Roles Múltiples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Un mismo tercero puede fungir como proveedor de insumos, cliente de leche y socio propietario en traslados de ganado sin duplicidad de NIT.</w:t>
      </w:r>
    </w:p>
    <w:p>
      <w:pPr>
        <w:spacing w:before="200" w:after="80"/>
      </w:pPr>
      <w:r>
        <w:rPr>
          <w:rFonts w:ascii="Calibri" w:hAnsi="Calibri"/>
          <w:b/>
          <w:color w:val="1A365D"/>
          <w:sz w:val="22"/>
        </w:rPr>
        <w:t>Checklist y Hoja de Control Operativo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Aspecto de Verificación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Estado en Finca</w:t>
            </w:r>
          </w:p>
        </w:tc>
        <w:tc>
          <w:tcPr>
            <w:tcW w:type="dxa" w:w="3312"/>
            <w:shd w:fill="1A365D"/>
          </w:tcPr>
          <w:p>
            <w:r>
              <w:rPr>
                <w:b/>
                <w:color w:val="FFFFFF"/>
                <w:sz w:val="18"/>
              </w:rPr>
              <w:t>Firma Responsable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Parametrización e Integración de Datos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Validado y Enlazado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Administrador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Inspección de Lotes y Registros Biológicos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Conforme a Norma ICA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Médico Veterinario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Auditoría de Movimientos y Costos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Cuadrado con Banco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Contador / Mayordomo</w:t>
            </w:r>
          </w:p>
        </w:tc>
      </w:tr>
    </w:tbl>
    <w:p>
      <w:pPr>
        <w:jc w:val="center"/>
      </w:pPr>
      <w:r>
        <w:rPr>
          <w:rFonts w:ascii="Calibri" w:hAnsi="Calibri"/>
          <w:color w:val="94A3B8"/>
          <w:sz w:val="16"/>
        </w:rPr>
        <w:br/>
        <w:t>Documento oficial editable emitido para la comunidad de aprendizaje DataGan 360 • IPT.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