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A9C" w:rsidRPr="00FD214D" w:rsidRDefault="002045A6">
      <w:pPr>
        <w:rPr>
          <w:sz w:val="40"/>
          <w:szCs w:val="40"/>
        </w:rPr>
      </w:pPr>
      <w:r w:rsidRPr="00FD214D">
        <w:rPr>
          <w:sz w:val="40"/>
          <w:szCs w:val="40"/>
        </w:rPr>
        <w:t>Documentation for gene Co-expression coefficient analysis</w:t>
      </w:r>
    </w:p>
    <w:p w:rsidR="002045A6" w:rsidRDefault="002045A6" w:rsidP="00FD214D">
      <w:pPr>
        <w:pStyle w:val="Heading1"/>
      </w:pPr>
      <w:r>
        <w:t>Background</w:t>
      </w:r>
    </w:p>
    <w:p w:rsidR="00A60496" w:rsidRDefault="00A60496">
      <w:pPr>
        <w:rPr>
          <w:sz w:val="32"/>
          <w:szCs w:val="32"/>
        </w:rPr>
      </w:pPr>
      <w:r>
        <w:rPr>
          <w:sz w:val="32"/>
          <w:szCs w:val="32"/>
        </w:rPr>
        <w:t xml:space="preserve">The gene co-expression analysis was assigned to Atom Wang for </w:t>
      </w:r>
      <w:r w:rsidR="00416021">
        <w:rPr>
          <w:sz w:val="32"/>
          <w:szCs w:val="32"/>
        </w:rPr>
        <w:t xml:space="preserve">Class Project </w:t>
      </w:r>
      <w:r>
        <w:rPr>
          <w:sz w:val="32"/>
          <w:szCs w:val="32"/>
        </w:rPr>
        <w:t>BCB420_2015</w:t>
      </w:r>
      <w:r w:rsidR="00416021">
        <w:rPr>
          <w:sz w:val="32"/>
          <w:szCs w:val="32"/>
        </w:rPr>
        <w:t xml:space="preserve"> </w:t>
      </w:r>
      <w:proofErr w:type="spellStart"/>
      <w:r w:rsidR="00416021">
        <w:rPr>
          <w:sz w:val="32"/>
          <w:szCs w:val="32"/>
        </w:rPr>
        <w:t>Systemikon</w:t>
      </w:r>
      <w:proofErr w:type="spellEnd"/>
      <w:r>
        <w:rPr>
          <w:sz w:val="32"/>
          <w:szCs w:val="32"/>
        </w:rPr>
        <w:t>. The purpose of this assignment was to generate a matrix containing maximal information coefficients (MIC) of gen</w:t>
      </w:r>
      <w:r w:rsidR="008C2DC2">
        <w:rPr>
          <w:sz w:val="32"/>
          <w:szCs w:val="32"/>
        </w:rPr>
        <w:t>e pairs given from a gene list in order to find genes that are co-regulated. Those co-regulated genes may aid us identifying an interaction network within a system.</w:t>
      </w:r>
    </w:p>
    <w:p w:rsidR="00295582" w:rsidRDefault="00295582">
      <w:pPr>
        <w:rPr>
          <w:sz w:val="32"/>
          <w:szCs w:val="32"/>
        </w:rPr>
      </w:pPr>
      <w:r>
        <w:rPr>
          <w:sz w:val="32"/>
          <w:szCs w:val="32"/>
        </w:rPr>
        <w:t>Maximal information coefficient</w:t>
      </w:r>
      <w:r w:rsidR="00416021">
        <w:rPr>
          <w:sz w:val="32"/>
          <w:szCs w:val="32"/>
        </w:rPr>
        <w:t xml:space="preserve"> belongs to Maximal information-based nonparametric exploration statistics that</w:t>
      </w:r>
      <w:r>
        <w:rPr>
          <w:sz w:val="32"/>
          <w:szCs w:val="32"/>
        </w:rPr>
        <w:t xml:space="preserve"> </w:t>
      </w:r>
      <w:r w:rsidR="00416021">
        <w:rPr>
          <w:sz w:val="32"/>
          <w:szCs w:val="32"/>
        </w:rPr>
        <w:t xml:space="preserve">identifies and classifies relationships. It captures a broader range of associations compared to the classic Pearson Correlation. </w:t>
      </w:r>
    </w:p>
    <w:p w:rsidR="002045A6" w:rsidRPr="00FD214D" w:rsidRDefault="002045A6" w:rsidP="00FD214D">
      <w:pPr>
        <w:pStyle w:val="Heading1"/>
      </w:pPr>
      <w:r w:rsidRPr="00FD214D">
        <w:t>Method</w:t>
      </w:r>
    </w:p>
    <w:p w:rsidR="0087769B" w:rsidRPr="00601C87" w:rsidRDefault="00416021" w:rsidP="00FD214D">
      <w:pPr>
        <w:pStyle w:val="Heading2"/>
      </w:pPr>
      <w:r w:rsidRPr="00601C87">
        <w:t>Software: R</w:t>
      </w:r>
    </w:p>
    <w:p w:rsidR="00A60496" w:rsidRDefault="0087769B" w:rsidP="00416021">
      <w:pPr>
        <w:rPr>
          <w:sz w:val="32"/>
          <w:szCs w:val="32"/>
        </w:rPr>
      </w:pPr>
      <w:r w:rsidRPr="00416021">
        <w:rPr>
          <w:sz w:val="32"/>
          <w:szCs w:val="32"/>
        </w:rPr>
        <w:t>MIC</w:t>
      </w:r>
    </w:p>
    <w:p w:rsidR="00416021" w:rsidRPr="00416021" w:rsidRDefault="00416021" w:rsidP="00416021">
      <w:pPr>
        <w:rPr>
          <w:sz w:val="32"/>
          <w:szCs w:val="32"/>
        </w:rPr>
      </w:pPr>
      <w:r>
        <w:rPr>
          <w:sz w:val="32"/>
          <w:szCs w:val="32"/>
        </w:rPr>
        <w:t xml:space="preserve">The calculation of MIC is based on David </w:t>
      </w:r>
      <w:r>
        <w:rPr>
          <w:i/>
          <w:sz w:val="32"/>
          <w:szCs w:val="32"/>
        </w:rPr>
        <w:t>et al.</w:t>
      </w:r>
      <w:r>
        <w:rPr>
          <w:sz w:val="32"/>
          <w:szCs w:val="32"/>
        </w:rPr>
        <w:t xml:space="preserve"> published in 2011. By using the </w:t>
      </w:r>
      <w:proofErr w:type="spellStart"/>
      <w:r>
        <w:rPr>
          <w:sz w:val="32"/>
          <w:szCs w:val="32"/>
        </w:rPr>
        <w:t>minevra</w:t>
      </w:r>
      <w:proofErr w:type="spellEnd"/>
      <w:r>
        <w:rPr>
          <w:sz w:val="32"/>
          <w:szCs w:val="32"/>
        </w:rPr>
        <w:t xml:space="preserve"> package in R, the command “mine” easily gives a list of correlation coefficient including MIC</w:t>
      </w:r>
    </w:p>
    <w:p w:rsidR="00416021" w:rsidRPr="00601C87" w:rsidRDefault="00416021" w:rsidP="00FD214D">
      <w:pPr>
        <w:pStyle w:val="Heading2"/>
      </w:pPr>
      <w:r w:rsidRPr="00601C87">
        <w:t>Dataset</w:t>
      </w:r>
    </w:p>
    <w:p w:rsidR="00416021" w:rsidRDefault="00416021" w:rsidP="00416021">
      <w:pPr>
        <w:rPr>
          <w:sz w:val="32"/>
          <w:szCs w:val="32"/>
        </w:rPr>
      </w:pPr>
      <w:r>
        <w:rPr>
          <w:sz w:val="32"/>
          <w:szCs w:val="32"/>
        </w:rPr>
        <w:t xml:space="preserve">Since the primary interest of </w:t>
      </w:r>
      <w:proofErr w:type="spellStart"/>
      <w:r>
        <w:rPr>
          <w:sz w:val="32"/>
          <w:szCs w:val="32"/>
        </w:rPr>
        <w:t>Systemikon</w:t>
      </w:r>
      <w:proofErr w:type="spellEnd"/>
      <w:r>
        <w:rPr>
          <w:sz w:val="32"/>
          <w:szCs w:val="32"/>
        </w:rPr>
        <w:t xml:space="preserve"> is to identify underlying </w:t>
      </w:r>
      <w:r w:rsidR="00601C87">
        <w:rPr>
          <w:sz w:val="32"/>
          <w:szCs w:val="32"/>
        </w:rPr>
        <w:t xml:space="preserve">biological </w:t>
      </w:r>
      <w:r>
        <w:rPr>
          <w:sz w:val="32"/>
          <w:szCs w:val="32"/>
        </w:rPr>
        <w:t xml:space="preserve">systems </w:t>
      </w:r>
      <w:r w:rsidR="00601C87">
        <w:rPr>
          <w:sz w:val="32"/>
          <w:szCs w:val="32"/>
        </w:rPr>
        <w:t>in normal non-diseased tissue in human,</w:t>
      </w:r>
      <w:r w:rsidR="00601C87" w:rsidRPr="00601C87">
        <w:rPr>
          <w:sz w:val="32"/>
          <w:szCs w:val="32"/>
        </w:rPr>
        <w:t xml:space="preserve"> </w:t>
      </w:r>
      <w:r w:rsidR="00601C87">
        <w:rPr>
          <w:sz w:val="32"/>
          <w:szCs w:val="32"/>
        </w:rPr>
        <w:t>gene expression</w:t>
      </w:r>
      <w:r w:rsidR="00601C87">
        <w:rPr>
          <w:sz w:val="32"/>
          <w:szCs w:val="32"/>
        </w:rPr>
        <w:t xml:space="preserve"> data</w:t>
      </w:r>
      <w:r w:rsidR="00601C87">
        <w:rPr>
          <w:sz w:val="32"/>
          <w:szCs w:val="32"/>
        </w:rPr>
        <w:t xml:space="preserve"> across multiple tissues</w:t>
      </w:r>
      <w:r w:rsidR="00601C87">
        <w:rPr>
          <w:sz w:val="32"/>
          <w:szCs w:val="32"/>
        </w:rPr>
        <w:t xml:space="preserve"> of 79 human samples were extracted from D</w:t>
      </w:r>
      <w:r>
        <w:rPr>
          <w:sz w:val="32"/>
          <w:szCs w:val="32"/>
        </w:rPr>
        <w:t xml:space="preserve">ataset </w:t>
      </w:r>
      <w:r w:rsidRPr="00416021">
        <w:rPr>
          <w:sz w:val="32"/>
          <w:szCs w:val="32"/>
        </w:rPr>
        <w:t>GSE1133</w:t>
      </w:r>
      <w:r w:rsidR="00601C87">
        <w:rPr>
          <w:sz w:val="32"/>
          <w:szCs w:val="32"/>
        </w:rPr>
        <w:t xml:space="preserve"> (GPL96 </w:t>
      </w:r>
      <w:proofErr w:type="spellStart"/>
      <w:r w:rsidR="00601C87">
        <w:rPr>
          <w:sz w:val="32"/>
          <w:szCs w:val="32"/>
        </w:rPr>
        <w:t>Affimetrix</w:t>
      </w:r>
      <w:proofErr w:type="spellEnd"/>
      <w:r w:rsidR="00601C87">
        <w:rPr>
          <w:sz w:val="32"/>
          <w:szCs w:val="32"/>
        </w:rPr>
        <w:t xml:space="preserve"> platform). The </w:t>
      </w:r>
      <w:r w:rsidR="00601C87">
        <w:rPr>
          <w:sz w:val="32"/>
          <w:szCs w:val="32"/>
        </w:rPr>
        <w:lastRenderedPageBreak/>
        <w:t xml:space="preserve">expression of each probes were then annotated with corresponding </w:t>
      </w:r>
      <w:proofErr w:type="spellStart"/>
      <w:r w:rsidR="00601C87">
        <w:rPr>
          <w:sz w:val="32"/>
          <w:szCs w:val="32"/>
        </w:rPr>
        <w:t>Entrez</w:t>
      </w:r>
      <w:proofErr w:type="spellEnd"/>
      <w:r w:rsidR="00601C87">
        <w:rPr>
          <w:sz w:val="32"/>
          <w:szCs w:val="32"/>
        </w:rPr>
        <w:t xml:space="preserve"> Gene ID.</w:t>
      </w:r>
    </w:p>
    <w:p w:rsidR="0087769B" w:rsidRPr="00601C87" w:rsidRDefault="0087769B" w:rsidP="00FD214D">
      <w:pPr>
        <w:pStyle w:val="Heading2"/>
      </w:pPr>
      <w:r w:rsidRPr="00601C87">
        <w:t>Script logic</w:t>
      </w:r>
    </w:p>
    <w:p w:rsidR="00416021" w:rsidRPr="00416021" w:rsidRDefault="00601C87" w:rsidP="00416021">
      <w:pPr>
        <w:rPr>
          <w:sz w:val="32"/>
          <w:szCs w:val="32"/>
        </w:rPr>
      </w:pPr>
      <w:r>
        <w:rPr>
          <w:sz w:val="32"/>
          <w:szCs w:val="32"/>
        </w:rPr>
        <w:t>The script generates a table containing MICs of each gene pair which was asked for correlation.</w:t>
      </w:r>
      <w:r w:rsidR="00C956F8">
        <w:rPr>
          <w:sz w:val="32"/>
          <w:szCs w:val="32"/>
        </w:rPr>
        <w:t xml:space="preserve"> Two </w:t>
      </w:r>
      <w:r w:rsidR="00DC4EA9">
        <w:rPr>
          <w:sz w:val="32"/>
          <w:szCs w:val="32"/>
        </w:rPr>
        <w:t>“</w:t>
      </w:r>
      <w:r w:rsidR="00C956F8">
        <w:rPr>
          <w:sz w:val="32"/>
          <w:szCs w:val="32"/>
        </w:rPr>
        <w:t>for</w:t>
      </w:r>
      <w:r w:rsidR="00DC4EA9">
        <w:rPr>
          <w:sz w:val="32"/>
          <w:szCs w:val="32"/>
        </w:rPr>
        <w:t>”</w:t>
      </w:r>
      <w:r w:rsidR="00C956F8">
        <w:rPr>
          <w:sz w:val="32"/>
          <w:szCs w:val="32"/>
        </w:rPr>
        <w:t xml:space="preserve"> loops </w:t>
      </w:r>
      <w:r w:rsidR="00DC4EA9">
        <w:rPr>
          <w:sz w:val="32"/>
          <w:szCs w:val="32"/>
        </w:rPr>
        <w:t>were used to construct this table (see script for details).</w:t>
      </w:r>
    </w:p>
    <w:p w:rsidR="002D39B4" w:rsidRPr="002D39B4" w:rsidRDefault="002045A6" w:rsidP="002D39B4">
      <w:pPr>
        <w:pStyle w:val="Heading1"/>
      </w:pPr>
      <w:r w:rsidRPr="00FD214D">
        <w:t>Result</w:t>
      </w:r>
    </w:p>
    <w:p w:rsidR="008C6A7C" w:rsidRPr="008C6A7C" w:rsidRDefault="002D39B4" w:rsidP="008C6A7C">
      <w:pPr>
        <w:pStyle w:val="Heading2"/>
      </w:pPr>
      <w:r w:rsidRPr="002D39B4">
        <w:t>Benchmarks</w:t>
      </w:r>
    </w:p>
    <w:p w:rsidR="008C6A7C" w:rsidRDefault="008C6A7C" w:rsidP="008C6A7C">
      <w:pPr>
        <w:rPr>
          <w:sz w:val="32"/>
          <w:szCs w:val="32"/>
        </w:rPr>
      </w:pPr>
      <w:r>
        <w:rPr>
          <w:sz w:val="32"/>
          <w:szCs w:val="32"/>
        </w:rPr>
        <w:t>Various numbers of genes were tested for the efficiency of the code. Comparing with Pearson Correlation, it takes a significant more amount of time to finish computing gene expression correlation using MIC</w:t>
      </w:r>
      <w:r w:rsidR="00A33B4F">
        <w:rPr>
          <w:sz w:val="32"/>
          <w:szCs w:val="32"/>
        </w:rPr>
        <w:t xml:space="preserve"> (</w:t>
      </w:r>
      <w:r w:rsidR="00A33B4F" w:rsidRPr="00A33B4F">
        <w:rPr>
          <w:sz w:val="32"/>
          <w:szCs w:val="32"/>
        </w:rPr>
        <w:fldChar w:fldCharType="begin"/>
      </w:r>
      <w:r w:rsidR="00A33B4F" w:rsidRPr="00A33B4F">
        <w:rPr>
          <w:sz w:val="32"/>
          <w:szCs w:val="32"/>
        </w:rPr>
        <w:instrText xml:space="preserve"> REF _Ref416276898 \h </w:instrText>
      </w:r>
      <w:r w:rsidR="00A33B4F" w:rsidRPr="00A33B4F">
        <w:rPr>
          <w:sz w:val="32"/>
          <w:szCs w:val="32"/>
        </w:rPr>
      </w:r>
      <w:r w:rsidR="00A33B4F">
        <w:rPr>
          <w:sz w:val="32"/>
          <w:szCs w:val="32"/>
        </w:rPr>
        <w:instrText xml:space="preserve"> \* MERGEFORMAT </w:instrText>
      </w:r>
      <w:r w:rsidR="00A33B4F" w:rsidRPr="00A33B4F">
        <w:rPr>
          <w:sz w:val="32"/>
          <w:szCs w:val="32"/>
        </w:rPr>
        <w:fldChar w:fldCharType="separate"/>
      </w:r>
      <w:r w:rsidR="00A33B4F" w:rsidRPr="00A33B4F">
        <w:rPr>
          <w:sz w:val="32"/>
          <w:szCs w:val="32"/>
        </w:rPr>
        <w:t xml:space="preserve">Figure </w:t>
      </w:r>
      <w:r w:rsidR="00A33B4F" w:rsidRPr="00A33B4F">
        <w:rPr>
          <w:noProof/>
          <w:sz w:val="32"/>
          <w:szCs w:val="32"/>
        </w:rPr>
        <w:t>1</w:t>
      </w:r>
      <w:r w:rsidR="00A33B4F" w:rsidRPr="00A33B4F">
        <w:rPr>
          <w:sz w:val="32"/>
          <w:szCs w:val="32"/>
        </w:rPr>
        <w:fldChar w:fldCharType="end"/>
      </w:r>
      <w:r w:rsidR="00A33B4F">
        <w:rPr>
          <w:sz w:val="32"/>
          <w:szCs w:val="32"/>
        </w:rPr>
        <w:t>)</w:t>
      </w:r>
      <w:r>
        <w:rPr>
          <w:sz w:val="32"/>
          <w:szCs w:val="32"/>
        </w:rPr>
        <w:t xml:space="preserve">. </w:t>
      </w:r>
    </w:p>
    <w:p w:rsidR="008C6A7C" w:rsidRDefault="008C6A7C" w:rsidP="008C6A7C">
      <w:pPr>
        <w:keepNext/>
      </w:pPr>
      <w:r>
        <w:rPr>
          <w:noProof/>
        </w:rPr>
        <w:drawing>
          <wp:inline distT="0" distB="0" distL="0" distR="0" wp14:anchorId="7B94C255" wp14:editId="14F03E81">
            <wp:extent cx="5564221" cy="349223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C6A7C" w:rsidRPr="008C6A7C" w:rsidRDefault="008C6A7C" w:rsidP="008C6A7C">
      <w:pPr>
        <w:pStyle w:val="Caption"/>
        <w:rPr>
          <w:b w:val="0"/>
        </w:rPr>
      </w:pPr>
      <w:bookmarkStart w:id="0" w:name="_Ref4162768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4B3B">
        <w:rPr>
          <w:noProof/>
        </w:rPr>
        <w:t>1</w:t>
      </w:r>
      <w:r>
        <w:fldChar w:fldCharType="end"/>
      </w:r>
      <w:bookmarkEnd w:id="0"/>
      <w:r w:rsidR="00A33B4F">
        <w:t xml:space="preserve"> </w:t>
      </w:r>
      <w:r>
        <w:t>Computation time comparing MIC and Pearson Correlation.</w:t>
      </w:r>
      <w:r>
        <w:rPr>
          <w:b w:val="0"/>
        </w:rPr>
        <w:t xml:space="preserve"> Various gene numbers</w:t>
      </w:r>
      <w:r w:rsidR="00A33B4F">
        <w:rPr>
          <w:b w:val="0"/>
        </w:rPr>
        <w:t xml:space="preserve"> were chosen and the corresponding time of computation was plotted. </w:t>
      </w:r>
      <w:r>
        <w:rPr>
          <w:b w:val="0"/>
        </w:rPr>
        <w:t>Pearson correlation is significantly faster compared to that of MIC.</w:t>
      </w:r>
    </w:p>
    <w:p w:rsidR="008C6A7C" w:rsidRDefault="008C6A7C" w:rsidP="008C6A7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8C6A7C" w:rsidRDefault="008C6A7C" w:rsidP="008C6A7C">
      <w:pPr>
        <w:rPr>
          <w:sz w:val="32"/>
          <w:szCs w:val="32"/>
        </w:rPr>
      </w:pPr>
    </w:p>
    <w:p w:rsidR="0087769B" w:rsidRPr="002D39B4" w:rsidRDefault="0087769B" w:rsidP="008C6A7C">
      <w:pPr>
        <w:pStyle w:val="Heading2"/>
      </w:pPr>
      <w:r w:rsidRPr="002D39B4">
        <w:t>Test gene list</w:t>
      </w:r>
      <w:r w:rsidR="008C6A7C">
        <w:t xml:space="preserve"> and </w:t>
      </w:r>
      <w:r w:rsidRPr="002D39B4">
        <w:t>Test random list</w:t>
      </w:r>
    </w:p>
    <w:p w:rsidR="008C6A7C" w:rsidRDefault="00957674" w:rsidP="008C6A7C">
      <w:pPr>
        <w:rPr>
          <w:sz w:val="32"/>
          <w:szCs w:val="32"/>
        </w:rPr>
      </w:pPr>
      <w:r>
        <w:rPr>
          <w:sz w:val="32"/>
          <w:szCs w:val="32"/>
        </w:rPr>
        <w:t xml:space="preserve">A test group of genes and a random group of genes were chosen. The test group contains 50 genes and the random group contains 28 genes. </w:t>
      </w:r>
      <w:r w:rsidR="004954C1">
        <w:rPr>
          <w:sz w:val="32"/>
          <w:szCs w:val="32"/>
        </w:rPr>
        <w:t>1225</w:t>
      </w:r>
      <w:r w:rsidR="006A47A0">
        <w:rPr>
          <w:sz w:val="32"/>
          <w:szCs w:val="32"/>
        </w:rPr>
        <w:t xml:space="preserve"> MIC and Pearson Correlation coefficients (PCC) were generated for the test group and 378 were generated for the random group.</w:t>
      </w:r>
      <w:r>
        <w:rPr>
          <w:sz w:val="32"/>
          <w:szCs w:val="32"/>
        </w:rPr>
        <w:t xml:space="preserve"> </w:t>
      </w:r>
    </w:p>
    <w:p w:rsidR="008B5AE6" w:rsidRPr="008B5AE6" w:rsidRDefault="006A47A0" w:rsidP="008B5AE6">
      <w:pPr>
        <w:pStyle w:val="Heading2"/>
      </w:pPr>
      <w:r>
        <w:t xml:space="preserve">MIC </w:t>
      </w:r>
      <w:proofErr w:type="spellStart"/>
      <w:r>
        <w:t>vs</w:t>
      </w:r>
      <w:proofErr w:type="spellEnd"/>
      <w:r>
        <w:t xml:space="preserve"> Pearson Correlation</w:t>
      </w:r>
    </w:p>
    <w:p w:rsidR="008B5AE6" w:rsidRDefault="008A4B3B" w:rsidP="004954C1">
      <w:pPr>
        <w:rPr>
          <w:sz w:val="32"/>
          <w:szCs w:val="32"/>
        </w:rPr>
      </w:pPr>
      <w:r>
        <w:rPr>
          <w:sz w:val="32"/>
          <w:szCs w:val="32"/>
        </w:rPr>
        <w:t xml:space="preserve">To understand MIC’s relationship with PCC, MICs form the test group and random group was plotted against PCCs. The random group showed a more linear like correlation between the MIC to PCC than that in the test </w:t>
      </w:r>
      <w:r w:rsidRPr="008A4B3B">
        <w:rPr>
          <w:sz w:val="32"/>
          <w:szCs w:val="32"/>
        </w:rPr>
        <w:t>group (</w:t>
      </w:r>
      <w:r w:rsidRPr="008A4B3B">
        <w:rPr>
          <w:sz w:val="32"/>
          <w:szCs w:val="32"/>
        </w:rPr>
        <w:fldChar w:fldCharType="begin"/>
      </w:r>
      <w:r w:rsidRPr="008A4B3B">
        <w:rPr>
          <w:sz w:val="32"/>
          <w:szCs w:val="32"/>
        </w:rPr>
        <w:instrText xml:space="preserve"> REF _Ref416303712 \h </w:instrText>
      </w:r>
      <w:r w:rsidRPr="008A4B3B">
        <w:rPr>
          <w:sz w:val="32"/>
          <w:szCs w:val="32"/>
        </w:rPr>
      </w:r>
      <w:r>
        <w:rPr>
          <w:sz w:val="32"/>
          <w:szCs w:val="32"/>
        </w:rPr>
        <w:instrText xml:space="preserve"> \* MERGEFORMAT </w:instrText>
      </w:r>
      <w:r w:rsidRPr="008A4B3B">
        <w:rPr>
          <w:sz w:val="32"/>
          <w:szCs w:val="32"/>
        </w:rPr>
        <w:fldChar w:fldCharType="separate"/>
      </w:r>
      <w:r w:rsidRPr="008A4B3B">
        <w:rPr>
          <w:sz w:val="32"/>
          <w:szCs w:val="32"/>
        </w:rPr>
        <w:t xml:space="preserve">Figure </w:t>
      </w:r>
      <w:r w:rsidRPr="008A4B3B">
        <w:rPr>
          <w:noProof/>
          <w:sz w:val="32"/>
          <w:szCs w:val="32"/>
        </w:rPr>
        <w:t>2</w:t>
      </w:r>
      <w:r w:rsidRPr="008A4B3B">
        <w:rPr>
          <w:sz w:val="32"/>
          <w:szCs w:val="32"/>
        </w:rPr>
        <w:fldChar w:fldCharType="end"/>
      </w:r>
      <w:r w:rsidRPr="008A4B3B">
        <w:rPr>
          <w:sz w:val="32"/>
          <w:szCs w:val="32"/>
        </w:rPr>
        <w:t>).</w:t>
      </w:r>
      <w:r>
        <w:rPr>
          <w:sz w:val="32"/>
          <w:szCs w:val="32"/>
        </w:rPr>
        <w:t xml:space="preserve"> Interestingly, there are gene pairs that have higher MICs than PCCs. </w:t>
      </w:r>
    </w:p>
    <w:p w:rsidR="008A4B3B" w:rsidRDefault="008A4B3B" w:rsidP="008A4B3B">
      <w:pPr>
        <w:keepNext/>
      </w:pPr>
      <w:r>
        <w:rPr>
          <w:noProof/>
        </w:rPr>
        <w:drawing>
          <wp:inline distT="0" distB="0" distL="0" distR="0" wp14:anchorId="168F0812" wp14:editId="08354B19">
            <wp:extent cx="5943600" cy="30537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4445"/>
                    <a:stretch/>
                  </pic:blipFill>
                  <pic:spPr bwMode="auto">
                    <a:xfrm>
                      <a:off x="0" y="0"/>
                      <a:ext cx="5943600" cy="305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B3B" w:rsidRDefault="008A4B3B" w:rsidP="008A4B3B">
      <w:pPr>
        <w:pStyle w:val="Caption"/>
        <w:rPr>
          <w:sz w:val="32"/>
          <w:szCs w:val="32"/>
        </w:rPr>
      </w:pPr>
      <w:bookmarkStart w:id="1" w:name="_Ref416303712"/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 Scatter plot showing MIC against Pearson Correlation Coefficients in test group and random group.</w:t>
      </w:r>
      <w:proofErr w:type="gramEnd"/>
    </w:p>
    <w:p w:rsidR="00CF1D7D" w:rsidRDefault="008B5AE6" w:rsidP="004954C1">
      <w:pPr>
        <w:rPr>
          <w:sz w:val="32"/>
          <w:szCs w:val="32"/>
        </w:rPr>
      </w:pPr>
      <w:r>
        <w:rPr>
          <w:sz w:val="32"/>
          <w:szCs w:val="32"/>
        </w:rPr>
        <w:t xml:space="preserve">To understand gene co-expression and MIC a bit more, 960 gene pairs were identified to have higher MIC than PCC and 643 gene pairs were </w:t>
      </w:r>
      <w:r>
        <w:rPr>
          <w:sz w:val="32"/>
          <w:szCs w:val="32"/>
        </w:rPr>
        <w:lastRenderedPageBreak/>
        <w:t xml:space="preserve">identified to have higher PCC than MIC. Gene expressions of the top 4 gene pairs with the greatest difference in MIC </w:t>
      </w:r>
      <w:proofErr w:type="spellStart"/>
      <w:r>
        <w:rPr>
          <w:sz w:val="32"/>
          <w:szCs w:val="32"/>
        </w:rPr>
        <w:t>vs</w:t>
      </w:r>
      <w:proofErr w:type="spellEnd"/>
      <w:r>
        <w:rPr>
          <w:sz w:val="32"/>
          <w:szCs w:val="32"/>
        </w:rPr>
        <w:t xml:space="preserve"> PCC was plotted </w:t>
      </w:r>
      <w:r w:rsidR="00FF76A0">
        <w:rPr>
          <w:sz w:val="32"/>
          <w:szCs w:val="32"/>
        </w:rPr>
        <w:t>and documented in “</w:t>
      </w:r>
      <w:r w:rsidR="00FF76A0" w:rsidRPr="00FF76A0">
        <w:rPr>
          <w:sz w:val="32"/>
          <w:szCs w:val="32"/>
        </w:rPr>
        <w:t>Gene expression analysis for low MIC high Pearson</w:t>
      </w:r>
      <w:r w:rsidR="00FF76A0">
        <w:rPr>
          <w:sz w:val="32"/>
          <w:szCs w:val="32"/>
        </w:rPr>
        <w:t>.ppt” and “</w:t>
      </w:r>
      <w:r w:rsidR="00FF76A0" w:rsidRPr="00FF76A0">
        <w:rPr>
          <w:sz w:val="32"/>
          <w:szCs w:val="32"/>
        </w:rPr>
        <w:t>Gene expression analysis for high MIC low Pearson</w:t>
      </w:r>
      <w:r w:rsidR="00FF76A0">
        <w:rPr>
          <w:sz w:val="32"/>
          <w:szCs w:val="32"/>
        </w:rPr>
        <w:t xml:space="preserve">.ppt”. </w:t>
      </w:r>
    </w:p>
    <w:p w:rsidR="004954C1" w:rsidRDefault="00FF76A0" w:rsidP="004954C1">
      <w:pPr>
        <w:rPr>
          <w:sz w:val="32"/>
          <w:szCs w:val="32"/>
        </w:rPr>
      </w:pPr>
      <w:r>
        <w:rPr>
          <w:sz w:val="32"/>
          <w:szCs w:val="32"/>
        </w:rPr>
        <w:t>Interestingly, the top 4 gene pairs with MIC</w:t>
      </w:r>
      <w:r w:rsidR="00CF1D7D">
        <w:rPr>
          <w:sz w:val="32"/>
          <w:szCs w:val="32"/>
        </w:rPr>
        <w:t>s</w:t>
      </w:r>
      <w:r>
        <w:rPr>
          <w:sz w:val="32"/>
          <w:szCs w:val="32"/>
        </w:rPr>
        <w:t xml:space="preserve"> higher than P</w:t>
      </w:r>
      <w:r w:rsidR="00CF1D7D">
        <w:rPr>
          <w:sz w:val="32"/>
          <w:szCs w:val="32"/>
        </w:rPr>
        <w:t>CCs involve</w:t>
      </w:r>
      <w:r>
        <w:rPr>
          <w:sz w:val="32"/>
          <w:szCs w:val="32"/>
        </w:rPr>
        <w:t xml:space="preserve"> the gene ATP2A3, a calcium transporting ATPase. It is ubiquitously expressed yet with diverse levels in different tissues. The genes paired with ATP2A3 are generally all highly expressed in all different tissues.</w:t>
      </w:r>
      <w:r w:rsidR="00CF1D7D">
        <w:rPr>
          <w:sz w:val="32"/>
          <w:szCs w:val="32"/>
        </w:rPr>
        <w:t xml:space="preserve"> While Pearson Correlation shows there is nearly no correlation in these gene pairs, they have MICs that are above 0.4.</w:t>
      </w:r>
    </w:p>
    <w:p w:rsidR="00CF1D7D" w:rsidRDefault="00CF1D7D" w:rsidP="004954C1">
      <w:pPr>
        <w:rPr>
          <w:sz w:val="32"/>
          <w:szCs w:val="32"/>
        </w:rPr>
      </w:pPr>
      <w:r>
        <w:rPr>
          <w:sz w:val="32"/>
          <w:szCs w:val="32"/>
        </w:rPr>
        <w:t>The Top 4 gene pairs with PCCs greater than MICs all showed a near linear correlation between their gene expressions. It is unexpected that MICs gave rise to lower values than PCCs, even though both of them are suggesting a near linear correlation.</w:t>
      </w:r>
    </w:p>
    <w:p w:rsidR="00CF1D7D" w:rsidRDefault="00CF1D7D" w:rsidP="005D6ED4">
      <w:pPr>
        <w:pStyle w:val="Heading1"/>
      </w:pPr>
      <w:r>
        <w:t>Limitations</w:t>
      </w:r>
    </w:p>
    <w:p w:rsidR="00CF1D7D" w:rsidRPr="00CF1D7D" w:rsidRDefault="00CF1D7D" w:rsidP="00CF1D7D">
      <w:pPr>
        <w:rPr>
          <w:sz w:val="32"/>
          <w:szCs w:val="32"/>
        </w:rPr>
      </w:pPr>
      <w:r>
        <w:rPr>
          <w:sz w:val="32"/>
          <w:szCs w:val="32"/>
        </w:rPr>
        <w:t xml:space="preserve">There are two major limitation of this script. The first is that there are multiple probes for certain house-keeping genes. </w:t>
      </w:r>
      <w:r w:rsidR="005D6ED4">
        <w:rPr>
          <w:sz w:val="32"/>
          <w:szCs w:val="32"/>
        </w:rPr>
        <w:t xml:space="preserve">The script has yet to omit those out. The second is that the efficiency of the code is challenged when a greater quantity of genes is being analyzed. The calculation of MIC is takes a greater amount of time to calculate compared to PCC. It takes approximately 45 hours to calculate MICs for 5000 genes, yet it only takes 30 minutes to calculate PCCs. </w:t>
      </w:r>
    </w:p>
    <w:p w:rsidR="00C956F8" w:rsidRPr="002045A6" w:rsidRDefault="00C956F8">
      <w:pPr>
        <w:rPr>
          <w:sz w:val="32"/>
          <w:szCs w:val="32"/>
        </w:rPr>
      </w:pPr>
      <w:bookmarkStart w:id="2" w:name="_GoBack"/>
      <w:bookmarkEnd w:id="2"/>
    </w:p>
    <w:sectPr w:rsidR="00C956F8" w:rsidRPr="002045A6" w:rsidSect="00B7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D3D56"/>
    <w:multiLevelType w:val="hybridMultilevel"/>
    <w:tmpl w:val="79F0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75982"/>
    <w:multiLevelType w:val="hybridMultilevel"/>
    <w:tmpl w:val="22E41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45A6"/>
    <w:rsid w:val="002045A6"/>
    <w:rsid w:val="00295582"/>
    <w:rsid w:val="002D39B4"/>
    <w:rsid w:val="00416021"/>
    <w:rsid w:val="004954C1"/>
    <w:rsid w:val="005D6ED4"/>
    <w:rsid w:val="00601C87"/>
    <w:rsid w:val="0069062C"/>
    <w:rsid w:val="006A47A0"/>
    <w:rsid w:val="00783F35"/>
    <w:rsid w:val="0087769B"/>
    <w:rsid w:val="008A4B3B"/>
    <w:rsid w:val="008B5AE6"/>
    <w:rsid w:val="008C2DC2"/>
    <w:rsid w:val="008C6A7C"/>
    <w:rsid w:val="00932092"/>
    <w:rsid w:val="00957674"/>
    <w:rsid w:val="00A33B4F"/>
    <w:rsid w:val="00A60496"/>
    <w:rsid w:val="00B71B5D"/>
    <w:rsid w:val="00B82306"/>
    <w:rsid w:val="00C956F8"/>
    <w:rsid w:val="00CF1D7D"/>
    <w:rsid w:val="00D37701"/>
    <w:rsid w:val="00DC4EA9"/>
    <w:rsid w:val="00FD214D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5D"/>
  </w:style>
  <w:style w:type="paragraph" w:styleId="Heading1">
    <w:name w:val="heading 1"/>
    <w:basedOn w:val="Normal"/>
    <w:next w:val="Normal"/>
    <w:link w:val="Heading1Char"/>
    <w:uiPriority w:val="9"/>
    <w:qFormat/>
    <w:rsid w:val="00FD2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2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7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C6A7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MIC</c:v>
                </c:pt>
              </c:strCache>
            </c:strRef>
          </c:tx>
          <c:spPr>
            <a:ln w="28575">
              <a:noFill/>
            </a:ln>
          </c:spPr>
          <c:trendline>
            <c:spPr>
              <a:ln w="19050">
                <a:solidFill>
                  <a:schemeClr val="tx2">
                    <a:lumMod val="60000"/>
                    <a:lumOff val="40000"/>
                  </a:schemeClr>
                </a:solidFill>
              </a:ln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35648434464502027"/>
                  <c:y val="-3.4084911888482309E-3"/>
                </c:manualLayout>
              </c:layout>
              <c:numFmt formatCode="General" sourceLinked="0"/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0.6</c:v>
                </c:pt>
                <c:pt idx="1">
                  <c:v>2.4</c:v>
                </c:pt>
                <c:pt idx="2">
                  <c:v>9.98</c:v>
                </c:pt>
                <c:pt idx="3">
                  <c:v>42.5</c:v>
                </c:pt>
                <c:pt idx="4">
                  <c:v>167.86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pearson</c:v>
                </c:pt>
              </c:strCache>
            </c:strRef>
          </c:tx>
          <c:spPr>
            <a:ln w="28575">
              <a:noFill/>
            </a:ln>
          </c:spPr>
          <c:trendline>
            <c:spPr>
              <a:ln w="19050">
                <a:solidFill>
                  <a:schemeClr val="accent2">
                    <a:lumMod val="60000"/>
                    <a:lumOff val="40000"/>
                  </a:schemeClr>
                </a:solidFill>
              </a:ln>
            </c:spPr>
            <c:trendlineType val="poly"/>
            <c:order val="3"/>
            <c:intercept val="0"/>
            <c:dispRSqr val="1"/>
            <c:dispEq val="1"/>
            <c:trendlineLbl>
              <c:layout>
                <c:manualLayout>
                  <c:x val="0.34212049427066038"/>
                  <c:y val="-1.4827009700154041E-2"/>
                </c:manualLayout>
              </c:layout>
              <c:numFmt formatCode="General" sourceLinked="0"/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0.03</c:v>
                </c:pt>
                <c:pt idx="1">
                  <c:v>0.04</c:v>
                </c:pt>
                <c:pt idx="2">
                  <c:v>0.1</c:v>
                </c:pt>
                <c:pt idx="3">
                  <c:v>0.27</c:v>
                </c:pt>
                <c:pt idx="4">
                  <c:v>1.1100000000000001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827712"/>
        <c:axId val="101829632"/>
      </c:scatterChart>
      <c:valAx>
        <c:axId val="101827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Genes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1829632"/>
        <c:crosses val="autoZero"/>
        <c:crossBetween val="midCat"/>
      </c:valAx>
      <c:valAx>
        <c:axId val="10182963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Computation</a:t>
                </a:r>
                <a:r>
                  <a:rPr lang="en-US" baseline="0"/>
                  <a:t> T</a:t>
                </a:r>
                <a:r>
                  <a:rPr lang="en-US"/>
                  <a:t>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182771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4296052799225341"/>
          <c:y val="0.15545021844453921"/>
          <c:w val="0.14733073414366893"/>
          <c:h val="0.16934535216128191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</dc:creator>
  <cp:lastModifiedBy>Minden_20</cp:lastModifiedBy>
  <cp:revision>6</cp:revision>
  <dcterms:created xsi:type="dcterms:W3CDTF">2015-03-25T22:29:00Z</dcterms:created>
  <dcterms:modified xsi:type="dcterms:W3CDTF">2015-04-09T05:41:00Z</dcterms:modified>
</cp:coreProperties>
</file>