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E0B8" w14:textId="77777777" w:rsidR="000313BC" w:rsidRPr="000313BC" w:rsidRDefault="000313BC" w:rsidP="000313BC">
      <w:pPr>
        <w:rPr>
          <w:b/>
          <w:bCs/>
        </w:rPr>
      </w:pPr>
      <w:r w:rsidRPr="000313BC">
        <w:rPr>
          <w:b/>
          <w:bCs/>
        </w:rPr>
        <w:t>User story : Import de données historiques</w:t>
      </w:r>
    </w:p>
    <w:p w14:paraId="1286A13A" w14:textId="77777777" w:rsidR="000313BC" w:rsidRPr="000313BC" w:rsidRDefault="000313BC" w:rsidP="000313BC">
      <w:r w:rsidRPr="000313BC">
        <w:rPr>
          <w:b/>
          <w:bCs/>
        </w:rPr>
        <w:t>Description :</w:t>
      </w:r>
      <w:r w:rsidRPr="000313BC">
        <w:br/>
        <w:t>Contexte : Pour assurer la continuité de gestion et la consolidation du patrimoine contractuel, il est indispensable de pouvoir intégrer les anciens contrats ou ceux clôturés avant la mise en production de l’outil.</w:t>
      </w:r>
    </w:p>
    <w:p w14:paraId="51E3F241" w14:textId="36AA04F0" w:rsidR="000313BC" w:rsidRPr="000313BC" w:rsidRDefault="000313BC" w:rsidP="000313BC">
      <w:r w:rsidRPr="000313BC">
        <w:rPr>
          <w:b/>
          <w:bCs/>
        </w:rPr>
        <w:t>Besoin :</w:t>
      </w:r>
      <w:r w:rsidRPr="000313BC">
        <w:br/>
        <w:t>En tant qu’utilisateur</w:t>
      </w:r>
      <w:r w:rsidR="009E6E33" w:rsidRPr="009E6E33">
        <w:t>, je</w:t>
      </w:r>
      <w:r w:rsidRPr="009E6E33">
        <w:t xml:space="preserve"> souhaite pouvoir importer en masse des contrats historiques via un fichier</w:t>
      </w:r>
      <w:r w:rsidR="009E6E33">
        <w:t xml:space="preserve"> Template</w:t>
      </w:r>
      <w:r w:rsidRPr="009E6E33">
        <w:t>,</w:t>
      </w:r>
      <w:r w:rsidR="009E6E33">
        <w:t xml:space="preserve"> a</w:t>
      </w:r>
      <w:r w:rsidRPr="000313BC">
        <w:t>fin de disposer d’un référentiel exhaustif et d’exploiter ces données dans l’outil au même titre que les nouveaux contrats.</w:t>
      </w:r>
    </w:p>
    <w:p w14:paraId="30D18CB1" w14:textId="77777777" w:rsidR="000313BC" w:rsidRPr="000313BC" w:rsidRDefault="008F6BDF" w:rsidP="000313BC">
      <w:r>
        <w:pict w14:anchorId="5D055C32">
          <v:rect id="_x0000_i1025" style="width:0;height:1.5pt" o:hralign="center" o:hrstd="t" o:hr="t" fillcolor="#a0a0a0" stroked="f"/>
        </w:pict>
      </w:r>
    </w:p>
    <w:p w14:paraId="720F3D69" w14:textId="77777777" w:rsidR="000313BC" w:rsidRPr="000313BC" w:rsidRDefault="000313BC" w:rsidP="000313BC">
      <w:pPr>
        <w:rPr>
          <w:b/>
          <w:bCs/>
        </w:rPr>
      </w:pPr>
      <w:r w:rsidRPr="000313BC">
        <w:rPr>
          <w:b/>
          <w:bCs/>
        </w:rPr>
        <w:t>Règles de gestion</w:t>
      </w:r>
    </w:p>
    <w:p w14:paraId="4DB3E08D" w14:textId="77777777" w:rsidR="000313BC" w:rsidRPr="000313BC" w:rsidRDefault="000313BC" w:rsidP="000313BC">
      <w:pPr>
        <w:numPr>
          <w:ilvl w:val="0"/>
          <w:numId w:val="1"/>
        </w:numPr>
      </w:pPr>
      <w:r w:rsidRPr="000313BC">
        <w:t>Le fichier d’import doit respecter un modèle prédéfini (format strict).</w:t>
      </w:r>
    </w:p>
    <w:p w14:paraId="08BA615C" w14:textId="77777777" w:rsidR="000313BC" w:rsidRPr="000313BC" w:rsidRDefault="000313BC" w:rsidP="000313BC">
      <w:pPr>
        <w:numPr>
          <w:ilvl w:val="0"/>
          <w:numId w:val="1"/>
        </w:numPr>
      </w:pPr>
      <w:r w:rsidRPr="000313BC">
        <w:t>Chaque ligne du fichier représente un contrat unique.</w:t>
      </w:r>
    </w:p>
    <w:p w14:paraId="7135BB9E" w14:textId="7E87FE58" w:rsidR="000313BC" w:rsidRPr="004C433F" w:rsidRDefault="000313BC" w:rsidP="000313BC">
      <w:pPr>
        <w:numPr>
          <w:ilvl w:val="0"/>
          <w:numId w:val="1"/>
        </w:numPr>
      </w:pPr>
      <w:r w:rsidRPr="004C433F">
        <w:t>Un rapport d’import</w:t>
      </w:r>
      <w:r w:rsidR="004C433F">
        <w:t xml:space="preserve"> Excel </w:t>
      </w:r>
      <w:r w:rsidRPr="004C433F">
        <w:t>détaillé est généré à chaque opération.</w:t>
      </w:r>
    </w:p>
    <w:p w14:paraId="356B9B41" w14:textId="12D083B0" w:rsidR="000313BC" w:rsidRPr="000313BC" w:rsidRDefault="000313BC" w:rsidP="000313BC">
      <w:pPr>
        <w:numPr>
          <w:ilvl w:val="0"/>
          <w:numId w:val="1"/>
        </w:numPr>
      </w:pPr>
      <w:r w:rsidRPr="000313BC">
        <w:t>En cas d’erreur, l’</w:t>
      </w:r>
      <w:r w:rsidR="004C433F">
        <w:t xml:space="preserve">utilisateur </w:t>
      </w:r>
      <w:r w:rsidRPr="000313BC">
        <w:t>peut rejouer un import partiel.</w:t>
      </w:r>
    </w:p>
    <w:p w14:paraId="7C2FD404" w14:textId="77777777" w:rsidR="000313BC" w:rsidRPr="000313BC" w:rsidRDefault="000313BC" w:rsidP="000313BC">
      <w:pPr>
        <w:numPr>
          <w:ilvl w:val="0"/>
          <w:numId w:val="1"/>
        </w:numPr>
      </w:pPr>
      <w:r w:rsidRPr="000313BC">
        <w:t>Toutes les opérations d’import sont historisées.</w:t>
      </w:r>
    </w:p>
    <w:p w14:paraId="51E5A1A0" w14:textId="77777777" w:rsidR="000313BC" w:rsidRPr="000313BC" w:rsidRDefault="008F6BDF" w:rsidP="000313BC">
      <w:r>
        <w:pict w14:anchorId="31AED863">
          <v:rect id="_x0000_i1026" style="width:0;height:1.5pt" o:hralign="center" o:hrstd="t" o:hr="t" fillcolor="#a0a0a0" stroked="f"/>
        </w:pict>
      </w:r>
    </w:p>
    <w:p w14:paraId="717660D9" w14:textId="77777777" w:rsidR="000313BC" w:rsidRPr="000313BC" w:rsidRDefault="000313BC" w:rsidP="000313BC">
      <w:pPr>
        <w:rPr>
          <w:b/>
          <w:bCs/>
        </w:rPr>
      </w:pPr>
      <w:r w:rsidRPr="000313BC">
        <w:rPr>
          <w:b/>
          <w:bCs/>
        </w:rPr>
        <w:t>Critères d’acceptation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6710"/>
      </w:tblGrid>
      <w:tr w:rsidR="000313BC" w:rsidRPr="000313BC" w14:paraId="078AF328" w14:textId="77777777" w:rsidTr="000313BC">
        <w:trPr>
          <w:tblHeader/>
          <w:tblCellSpacing w:w="15" w:type="dxa"/>
        </w:trPr>
        <w:tc>
          <w:tcPr>
            <w:tcW w:w="0" w:type="auto"/>
            <w:vAlign w:val="center"/>
            <w:hideMark/>
          </w:tcPr>
          <w:p w14:paraId="656E49FC" w14:textId="77777777" w:rsidR="000313BC" w:rsidRPr="000313BC" w:rsidRDefault="000313BC" w:rsidP="000313BC">
            <w:pPr>
              <w:rPr>
                <w:b/>
                <w:bCs/>
              </w:rPr>
            </w:pPr>
            <w:r w:rsidRPr="000313BC">
              <w:rPr>
                <w:b/>
                <w:bCs/>
              </w:rPr>
              <w:t>Scénario</w:t>
            </w:r>
          </w:p>
        </w:tc>
        <w:tc>
          <w:tcPr>
            <w:tcW w:w="0" w:type="auto"/>
            <w:vAlign w:val="center"/>
            <w:hideMark/>
          </w:tcPr>
          <w:p w14:paraId="53192AC7" w14:textId="77777777" w:rsidR="000313BC" w:rsidRPr="000313BC" w:rsidRDefault="000313BC" w:rsidP="000313BC">
            <w:pPr>
              <w:rPr>
                <w:b/>
                <w:bCs/>
              </w:rPr>
            </w:pPr>
            <w:r w:rsidRPr="000313BC">
              <w:rPr>
                <w:b/>
                <w:bCs/>
              </w:rPr>
              <w:t>Critère d’acceptation</w:t>
            </w:r>
          </w:p>
        </w:tc>
      </w:tr>
      <w:tr w:rsidR="000313BC" w:rsidRPr="000313BC" w14:paraId="40ED6FDA" w14:textId="77777777" w:rsidTr="000313BC">
        <w:trPr>
          <w:tblCellSpacing w:w="15" w:type="dxa"/>
        </w:trPr>
        <w:tc>
          <w:tcPr>
            <w:tcW w:w="0" w:type="auto"/>
            <w:vAlign w:val="center"/>
            <w:hideMark/>
          </w:tcPr>
          <w:p w14:paraId="789EF75B" w14:textId="77777777" w:rsidR="000313BC" w:rsidRPr="000313BC" w:rsidRDefault="000313BC" w:rsidP="000313BC">
            <w:r w:rsidRPr="000313BC">
              <w:t>Respect du modèle</w:t>
            </w:r>
          </w:p>
        </w:tc>
        <w:tc>
          <w:tcPr>
            <w:tcW w:w="0" w:type="auto"/>
            <w:vAlign w:val="center"/>
            <w:hideMark/>
          </w:tcPr>
          <w:p w14:paraId="0584563F" w14:textId="77777777" w:rsidR="000313BC" w:rsidRPr="000313BC" w:rsidRDefault="000313BC" w:rsidP="000313BC">
            <w:r w:rsidRPr="000313BC">
              <w:t>Le fichier ne peut être importé que s’il respecte le format attendu.</w:t>
            </w:r>
          </w:p>
        </w:tc>
      </w:tr>
      <w:tr w:rsidR="000313BC" w:rsidRPr="000313BC" w14:paraId="4FF833FD" w14:textId="77777777" w:rsidTr="000313BC">
        <w:trPr>
          <w:tblCellSpacing w:w="15" w:type="dxa"/>
        </w:trPr>
        <w:tc>
          <w:tcPr>
            <w:tcW w:w="0" w:type="auto"/>
            <w:vAlign w:val="center"/>
            <w:hideMark/>
          </w:tcPr>
          <w:p w14:paraId="6FE8C42D" w14:textId="77777777" w:rsidR="000313BC" w:rsidRPr="000313BC" w:rsidRDefault="000313BC" w:rsidP="000313BC">
            <w:r w:rsidRPr="000313BC">
              <w:t>Détection des erreurs</w:t>
            </w:r>
          </w:p>
        </w:tc>
        <w:tc>
          <w:tcPr>
            <w:tcW w:w="0" w:type="auto"/>
            <w:vAlign w:val="center"/>
            <w:hideMark/>
          </w:tcPr>
          <w:p w14:paraId="4FBAE536" w14:textId="77777777" w:rsidR="000313BC" w:rsidRPr="000313BC" w:rsidRDefault="000313BC" w:rsidP="000313BC">
            <w:r w:rsidRPr="000313BC">
              <w:t>Les erreurs (par ligne) sont listées dans le rapport d’import.</w:t>
            </w:r>
          </w:p>
        </w:tc>
      </w:tr>
      <w:tr w:rsidR="000313BC" w:rsidRPr="000313BC" w14:paraId="27219F69" w14:textId="77777777" w:rsidTr="000313BC">
        <w:trPr>
          <w:tblCellSpacing w:w="15" w:type="dxa"/>
        </w:trPr>
        <w:tc>
          <w:tcPr>
            <w:tcW w:w="0" w:type="auto"/>
            <w:vAlign w:val="center"/>
            <w:hideMark/>
          </w:tcPr>
          <w:p w14:paraId="7FEF55E9" w14:textId="77777777" w:rsidR="000313BC" w:rsidRPr="000313BC" w:rsidRDefault="000313BC" w:rsidP="000313BC">
            <w:r w:rsidRPr="000313BC">
              <w:t>Import partiel rejouable</w:t>
            </w:r>
          </w:p>
        </w:tc>
        <w:tc>
          <w:tcPr>
            <w:tcW w:w="0" w:type="auto"/>
            <w:vAlign w:val="center"/>
            <w:hideMark/>
          </w:tcPr>
          <w:p w14:paraId="1BBFC628" w14:textId="655D84D6" w:rsidR="000313BC" w:rsidRPr="000313BC" w:rsidRDefault="000313BC" w:rsidP="000313BC">
            <w:r w:rsidRPr="000313BC">
              <w:t>L’</w:t>
            </w:r>
            <w:r w:rsidR="004C433F">
              <w:t>utilisateur</w:t>
            </w:r>
            <w:r w:rsidRPr="000313BC">
              <w:t xml:space="preserve"> peut relancer l’import pour les lignes en échec uniquement.</w:t>
            </w:r>
          </w:p>
        </w:tc>
      </w:tr>
      <w:tr w:rsidR="000313BC" w:rsidRPr="000313BC" w14:paraId="3E1A6A04" w14:textId="77777777" w:rsidTr="000313BC">
        <w:trPr>
          <w:tblCellSpacing w:w="15" w:type="dxa"/>
        </w:trPr>
        <w:tc>
          <w:tcPr>
            <w:tcW w:w="0" w:type="auto"/>
            <w:vAlign w:val="center"/>
            <w:hideMark/>
          </w:tcPr>
          <w:p w14:paraId="4FED3F6F" w14:textId="77777777" w:rsidR="000313BC" w:rsidRPr="000313BC" w:rsidRDefault="000313BC" w:rsidP="000313BC">
            <w:r w:rsidRPr="000313BC">
              <w:t>Historisation</w:t>
            </w:r>
          </w:p>
        </w:tc>
        <w:tc>
          <w:tcPr>
            <w:tcW w:w="0" w:type="auto"/>
            <w:vAlign w:val="center"/>
            <w:hideMark/>
          </w:tcPr>
          <w:p w14:paraId="5BA75951" w14:textId="77777777" w:rsidR="000313BC" w:rsidRPr="000313BC" w:rsidRDefault="000313BC" w:rsidP="000313BC">
            <w:r w:rsidRPr="000313BC">
              <w:t>Toute opération d’import (succès, erreurs) est tracée avec détails.</w:t>
            </w:r>
          </w:p>
        </w:tc>
      </w:tr>
    </w:tbl>
    <w:p w14:paraId="16620362" w14:textId="77777777" w:rsidR="000313BC" w:rsidRPr="000313BC" w:rsidRDefault="008F6BDF" w:rsidP="000313BC">
      <w:r>
        <w:pict w14:anchorId="1BB008DC">
          <v:rect id="_x0000_i1027" style="width:0;height:1.5pt" o:hralign="center" o:hrstd="t" o:hr="t" fillcolor="#a0a0a0" stroked="f"/>
        </w:pict>
      </w:r>
    </w:p>
    <w:p w14:paraId="4928779B" w14:textId="77777777" w:rsidR="000313BC" w:rsidRPr="000313BC" w:rsidRDefault="000313BC" w:rsidP="000313BC">
      <w:pPr>
        <w:rPr>
          <w:b/>
          <w:bCs/>
        </w:rPr>
      </w:pPr>
      <w:r w:rsidRPr="000313BC">
        <w:rPr>
          <w:b/>
          <w:bCs/>
        </w:rPr>
        <w:t>SFD : Import de données historiques</w:t>
      </w:r>
    </w:p>
    <w:p w14:paraId="30814735" w14:textId="77777777" w:rsidR="000313BC" w:rsidRPr="000313BC" w:rsidRDefault="000313BC" w:rsidP="000313BC">
      <w:r w:rsidRPr="000313BC">
        <w:rPr>
          <w:b/>
          <w:bCs/>
        </w:rPr>
        <w:t>Nom :</w:t>
      </w:r>
      <w:r w:rsidRPr="000313BC">
        <w:t xml:space="preserve"> Import de masse des contrats historiques</w:t>
      </w:r>
    </w:p>
    <w:p w14:paraId="6A95842F" w14:textId="4348C709" w:rsidR="000313BC" w:rsidRPr="000313BC" w:rsidRDefault="000313BC" w:rsidP="000313BC">
      <w:r w:rsidRPr="000313BC">
        <w:rPr>
          <w:b/>
          <w:bCs/>
        </w:rPr>
        <w:t>Description :</w:t>
      </w:r>
      <w:r w:rsidRPr="000313BC">
        <w:br/>
        <w:t>Intégration en masse des contrats existants</w:t>
      </w:r>
      <w:r w:rsidR="004C433F">
        <w:t xml:space="preserve"> </w:t>
      </w:r>
      <w:r w:rsidRPr="000313BC">
        <w:t xml:space="preserve">via un fichier Excel conforme. L’outil valide </w:t>
      </w:r>
      <w:r w:rsidRPr="000313BC">
        <w:lastRenderedPageBreak/>
        <w:t>la structure, crée ou met à jour les contrats, génère un rapport détaillé et historise toutes les opérations.</w:t>
      </w:r>
    </w:p>
    <w:p w14:paraId="04FCE74E" w14:textId="77777777" w:rsidR="000313BC" w:rsidRPr="000313BC" w:rsidRDefault="008F6BDF" w:rsidP="000313BC">
      <w:r>
        <w:pict w14:anchorId="4B50B0EB">
          <v:rect id="_x0000_i1028" style="width:0;height:1.5pt" o:hralign="center" o:hrstd="t" o:hr="t" fillcolor="#a0a0a0" stroked="f"/>
        </w:pict>
      </w:r>
    </w:p>
    <w:p w14:paraId="754241D9" w14:textId="77777777" w:rsidR="000313BC" w:rsidRPr="000313BC" w:rsidRDefault="000313BC" w:rsidP="000313BC">
      <w:pPr>
        <w:rPr>
          <w:b/>
          <w:bCs/>
        </w:rPr>
      </w:pPr>
      <w:r w:rsidRPr="000313BC">
        <w:rPr>
          <w:b/>
          <w:bCs/>
        </w:rPr>
        <w:t>Acteurs déclencheurs :</w:t>
      </w:r>
    </w:p>
    <w:p w14:paraId="09E5099D" w14:textId="6BCBBAED" w:rsidR="000313BC" w:rsidRPr="000313BC" w:rsidRDefault="004C433F" w:rsidP="000313BC">
      <w:pPr>
        <w:numPr>
          <w:ilvl w:val="0"/>
          <w:numId w:val="2"/>
        </w:numPr>
      </w:pPr>
      <w:r>
        <w:t>Utilisateur</w:t>
      </w:r>
      <w:r w:rsidR="000313BC" w:rsidRPr="000313BC">
        <w:t xml:space="preserve"> (initiation de l’import)</w:t>
      </w:r>
    </w:p>
    <w:p w14:paraId="68EBF274" w14:textId="77777777" w:rsidR="000313BC" w:rsidRPr="000313BC" w:rsidRDefault="000313BC" w:rsidP="000313BC">
      <w:pPr>
        <w:rPr>
          <w:b/>
          <w:bCs/>
        </w:rPr>
      </w:pPr>
      <w:r w:rsidRPr="000313BC">
        <w:rPr>
          <w:b/>
          <w:bCs/>
        </w:rPr>
        <w:t>Acteurs secondaires (IMPACTÉS) :</w:t>
      </w:r>
    </w:p>
    <w:p w14:paraId="3EC13591" w14:textId="77777777" w:rsidR="000313BC" w:rsidRPr="000313BC" w:rsidRDefault="000313BC" w:rsidP="000313BC">
      <w:pPr>
        <w:numPr>
          <w:ilvl w:val="0"/>
          <w:numId w:val="3"/>
        </w:numPr>
      </w:pPr>
      <w:r w:rsidRPr="000313BC">
        <w:t>Interface d’import</w:t>
      </w:r>
    </w:p>
    <w:p w14:paraId="0B00B736" w14:textId="77777777" w:rsidR="000313BC" w:rsidRPr="000313BC" w:rsidRDefault="008F6BDF" w:rsidP="000313BC">
      <w:r>
        <w:pict w14:anchorId="71A00EC5">
          <v:rect id="_x0000_i1029" style="width:0;height:1.5pt" o:hralign="center" o:hrstd="t" o:hr="t" fillcolor="#a0a0a0" stroked="f"/>
        </w:pict>
      </w:r>
    </w:p>
    <w:p w14:paraId="35813BAE" w14:textId="77777777" w:rsidR="000313BC" w:rsidRPr="000313BC" w:rsidRDefault="000313BC" w:rsidP="000313BC">
      <w:pPr>
        <w:rPr>
          <w:b/>
          <w:bCs/>
        </w:rPr>
      </w:pPr>
      <w:r w:rsidRPr="000313BC">
        <w:rPr>
          <w:b/>
          <w:bCs/>
        </w:rPr>
        <w:t>Préconditions (INPUT) :</w:t>
      </w:r>
    </w:p>
    <w:p w14:paraId="39DB4A5E" w14:textId="77777777" w:rsidR="000313BC" w:rsidRPr="000313BC" w:rsidRDefault="000313BC" w:rsidP="000313BC">
      <w:pPr>
        <w:numPr>
          <w:ilvl w:val="0"/>
          <w:numId w:val="4"/>
        </w:numPr>
      </w:pPr>
      <w:r w:rsidRPr="000313BC">
        <w:t>Fichier Excel conforme au modèle fourni</w:t>
      </w:r>
    </w:p>
    <w:p w14:paraId="2CC0CEEB" w14:textId="77777777" w:rsidR="000313BC" w:rsidRPr="000313BC" w:rsidRDefault="000313BC" w:rsidP="000313BC">
      <w:pPr>
        <w:numPr>
          <w:ilvl w:val="0"/>
          <w:numId w:val="4"/>
        </w:numPr>
      </w:pPr>
      <w:r w:rsidRPr="000313BC">
        <w:t>Droit d’accès à l’interface d’import</w:t>
      </w:r>
    </w:p>
    <w:p w14:paraId="7BCECDE2" w14:textId="77777777" w:rsidR="000313BC" w:rsidRPr="000313BC" w:rsidRDefault="008F6BDF" w:rsidP="000313BC">
      <w:r>
        <w:pict w14:anchorId="24638EE2">
          <v:rect id="_x0000_i1030" style="width:0;height:1.5pt" o:hralign="center" o:hrstd="t" o:hr="t" fillcolor="#a0a0a0" stroked="f"/>
        </w:pict>
      </w:r>
    </w:p>
    <w:p w14:paraId="47BD4000" w14:textId="77777777" w:rsidR="000313BC" w:rsidRPr="000313BC" w:rsidRDefault="000313BC" w:rsidP="000313BC">
      <w:pPr>
        <w:rPr>
          <w:b/>
          <w:bCs/>
        </w:rPr>
      </w:pPr>
      <w:r w:rsidRPr="000313BC">
        <w:rPr>
          <w:b/>
          <w:bCs/>
        </w:rPr>
        <w:t>Postconditions (IMPACT) :</w:t>
      </w:r>
    </w:p>
    <w:p w14:paraId="424D253A" w14:textId="77777777" w:rsidR="000313BC" w:rsidRPr="000313BC" w:rsidRDefault="000313BC" w:rsidP="000313BC">
      <w:pPr>
        <w:numPr>
          <w:ilvl w:val="0"/>
          <w:numId w:val="5"/>
        </w:numPr>
      </w:pPr>
      <w:r w:rsidRPr="000313BC">
        <w:t>Contrats importés ou mis à jour dans la base</w:t>
      </w:r>
    </w:p>
    <w:p w14:paraId="249A0B1F" w14:textId="77777777" w:rsidR="000313BC" w:rsidRPr="000313BC" w:rsidRDefault="000313BC" w:rsidP="000313BC">
      <w:pPr>
        <w:numPr>
          <w:ilvl w:val="0"/>
          <w:numId w:val="5"/>
        </w:numPr>
      </w:pPr>
      <w:r w:rsidRPr="000313BC">
        <w:t>Rapport d’import généré, détaillant succès/erreurs</w:t>
      </w:r>
    </w:p>
    <w:p w14:paraId="44A97110" w14:textId="77777777" w:rsidR="000313BC" w:rsidRPr="000313BC" w:rsidRDefault="000313BC" w:rsidP="000313BC">
      <w:pPr>
        <w:numPr>
          <w:ilvl w:val="0"/>
          <w:numId w:val="5"/>
        </w:numPr>
      </w:pPr>
      <w:r w:rsidRPr="000313BC">
        <w:t>Opération historisée</w:t>
      </w:r>
    </w:p>
    <w:p w14:paraId="3363539F" w14:textId="77777777" w:rsidR="000313BC" w:rsidRPr="000313BC" w:rsidRDefault="008F6BDF" w:rsidP="000313BC">
      <w:r>
        <w:pict w14:anchorId="1A6D3C8F">
          <v:rect id="_x0000_i1031" style="width:0;height:1.5pt" o:hralign="center" o:hrstd="t" o:hr="t" fillcolor="#a0a0a0" stroked="f"/>
        </w:pict>
      </w:r>
    </w:p>
    <w:p w14:paraId="048BC851" w14:textId="77777777" w:rsidR="000313BC" w:rsidRPr="000313BC" w:rsidRDefault="000313BC" w:rsidP="000313BC">
      <w:pPr>
        <w:rPr>
          <w:b/>
          <w:bCs/>
        </w:rPr>
      </w:pPr>
      <w:r w:rsidRPr="000313BC">
        <w:rPr>
          <w:b/>
          <w:bCs/>
        </w:rPr>
        <w:t>Règles de gestion métier</w:t>
      </w:r>
      <w:r w:rsidRPr="000313BC">
        <w:rPr>
          <w:rFonts w:ascii="Arial" w:hAnsi="Arial" w:cs="Arial"/>
          <w:b/>
          <w:bCs/>
        </w:rPr>
        <w:t> </w:t>
      </w:r>
      <w:r w:rsidRPr="000313BC">
        <w:rPr>
          <w:b/>
          <w:bCs/>
        </w:rPr>
        <w:t>:</w:t>
      </w:r>
    </w:p>
    <w:p w14:paraId="01907ED5" w14:textId="77777777" w:rsidR="000313BC" w:rsidRPr="000313BC" w:rsidRDefault="000313BC" w:rsidP="000313BC">
      <w:pPr>
        <w:numPr>
          <w:ilvl w:val="0"/>
          <w:numId w:val="6"/>
        </w:numPr>
      </w:pPr>
      <w:r w:rsidRPr="000313BC">
        <w:t>Format de fichier strict</w:t>
      </w:r>
    </w:p>
    <w:p w14:paraId="1F5E55B9" w14:textId="77777777" w:rsidR="000313BC" w:rsidRPr="000313BC" w:rsidRDefault="000313BC" w:rsidP="000313BC">
      <w:pPr>
        <w:numPr>
          <w:ilvl w:val="0"/>
          <w:numId w:val="6"/>
        </w:numPr>
      </w:pPr>
      <w:r w:rsidRPr="000313BC">
        <w:t>Rapport d’import à chaque opération</w:t>
      </w:r>
    </w:p>
    <w:p w14:paraId="010B515C" w14:textId="77777777" w:rsidR="000313BC" w:rsidRPr="000313BC" w:rsidRDefault="000313BC" w:rsidP="000313BC">
      <w:pPr>
        <w:numPr>
          <w:ilvl w:val="0"/>
          <w:numId w:val="6"/>
        </w:numPr>
      </w:pPr>
      <w:r w:rsidRPr="000313BC">
        <w:t>Import partiel possible en cas d’erreur</w:t>
      </w:r>
    </w:p>
    <w:p w14:paraId="2A3CE96A" w14:textId="77777777" w:rsidR="000313BC" w:rsidRPr="000313BC" w:rsidRDefault="008F6BDF" w:rsidP="000313BC">
      <w:r>
        <w:pict w14:anchorId="6BB90639">
          <v:rect id="_x0000_i1032" style="width:0;height:1.5pt" o:hralign="center" o:hrstd="t" o:hr="t" fillcolor="#a0a0a0" stroked="f"/>
        </w:pict>
      </w:r>
    </w:p>
    <w:p w14:paraId="7DD33F11" w14:textId="77777777" w:rsidR="000313BC" w:rsidRPr="000313BC" w:rsidRDefault="000313BC" w:rsidP="000313BC">
      <w:pPr>
        <w:rPr>
          <w:b/>
          <w:bCs/>
        </w:rPr>
      </w:pPr>
      <w:r w:rsidRPr="000313BC">
        <w:rPr>
          <w:b/>
          <w:bCs/>
        </w:rPr>
        <w:t>Scénario nominal (cas de succès) :</w:t>
      </w:r>
    </w:p>
    <w:p w14:paraId="2C275BAC" w14:textId="77777777" w:rsidR="000313BC" w:rsidRPr="000313BC" w:rsidRDefault="000313BC" w:rsidP="000313BC">
      <w:pPr>
        <w:numPr>
          <w:ilvl w:val="0"/>
          <w:numId w:val="7"/>
        </w:numPr>
      </w:pPr>
      <w:r w:rsidRPr="000313BC">
        <w:t>L’utilisateur charge un fichier structuré.</w:t>
      </w:r>
    </w:p>
    <w:p w14:paraId="7CF4AFEB" w14:textId="77777777" w:rsidR="000313BC" w:rsidRPr="000313BC" w:rsidRDefault="000313BC" w:rsidP="000313BC">
      <w:pPr>
        <w:numPr>
          <w:ilvl w:val="0"/>
          <w:numId w:val="7"/>
        </w:numPr>
      </w:pPr>
      <w:r w:rsidRPr="000313BC">
        <w:t>Le système valide la structure et crée/met à jour les contrats.</w:t>
      </w:r>
    </w:p>
    <w:p w14:paraId="520DD3CA" w14:textId="77777777" w:rsidR="000313BC" w:rsidRPr="000313BC" w:rsidRDefault="000313BC" w:rsidP="000313BC">
      <w:pPr>
        <w:numPr>
          <w:ilvl w:val="0"/>
          <w:numId w:val="7"/>
        </w:numPr>
      </w:pPr>
      <w:r w:rsidRPr="000313BC">
        <w:t>Un rapport détaille les résultats (succès, erreurs).</w:t>
      </w:r>
    </w:p>
    <w:p w14:paraId="7782CB50" w14:textId="77777777" w:rsidR="000313BC" w:rsidRPr="000313BC" w:rsidRDefault="000313BC" w:rsidP="000313BC">
      <w:pPr>
        <w:numPr>
          <w:ilvl w:val="0"/>
          <w:numId w:val="7"/>
        </w:numPr>
      </w:pPr>
      <w:r w:rsidRPr="000313BC">
        <w:t>Les contrats sont exploitables dans l’outil.</w:t>
      </w:r>
    </w:p>
    <w:p w14:paraId="6FBEC195" w14:textId="77777777" w:rsidR="000313BC" w:rsidRPr="000313BC" w:rsidRDefault="008F6BDF" w:rsidP="000313BC">
      <w:r>
        <w:pict w14:anchorId="3430B577">
          <v:rect id="_x0000_i1033" style="width:0;height:1.5pt" o:hralign="center" o:hrstd="t" o:hr="t" fillcolor="#a0a0a0" stroked="f"/>
        </w:pict>
      </w:r>
    </w:p>
    <w:p w14:paraId="04156559" w14:textId="77777777" w:rsidR="000313BC" w:rsidRPr="000313BC" w:rsidRDefault="000313BC" w:rsidP="000313BC">
      <w:pPr>
        <w:rPr>
          <w:b/>
          <w:bCs/>
        </w:rPr>
      </w:pPr>
      <w:r w:rsidRPr="000313BC">
        <w:rPr>
          <w:b/>
          <w:bCs/>
        </w:rPr>
        <w:lastRenderedPageBreak/>
        <w:t>Scénarios alternatifs :</w:t>
      </w:r>
    </w:p>
    <w:p w14:paraId="43DDB051" w14:textId="77777777" w:rsidR="000313BC" w:rsidRPr="000313BC" w:rsidRDefault="000313BC" w:rsidP="000313BC">
      <w:pPr>
        <w:numPr>
          <w:ilvl w:val="0"/>
          <w:numId w:val="8"/>
        </w:numPr>
      </w:pPr>
      <w:r w:rsidRPr="000313BC">
        <w:rPr>
          <w:b/>
          <w:bCs/>
        </w:rPr>
        <w:t>Import partiel</w:t>
      </w:r>
      <w:r w:rsidRPr="000313BC">
        <w:rPr>
          <w:rFonts w:ascii="Arial" w:hAnsi="Arial" w:cs="Arial"/>
        </w:rPr>
        <w:t> </w:t>
      </w:r>
      <w:r w:rsidRPr="000313BC">
        <w:t>: relance de l’import sur les lignes en échec.</w:t>
      </w:r>
    </w:p>
    <w:p w14:paraId="2AC1FAFA" w14:textId="77777777" w:rsidR="000313BC" w:rsidRPr="000313BC" w:rsidRDefault="000313BC" w:rsidP="000313BC">
      <w:pPr>
        <w:numPr>
          <w:ilvl w:val="0"/>
          <w:numId w:val="8"/>
        </w:numPr>
      </w:pPr>
      <w:r w:rsidRPr="000313BC">
        <w:rPr>
          <w:b/>
          <w:bCs/>
        </w:rPr>
        <w:t>Erreur de format</w:t>
      </w:r>
      <w:r w:rsidRPr="000313BC">
        <w:rPr>
          <w:rFonts w:ascii="Arial" w:hAnsi="Arial" w:cs="Arial"/>
        </w:rPr>
        <w:t> </w:t>
      </w:r>
      <w:r w:rsidRPr="000313BC">
        <w:t>: le système bloque l’import et liste les erreurs.</w:t>
      </w:r>
    </w:p>
    <w:p w14:paraId="6EC623B5" w14:textId="77777777" w:rsidR="000313BC" w:rsidRPr="000313BC" w:rsidRDefault="008F6BDF" w:rsidP="000313BC">
      <w:r>
        <w:pict w14:anchorId="4BAE5A57">
          <v:rect id="_x0000_i1034" style="width:0;height:1.5pt" o:hralign="center" o:hrstd="t" o:hr="t" fillcolor="#a0a0a0" stroked="f"/>
        </w:pict>
      </w:r>
    </w:p>
    <w:p w14:paraId="4254BD42" w14:textId="77777777" w:rsidR="000313BC" w:rsidRPr="000313BC" w:rsidRDefault="000313BC" w:rsidP="000313BC">
      <w:pPr>
        <w:rPr>
          <w:b/>
          <w:bCs/>
        </w:rPr>
      </w:pPr>
      <w:r w:rsidRPr="000313BC">
        <w:rPr>
          <w:b/>
          <w:bCs/>
        </w:rPr>
        <w:t>Scénario d’exception</w:t>
      </w:r>
      <w:r w:rsidRPr="000313BC">
        <w:rPr>
          <w:rFonts w:ascii="Arial" w:hAnsi="Arial" w:cs="Arial"/>
          <w:b/>
          <w:bCs/>
        </w:rPr>
        <w:t> </w:t>
      </w:r>
      <w:r w:rsidRPr="000313BC">
        <w:rPr>
          <w:b/>
          <w:bCs/>
        </w:rPr>
        <w:t>:</w:t>
      </w:r>
    </w:p>
    <w:p w14:paraId="47ED5309" w14:textId="5AF6C896" w:rsidR="000313BC" w:rsidRPr="00F92F97" w:rsidRDefault="000313BC" w:rsidP="000313BC">
      <w:pPr>
        <w:numPr>
          <w:ilvl w:val="0"/>
          <w:numId w:val="9"/>
        </w:numPr>
      </w:pPr>
      <w:r w:rsidRPr="00F92F97">
        <w:rPr>
          <w:b/>
          <w:bCs/>
        </w:rPr>
        <w:t>Problème technique lors de l’import</w:t>
      </w:r>
      <w:r w:rsidRPr="00F92F97">
        <w:rPr>
          <w:rFonts w:ascii="Arial" w:hAnsi="Arial" w:cs="Arial"/>
        </w:rPr>
        <w:t> </w:t>
      </w:r>
      <w:r w:rsidRPr="00F92F97">
        <w:t>: l’opération est interrompue, une alerte est générée.</w:t>
      </w:r>
      <w:r w:rsidR="00F04678" w:rsidRPr="00F92F97">
        <w:t xml:space="preserve"> </w:t>
      </w:r>
    </w:p>
    <w:p w14:paraId="769753BD" w14:textId="77777777" w:rsidR="000313BC" w:rsidRPr="000313BC" w:rsidRDefault="008F6BDF" w:rsidP="000313BC">
      <w:r>
        <w:pict w14:anchorId="7ACC99B6">
          <v:rect id="_x0000_i1035" style="width:0;height:1.5pt" o:hralign="center" o:hrstd="t" o:hr="t" fillcolor="#a0a0a0" stroked="f"/>
        </w:pict>
      </w:r>
    </w:p>
    <w:p w14:paraId="267460D7" w14:textId="77777777" w:rsidR="000313BC" w:rsidRPr="000313BC" w:rsidRDefault="000313BC" w:rsidP="000313BC">
      <w:pPr>
        <w:rPr>
          <w:b/>
          <w:bCs/>
        </w:rPr>
      </w:pPr>
      <w:r w:rsidRPr="000313BC">
        <w:rPr>
          <w:b/>
          <w:bCs/>
        </w:rPr>
        <w:t>Informations diverses :</w:t>
      </w:r>
    </w:p>
    <w:p w14:paraId="59B3D03A" w14:textId="4F7C5A4C" w:rsidR="000313BC" w:rsidRPr="000313BC" w:rsidRDefault="000313BC" w:rsidP="000313BC">
      <w:pPr>
        <w:numPr>
          <w:ilvl w:val="0"/>
          <w:numId w:val="10"/>
        </w:numPr>
      </w:pPr>
      <w:r w:rsidRPr="000313BC">
        <w:t xml:space="preserve">Volume : </w:t>
      </w:r>
      <w:r w:rsidR="00F92F97">
        <w:t>Plusieurs dizaines</w:t>
      </w:r>
      <w:r w:rsidRPr="000313BC">
        <w:t xml:space="preserve"> milliers de lignes</w:t>
      </w:r>
    </w:p>
    <w:p w14:paraId="62481CC8" w14:textId="682EAA89" w:rsidR="000313BC" w:rsidRPr="000313BC" w:rsidRDefault="000313BC" w:rsidP="000313BC">
      <w:pPr>
        <w:numPr>
          <w:ilvl w:val="0"/>
          <w:numId w:val="10"/>
        </w:numPr>
      </w:pPr>
      <w:r w:rsidRPr="000313BC">
        <w:t xml:space="preserve">Interfaces : </w:t>
      </w:r>
      <w:r w:rsidR="00F92F97">
        <w:t>I</w:t>
      </w:r>
      <w:r w:rsidRPr="000313BC">
        <w:t>mport, GED, logs d’activité</w:t>
      </w:r>
    </w:p>
    <w:p w14:paraId="58B10F3C" w14:textId="77777777" w:rsidR="000313BC" w:rsidRDefault="000313BC"/>
    <w:sectPr w:rsidR="000313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7F7"/>
    <w:multiLevelType w:val="multilevel"/>
    <w:tmpl w:val="6090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43373"/>
    <w:multiLevelType w:val="multilevel"/>
    <w:tmpl w:val="F5C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D1B67"/>
    <w:multiLevelType w:val="multilevel"/>
    <w:tmpl w:val="E522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E3EE3"/>
    <w:multiLevelType w:val="multilevel"/>
    <w:tmpl w:val="715A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96B0C"/>
    <w:multiLevelType w:val="multilevel"/>
    <w:tmpl w:val="D80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90015"/>
    <w:multiLevelType w:val="multilevel"/>
    <w:tmpl w:val="8316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21A01"/>
    <w:multiLevelType w:val="multilevel"/>
    <w:tmpl w:val="7AD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002A8"/>
    <w:multiLevelType w:val="multilevel"/>
    <w:tmpl w:val="3D3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7676B"/>
    <w:multiLevelType w:val="multilevel"/>
    <w:tmpl w:val="759C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80C38"/>
    <w:multiLevelType w:val="multilevel"/>
    <w:tmpl w:val="DF1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682076">
    <w:abstractNumId w:val="6"/>
  </w:num>
  <w:num w:numId="2" w16cid:durableId="1231624083">
    <w:abstractNumId w:val="7"/>
  </w:num>
  <w:num w:numId="3" w16cid:durableId="1327588552">
    <w:abstractNumId w:val="1"/>
  </w:num>
  <w:num w:numId="4" w16cid:durableId="692194393">
    <w:abstractNumId w:val="2"/>
  </w:num>
  <w:num w:numId="5" w16cid:durableId="1037776975">
    <w:abstractNumId w:val="8"/>
  </w:num>
  <w:num w:numId="6" w16cid:durableId="1857112806">
    <w:abstractNumId w:val="9"/>
  </w:num>
  <w:num w:numId="7" w16cid:durableId="1305624094">
    <w:abstractNumId w:val="3"/>
  </w:num>
  <w:num w:numId="8" w16cid:durableId="926351799">
    <w:abstractNumId w:val="4"/>
  </w:num>
  <w:num w:numId="9" w16cid:durableId="818689625">
    <w:abstractNumId w:val="0"/>
  </w:num>
  <w:num w:numId="10" w16cid:durableId="9788763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3BC"/>
    <w:rsid w:val="000313BC"/>
    <w:rsid w:val="00110E4E"/>
    <w:rsid w:val="001908E7"/>
    <w:rsid w:val="004C433F"/>
    <w:rsid w:val="00776045"/>
    <w:rsid w:val="009E6E33"/>
    <w:rsid w:val="00E35231"/>
    <w:rsid w:val="00F04678"/>
    <w:rsid w:val="00F92F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7BD7A41"/>
  <w15:chartTrackingRefBased/>
  <w15:docId w15:val="{ED7B7D42-23D8-4CFF-AE3C-65243F907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31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31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313B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313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313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313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13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13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13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13B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313B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313B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313B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313B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313B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13B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13B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13BC"/>
    <w:rPr>
      <w:rFonts w:eastAsiaTheme="majorEastAsia" w:cstheme="majorBidi"/>
      <w:color w:val="272727" w:themeColor="text1" w:themeTint="D8"/>
    </w:rPr>
  </w:style>
  <w:style w:type="paragraph" w:styleId="Titre">
    <w:name w:val="Title"/>
    <w:basedOn w:val="Normal"/>
    <w:next w:val="Normal"/>
    <w:link w:val="TitreCar"/>
    <w:uiPriority w:val="10"/>
    <w:qFormat/>
    <w:rsid w:val="00031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13B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13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13B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13BC"/>
    <w:pPr>
      <w:spacing w:before="160"/>
      <w:jc w:val="center"/>
    </w:pPr>
    <w:rPr>
      <w:i/>
      <w:iCs/>
      <w:color w:val="404040" w:themeColor="text1" w:themeTint="BF"/>
    </w:rPr>
  </w:style>
  <w:style w:type="character" w:customStyle="1" w:styleId="CitationCar">
    <w:name w:val="Citation Car"/>
    <w:basedOn w:val="Policepardfaut"/>
    <w:link w:val="Citation"/>
    <w:uiPriority w:val="29"/>
    <w:rsid w:val="000313BC"/>
    <w:rPr>
      <w:i/>
      <w:iCs/>
      <w:color w:val="404040" w:themeColor="text1" w:themeTint="BF"/>
    </w:rPr>
  </w:style>
  <w:style w:type="paragraph" w:styleId="Paragraphedeliste">
    <w:name w:val="List Paragraph"/>
    <w:basedOn w:val="Normal"/>
    <w:uiPriority w:val="34"/>
    <w:qFormat/>
    <w:rsid w:val="000313BC"/>
    <w:pPr>
      <w:ind w:left="720"/>
      <w:contextualSpacing/>
    </w:pPr>
  </w:style>
  <w:style w:type="character" w:styleId="Accentuationintense">
    <w:name w:val="Intense Emphasis"/>
    <w:basedOn w:val="Policepardfaut"/>
    <w:uiPriority w:val="21"/>
    <w:qFormat/>
    <w:rsid w:val="000313BC"/>
    <w:rPr>
      <w:i/>
      <w:iCs/>
      <w:color w:val="0F4761" w:themeColor="accent1" w:themeShade="BF"/>
    </w:rPr>
  </w:style>
  <w:style w:type="paragraph" w:styleId="Citationintense">
    <w:name w:val="Intense Quote"/>
    <w:basedOn w:val="Normal"/>
    <w:next w:val="Normal"/>
    <w:link w:val="CitationintenseCar"/>
    <w:uiPriority w:val="30"/>
    <w:qFormat/>
    <w:rsid w:val="00031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313BC"/>
    <w:rPr>
      <w:i/>
      <w:iCs/>
      <w:color w:val="0F4761" w:themeColor="accent1" w:themeShade="BF"/>
    </w:rPr>
  </w:style>
  <w:style w:type="character" w:styleId="Rfrenceintense">
    <w:name w:val="Intense Reference"/>
    <w:basedOn w:val="Policepardfaut"/>
    <w:uiPriority w:val="32"/>
    <w:qFormat/>
    <w:rsid w:val="00031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752442">
      <w:bodyDiv w:val="1"/>
      <w:marLeft w:val="0"/>
      <w:marRight w:val="0"/>
      <w:marTop w:val="0"/>
      <w:marBottom w:val="0"/>
      <w:divBdr>
        <w:top w:val="none" w:sz="0" w:space="0" w:color="auto"/>
        <w:left w:val="none" w:sz="0" w:space="0" w:color="auto"/>
        <w:bottom w:val="none" w:sz="0" w:space="0" w:color="auto"/>
        <w:right w:val="none" w:sz="0" w:space="0" w:color="auto"/>
      </w:divBdr>
      <w:divsChild>
        <w:div w:id="108623846">
          <w:marLeft w:val="0"/>
          <w:marRight w:val="0"/>
          <w:marTop w:val="0"/>
          <w:marBottom w:val="0"/>
          <w:divBdr>
            <w:top w:val="none" w:sz="0" w:space="0" w:color="auto"/>
            <w:left w:val="none" w:sz="0" w:space="0" w:color="auto"/>
            <w:bottom w:val="none" w:sz="0" w:space="0" w:color="auto"/>
            <w:right w:val="none" w:sz="0" w:space="0" w:color="auto"/>
          </w:divBdr>
          <w:divsChild>
            <w:div w:id="20296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69645">
      <w:bodyDiv w:val="1"/>
      <w:marLeft w:val="0"/>
      <w:marRight w:val="0"/>
      <w:marTop w:val="0"/>
      <w:marBottom w:val="0"/>
      <w:divBdr>
        <w:top w:val="none" w:sz="0" w:space="0" w:color="auto"/>
        <w:left w:val="none" w:sz="0" w:space="0" w:color="auto"/>
        <w:bottom w:val="none" w:sz="0" w:space="0" w:color="auto"/>
        <w:right w:val="none" w:sz="0" w:space="0" w:color="auto"/>
      </w:divBdr>
      <w:divsChild>
        <w:div w:id="639769923">
          <w:marLeft w:val="0"/>
          <w:marRight w:val="0"/>
          <w:marTop w:val="0"/>
          <w:marBottom w:val="0"/>
          <w:divBdr>
            <w:top w:val="none" w:sz="0" w:space="0" w:color="auto"/>
            <w:left w:val="none" w:sz="0" w:space="0" w:color="auto"/>
            <w:bottom w:val="none" w:sz="0" w:space="0" w:color="auto"/>
            <w:right w:val="none" w:sz="0" w:space="0" w:color="auto"/>
          </w:divBdr>
          <w:divsChild>
            <w:div w:id="1142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412</Words>
  <Characters>2266</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BENTAHAR Samy (ENGIE Green)</dc:creator>
  <cp:keywords/>
  <dc:description/>
  <cp:lastModifiedBy>EL HAJJAM Mohamed (ENGIE Green)</cp:lastModifiedBy>
  <cp:revision>2</cp:revision>
  <dcterms:created xsi:type="dcterms:W3CDTF">2025-07-31T21:25:00Z</dcterms:created>
  <dcterms:modified xsi:type="dcterms:W3CDTF">2025-07-31T21:25:00Z</dcterms:modified>
</cp:coreProperties>
</file>