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Ph.D. in Chemistry, Texas A&amp;M University, College Station, TX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30" w:lineRule="exact"/>
        <w:ind w:left="360"/>
        <w:jc w:val="both"/>
      </w:pPr>
      <w:r>
        <w:rPr>
          <w:rFonts w:ascii="Palatino" w:eastAsia="Palatino" w:hAnsi="Palatino" w:cs="Palatino"/>
          <w:sz w:val="20"/>
        </w:rPr>
        <w:t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30" w:lineRule="exact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Advisor: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David C. Powers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30" w:lineRule="exact"/>
        <w:ind w:left="3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30" w:lineRule="exact"/>
        <w:ind w:left="160"/>
        <w:jc w:val="both"/>
      </w:pPr>
      <w:r>
        <w:rPr>
          <w:rFonts w:ascii="Palatino" w:eastAsia="Palatino" w:hAnsi="Palatino" w:cs="Palatino"/>
          <w:sz w:val="20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20"/>
        </w:rPr>
        <w:t>photoredox</w:t>
      </w:r>
      <w:proofErr w:type="spellEnd"/>
      <w:r>
        <w:rPr>
          <w:rFonts w:ascii="Palatino" w:eastAsia="Palatino" w:hAnsi="Palatino" w:cs="Palatino"/>
          <w:sz w:val="20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30" w:lineRule="exact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Synthetic Chemistry &amp; Reaction Development:</w:t>
      </w:r>
      <w:r>
        <w:rPr>
          <w:rFonts w:ascii="Palatino" w:eastAsia="Palatino" w:hAnsi="Palatino" w:cs="Palatino"/>
          <w:sz w:val="20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20"/>
        </w:rPr>
        <w:t>Photoredox</w:t>
      </w:r>
      <w:proofErr w:type="spellEnd"/>
      <w:r>
        <w:rPr>
          <w:rFonts w:ascii="Palatino" w:eastAsia="Palatino" w:hAnsi="Palatino" w:cs="Palatino"/>
          <w:sz w:val="20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30" w:lineRule="exact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Analysis &amp; Purification:</w:t>
      </w:r>
      <w:r>
        <w:rPr>
          <w:rFonts w:ascii="Palatino" w:eastAsia="Palatino" w:hAnsi="Palatino" w:cs="Palatino"/>
          <w:sz w:val="20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30" w:lineRule="exact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Experimental Practice &amp; Knowledge Sharing:</w:t>
      </w:r>
      <w:r>
        <w:rPr>
          <w:rFonts w:ascii="Palatino" w:eastAsia="Palatino" w:hAnsi="Palatino" w:cs="Palatino"/>
          <w:sz w:val="20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Texas A&amp;M University, College Station, TX, USA</w:t>
      </w: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(Doctoral Researcher)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20"/>
          <w:szCs w:val="20"/>
        </w:rPr>
        <w:t>2021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20"/>
          <w:szCs w:val="20"/>
        </w:rPr>
        <w:t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20"/>
        </w:rPr>
        <w:t>J. Am. Chem. Soc.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2026</w:t>
      </w:r>
      <w:r w:rsidRPr="00666B39">
        <w:rPr>
          <w:rFonts w:ascii="Palatino" w:eastAsia="Palatino" w:hAnsi="Palatino" w:cs="Palatino"/>
          <w:sz w:val="20"/>
        </w:rPr>
        <w:t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20"/>
        </w:rPr>
        <w:t>Org. Synth.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2026</w:t>
      </w:r>
      <w:r w:rsidRPr="00666B39">
        <w:rPr>
          <w:rFonts w:ascii="Palatino" w:eastAsia="Palatino" w:hAnsi="Palatino" w:cs="Palatino"/>
          <w:sz w:val="20"/>
        </w:rPr>
        <w:t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20"/>
          <w:szCs w:val="20"/>
        </w:rPr>
        <w:t>aminyl</w:t>
      </w:r>
      <w:proofErr w:type="spellEnd"/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20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20"/>
        </w:rPr>
        <w:t>Catal</w:t>
      </w:r>
      <w:proofErr w:type="spellEnd"/>
      <w:r w:rsidRPr="00666B39">
        <w:rPr>
          <w:rFonts w:ascii="Palatino" w:eastAsia="Palatino" w:hAnsi="Palatino" w:cs="Palatino"/>
          <w:i/>
          <w:sz w:val="20"/>
        </w:rPr>
        <w:t>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2024</w:t>
      </w:r>
      <w:r w:rsidRPr="00666B39">
        <w:rPr>
          <w:rFonts w:ascii="Palatino" w:eastAsia="Palatino" w:hAnsi="Palatino" w:cs="Palatino"/>
          <w:sz w:val="20"/>
        </w:rPr>
        <w:t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(MS Researcher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20"/>
        </w:rPr>
        <w:t>Chem. Eur. J.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2020</w:t>
      </w:r>
      <w:r w:rsidRPr="00666B39">
        <w:rPr>
          <w:rFonts w:ascii="Palatino" w:eastAsia="Palatino" w:hAnsi="Palatino" w:cs="Palatino"/>
          <w:sz w:val="20"/>
        </w:rPr>
        <w:t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30" w:lineRule="exact"/>
        <w:jc w:val="both"/>
      </w:pPr>
      <w:r>
        <w:rPr>
          <w:rFonts w:ascii="Palatino" w:eastAsia="Palatino" w:hAnsi="Palatino" w:cs="Palatino"/>
          <w:sz w:val="20"/>
        </w:rPr>
        <w:t>I</w:t>
      </w:r>
      <w:r w:rsidR="00C37736" w:rsidRPr="00666B39">
        <w:rPr>
          <w:rFonts w:ascii="Palatino" w:eastAsia="Palatino" w:hAnsi="Palatino" w:cs="Palatino"/>
          <w:sz w:val="20"/>
        </w:rPr>
        <w:t>nvestigated an osmium high-</w:t>
      </w:r>
      <w:proofErr w:type="spellStart"/>
      <w:r w:rsidR="00C37736" w:rsidRPr="00666B39">
        <w:rPr>
          <w:rFonts w:ascii="Palatino" w:eastAsia="Palatino" w:hAnsi="Palatino" w:cs="Palatino"/>
          <w:sz w:val="20"/>
        </w:rPr>
        <w:t>nuclearity</w:t>
      </w:r>
      <w:proofErr w:type="spellEnd"/>
      <w:r w:rsidR="00C37736" w:rsidRPr="00666B39">
        <w:rPr>
          <w:rFonts w:ascii="Palatino" w:eastAsia="Palatino" w:hAnsi="Palatino" w:cs="Palatino"/>
          <w:sz w:val="20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20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20"/>
        </w:rPr>
        <w:t>Clust</w:t>
      </w:r>
      <w:proofErr w:type="spellEnd"/>
      <w:r w:rsidR="00C37736" w:rsidRPr="00666B39">
        <w:rPr>
          <w:rFonts w:ascii="Palatino" w:eastAsia="Palatino" w:hAnsi="Palatino" w:cs="Palatino"/>
          <w:i/>
          <w:sz w:val="20"/>
        </w:rPr>
        <w:t>. Sci.</w:t>
      </w:r>
      <w:r w:rsidR="00C37736" w:rsidRPr="00666B39">
        <w:rPr>
          <w:rFonts w:ascii="Palatino" w:eastAsia="Palatino" w:hAnsi="Palatino" w:cs="Palatino"/>
          <w:sz w:val="20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20"/>
        </w:rPr>
        <w:t>2021</w:t>
      </w:r>
      <w:r w:rsidR="00C37736" w:rsidRPr="00666B39">
        <w:rPr>
          <w:rFonts w:ascii="Palatino" w:eastAsia="Palatino" w:hAnsi="Palatino" w:cs="Palatino"/>
          <w:sz w:val="20"/>
        </w:rPr>
        <w:t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2018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20"/>
          <w:szCs w:val="20"/>
        </w:rPr>
        <w:t>2021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74,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Intern).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2017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sz w:val="20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20"/>
        </w:rPr>
        <w:t>hexatopic</w:t>
      </w:r>
      <w:proofErr w:type="spellEnd"/>
      <w:r w:rsidRPr="00666B39">
        <w:rPr>
          <w:rFonts w:ascii="Palatino" w:eastAsia="Palatino" w:hAnsi="Palatino" w:cs="Palatino"/>
          <w:sz w:val="20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30" w:lineRule="exact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Patel, L.; Manna, D.;</w:t>
      </w:r>
      <w:r>
        <w:rPr>
          <w:rFonts w:ascii="Palatino" w:eastAsia="Palatino" w:hAnsi="Palatino" w:cs="Palatino"/>
          <w:color w:val="292D32"/>
          <w:sz w:val="20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J. Am. Chem. Soc.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33104–33117</w:t>
        </w:r>
      </w:hyperlink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.</w:t>
      </w:r>
    </w:p>
    <w:p w14:paraId="200796A7" w14:textId="77777777" w:rsidR="006660D4" w:rsidRPr="00E7358C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30" w:lineRule="exact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Tan, H.; Chatterjee, S.;</w:t>
      </w:r>
      <w:r>
        <w:rPr>
          <w:rFonts w:ascii="Palatino" w:eastAsia="Palatino" w:hAnsi="Palatino" w:cs="Palatino"/>
          <w:color w:val="292D32"/>
          <w:sz w:val="20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-Pyridinium Aziridines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78–100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.</w:t>
        </w:r>
      </w:hyperlink>
    </w:p>
    <w:p w14:paraId="5E2B4C13" w14:textId="77777777" w:rsidR="00E7358C" w:rsidRPr="00E7358C" w:rsidRDefault="00E7358C" w:rsidP="00BB2015">
      <w:pPr>
        <w:keepLines/>
        <w:numPr>
          <w:ilvl w:val="0"/>
          <w:numId w:val="33"/>
        </w:numPr>
        <w:tabs>
          <w:tab w:val="left" w:pos="460"/>
        </w:tabs>
        <w:spacing w:after="60" w:line="230" w:lineRule="exact"/>
        <w:ind w:left="360"/>
        <w:jc w:val="both"/>
      </w:pPr>
      <w:r>
        <w:rPr>
          <w:rFonts w:ascii="Palatino" w:eastAsia="Palatino" w:hAnsi="Palatino" w:cs="Palatino"/>
          <w:sz w:val="20"/>
        </w:rPr>
        <w:t xml:space="preserve">Roychowdhury, P.; </w:t>
      </w:r>
      <w:r>
        <w:rPr>
          <w:rFonts w:ascii="Palatino" w:eastAsia="Palatino" w:hAnsi="Palatino" w:cs="Palatino"/>
          <w:b/>
          <w:sz w:val="20"/>
        </w:rPr>
        <w:t>Samanta, S.</w:t>
      </w:r>
      <w:r>
        <w:rPr>
          <w:rFonts w:ascii="Palatino" w:eastAsia="Palatino" w:hAnsi="Palatino" w:cs="Palatino"/>
          <w:sz w:val="20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20"/>
        </w:rPr>
        <w:t>Aminofunctionalization</w:t>
      </w:r>
      <w:proofErr w:type="spellEnd"/>
      <w:r>
        <w:rPr>
          <w:rFonts w:ascii="Palatino" w:eastAsia="Palatino" w:hAnsi="Palatino" w:cs="Palatino"/>
          <w:sz w:val="20"/>
        </w:rPr>
        <w:t xml:space="preserve"> via Arylamine Radicals. </w:t>
      </w:r>
      <w:r>
        <w:rPr>
          <w:rFonts w:ascii="Palatino" w:eastAsia="Palatino" w:hAnsi="Palatino" w:cs="Palatino"/>
          <w:i/>
          <w:sz w:val="20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20"/>
        </w:rPr>
        <w:t>Catal</w:t>
      </w:r>
      <w:proofErr w:type="spellEnd"/>
      <w:r>
        <w:rPr>
          <w:rFonts w:ascii="Palatino" w:eastAsia="Palatino" w:hAnsi="Palatino" w:cs="Palatino"/>
          <w:i/>
          <w:sz w:val="20"/>
        </w:rPr>
        <w:t>.</w:t>
      </w:r>
      <w:r>
        <w:rPr>
          <w:rFonts w:ascii="Palatino" w:eastAsia="Palatino" w:hAnsi="Palatino" w:cs="Palatino"/>
          <w:sz w:val="20"/>
        </w:rPr>
        <w:t xml:space="preserve"> </w:t>
      </w:r>
      <w:r>
        <w:rPr>
          <w:rFonts w:ascii="Palatino" w:eastAsia="Palatino" w:hAnsi="Palatino" w:cs="Palatino"/>
          <w:b/>
          <w:sz w:val="20"/>
        </w:rPr>
        <w:t>2024</w:t>
      </w:r>
      <w:r>
        <w:rPr>
          <w:rFonts w:ascii="Palatino" w:eastAsia="Palatino" w:hAnsi="Palatino" w:cs="Palatino"/>
          <w:sz w:val="20"/>
        </w:rPr>
        <w:t xml:space="preserve">, </w:t>
      </w:r>
      <w:r>
        <w:rPr>
          <w:rFonts w:ascii="Palatino" w:eastAsia="Palatino" w:hAnsi="Palatino" w:cs="Palatino"/>
          <w:i/>
          <w:sz w:val="20"/>
        </w:rPr>
        <w:t>14</w:t>
      </w:r>
      <w:r>
        <w:rPr>
          <w:rFonts w:ascii="Palatino" w:eastAsia="Palatino" w:hAnsi="Palatino" w:cs="Palatino"/>
          <w:sz w:val="20"/>
        </w:rPr>
        <w:t>, 13156–13162.</w:t>
      </w:r>
    </w:p>
    <w:p w14:paraId="3E1252B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30" w:lineRule="exact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Biswas, P.; O’Bannon, B.; Powers, D. C.</w:t>
      </w:r>
      <w:r>
        <w:rPr>
          <w:rFonts w:ascii="Palatino" w:eastAsia="Palatino" w:hAnsi="Palatino" w:cs="Palatino"/>
          <w:bCs/>
          <w:color w:val="292D32"/>
          <w:sz w:val="20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-Pyridinium Aziridines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2024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, 63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e202406335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Hot paper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20"/>
          <w:szCs w:val="20"/>
        </w:rPr>
        <w:t>2025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.</w:t>
      </w:r>
    </w:p>
    <w:p w14:paraId="5FFBF9D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30" w:lineRule="exact"/>
        <w:ind w:left="3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N-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-Aryl Aziridines.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Nat. Commun.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  <w:lang w:val="de-DE"/>
          </w:rPr>
          <w:t>2022</w:t>
        </w:r>
        <w:r>
          <w:rPr>
            <w:rStyle w:val="Hyperlink"/>
            <w:rFonts w:ascii="Palatino" w:eastAsia="Palatino" w:hAnsi="Palatino" w:cs="Palatino"/>
            <w:sz w:val="20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20"/>
            <w:szCs w:val="20"/>
            <w:lang w:val="de-DE"/>
          </w:rPr>
          <w:t>3341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.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Synform</w:t>
      </w:r>
      <w:proofErr w:type="spellEnd"/>
      <w:r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2022</w:t>
      </w:r>
      <w:r>
        <w:rPr>
          <w:rFonts w:ascii="Palatino" w:eastAsia="Palatino" w:hAnsi="Palatino" w:cs="Palatino"/>
          <w:color w:val="292D32"/>
          <w:sz w:val="20"/>
          <w:szCs w:val="20"/>
        </w:rPr>
        <w:t>/11, A169–A171 as literature coverage.</w:t>
      </w:r>
    </w:p>
    <w:p w14:paraId="60AC9242" w14:textId="77777777" w:rsidR="006660D4" w:rsidRPr="00101FF8" w:rsidRDefault="006660D4" w:rsidP="00BB2015">
      <w:pPr>
        <w:keepLines/>
        <w:tabs>
          <w:tab w:val="right" w:pos="10858"/>
        </w:tabs>
        <w:spacing w:after="30" w:line="230" w:lineRule="exact"/>
        <w:ind w:left="1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Complete publication list available on </w:t>
      </w:r>
      <w:hyperlink r:id="rId13" w:history="1">
        <w:r>
          <w:rPr>
            <w:rStyle w:val="Hyperlink"/>
            <w:rFonts w:ascii="Palatino" w:eastAsia="Palatino" w:hAnsi="Palatino" w:cs="Palatino"/>
            <w:bCs/>
            <w:sz w:val="20"/>
            <w:szCs w:val="20"/>
          </w:rPr>
          <w:t>Google Scholar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30" w:lineRule="exact"/>
        <w:ind w:left="460" w:hanging="300"/>
        <w:jc w:val="both"/>
      </w:pPr>
      <w:r>
        <w:rPr>
          <w:rFonts w:ascii="Palatino" w:hAnsi="Palatino"/>
          <w:sz w:val="20"/>
        </w:rPr>
        <w:t>1.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; Patel, L.; Manna, D.; Ojeda, M.; Powers, D. C.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Gordon Research Conference on Organic Reactions and Processes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30" w:lineRule="exact"/>
        <w:ind w:left="460" w:hanging="300"/>
        <w:jc w:val="both"/>
      </w:pPr>
      <w:r>
        <w:rPr>
          <w:rFonts w:ascii="Palatino" w:hAnsi="Palatino"/>
          <w:sz w:val="20"/>
        </w:rPr>
        <w:t>2.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Powers, D. C. “</w:t>
      </w:r>
      <w:r>
        <w:rPr>
          <w:rFonts w:ascii="Aptos" w:hAnsi="Aptos" w:cs="Times New Roman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30" w:lineRule="exact"/>
        <w:ind w:left="720" w:hanging="260"/>
        <w:jc w:val="both"/>
      </w:pPr>
      <w:r>
        <w:rPr>
          <w:rFonts w:ascii="Palatino" w:hAnsi="Palatino"/>
          <w:sz w:val="20"/>
        </w:rPr>
        <w:t>a)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20"/>
          <w:szCs w:val="20"/>
        </w:rPr>
        <w:t>on ‘Frontiers in Molecular Catalysis’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30" w:lineRule="exact"/>
        <w:ind w:left="720" w:hanging="260"/>
        <w:jc w:val="both"/>
      </w:pPr>
      <w:r>
        <w:rPr>
          <w:rFonts w:ascii="Palatino" w:hAnsi="Palatino"/>
          <w:sz w:val="20"/>
        </w:rPr>
        <w:t>b)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20"/>
          <w:szCs w:val="20"/>
        </w:rPr>
        <w:t>by ACS Division of Organic Chemistry at Virginia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30" w:lineRule="exact"/>
        <w:ind w:left="460" w:hanging="300"/>
        <w:jc w:val="both"/>
      </w:pPr>
      <w:r>
        <w:rPr>
          <w:rFonts w:ascii="Palatino" w:hAnsi="Palatino"/>
          <w:sz w:val="20"/>
        </w:rPr>
        <w:t>3.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Powers, D. C. “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30" w:lineRule="exact"/>
        <w:ind w:left="720" w:hanging="260"/>
        <w:jc w:val="both"/>
      </w:pPr>
      <w:r>
        <w:rPr>
          <w:rFonts w:ascii="Palatino" w:hAnsi="Palatino"/>
          <w:sz w:val="20"/>
        </w:rPr>
        <w:t>a)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20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20"/>
          <w:szCs w:val="20"/>
        </w:rPr>
        <w:t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30" w:lineRule="exact"/>
        <w:ind w:left="720" w:hanging="260"/>
        <w:jc w:val="both"/>
      </w:pPr>
      <w:r>
        <w:rPr>
          <w:rFonts w:ascii="Palatino" w:hAnsi="Palatino"/>
          <w:sz w:val="20"/>
        </w:rPr>
        <w:t>b)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F.A. Cotton Medal for Excellence in Chemical Research Symposium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30" w:lineRule="exact"/>
        <w:ind w:left="720" w:hanging="260"/>
        <w:jc w:val="both"/>
      </w:pPr>
      <w:r>
        <w:rPr>
          <w:rFonts w:ascii="Palatino" w:hAnsi="Palatino"/>
          <w:sz w:val="20"/>
        </w:rPr>
        <w:t>c)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FloHet-2024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ORAL PRESENTATIONS</w:t>
      </w:r>
    </w:p>
    <w:p w14:paraId="04F3E13D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30" w:lineRule="exact"/>
        <w:ind w:left="460" w:hanging="300"/>
        <w:jc w:val="both"/>
      </w:pPr>
      <w:r>
        <w:rPr>
          <w:rFonts w:ascii="Palatino" w:hAnsi="Palatino"/>
          <w:sz w:val="20"/>
        </w:rPr>
        <w:t>1.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Powers, D. C. “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N-Pyridinium Aziridines: Synthesis and Reactivity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.”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Pfizer Chemistry Connect Virtual Symposium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Nov 2024</w:t>
      </w:r>
    </w:p>
    <w:p w14:paraId="1B149876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30" w:lineRule="exact"/>
        <w:ind w:left="460" w:hanging="300"/>
        <w:jc w:val="both"/>
      </w:pPr>
      <w:r>
        <w:rPr>
          <w:rFonts w:ascii="Palatino" w:hAnsi="Palatino"/>
          <w:sz w:val="20"/>
        </w:rPr>
        <w:t>2.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Powers, D. C. “</w:t>
      </w:r>
      <w:r>
        <w:rPr>
          <w:rFonts w:ascii="Aptos" w:hAnsi="Aptos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Southwest Regional Meeting of the American Chemical Society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HONORS &amp; AWARDS</w:t>
      </w:r>
    </w:p>
    <w:p w14:paraId="575DB047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Selected participant,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74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  <w:vertAlign w:val="superscript"/>
        </w:rPr>
        <w:t>th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Lindau Nobel Laureate Meeting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in Chemistry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(2025)</w:t>
      </w:r>
    </w:p>
    <w:p w14:paraId="40407520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Derek and Christiane Barton Graduate Endowment (2025)</w:t>
      </w:r>
    </w:p>
    <w:p w14:paraId="03DA32FB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Sharon Dabney Memorial Scholarship (2025)</w:t>
      </w:r>
    </w:p>
    <w:p w14:paraId="64E27F4E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F. A. Cotton Endowed Memorial Graduate Travel Award (2025)</w:t>
      </w:r>
    </w:p>
    <w:p w14:paraId="603AAF0C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Graduate Student Research and Presentation (RAP) Travel Award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(2025)</w:t>
      </w:r>
    </w:p>
    <w:p w14:paraId="465A45C9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3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  <w:vertAlign w:val="superscript"/>
        </w:rPr>
        <w:t>rd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place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in the poster presentation,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Welch Conference (2024)</w:t>
      </w:r>
    </w:p>
    <w:p w14:paraId="1034157A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Grand Prize for the best poster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in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Joint Research Symposium, TAMU (2023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>)</w:t>
      </w:r>
    </w:p>
    <w:p w14:paraId="39289A8D" w14:textId="77777777" w:rsidR="006660D4" w:rsidRPr="00E7358C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Martin Donald Corera Memorial Travel Award (2023)</w:t>
      </w:r>
    </w:p>
    <w:p w14:paraId="65BDD3A9" w14:textId="7777777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  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(Active member and ex-treasurer)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(Moderator)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20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large representative)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  <w:t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30" w:lineRule="exact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(Coordinator)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37"/>
        </w:numPr>
        <w:tabs>
          <w:tab w:val="left" w:pos="460"/>
        </w:tabs>
        <w:spacing w:after="30" w:line="230" w:lineRule="exact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22DC" w14:textId="77777777" w:rsidR="00DF78AD" w:rsidRDefault="00DF78AD" w:rsidP="00CC0B1E">
      <w:pPr>
        <w:spacing w:line="240" w:lineRule="auto"/>
      </w:pPr>
      <w:r>
        <w:separator/>
      </w:r>
    </w:p>
  </w:endnote>
  <w:endnote w:type="continuationSeparator" w:id="0">
    <w:p w14:paraId="0E77CFDA" w14:textId="77777777" w:rsidR="00DF78AD" w:rsidRDefault="00DF78AD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3A9B" w14:textId="77777777" w:rsidR="00DF78AD" w:rsidRDefault="00DF78AD" w:rsidP="00CC0B1E">
      <w:pPr>
        <w:spacing w:line="240" w:lineRule="auto"/>
      </w:pPr>
      <w:r>
        <w:separator/>
      </w:r>
    </w:p>
  </w:footnote>
  <w:footnote w:type="continuationSeparator" w:id="0">
    <w:p w14:paraId="6C8FD621" w14:textId="77777777" w:rsidR="00DF78AD" w:rsidRDefault="00DF78AD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33EB57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2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3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4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5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6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8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9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0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2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3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4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6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8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6"/>
  </w:num>
  <w:num w:numId="3" w16cid:durableId="1758359934">
    <w:abstractNumId w:val="4"/>
  </w:num>
  <w:num w:numId="4" w16cid:durableId="1697467553">
    <w:abstractNumId w:val="39"/>
  </w:num>
  <w:num w:numId="5" w16cid:durableId="1543781779">
    <w:abstractNumId w:val="36"/>
  </w:num>
  <w:num w:numId="6" w16cid:durableId="1359576362">
    <w:abstractNumId w:val="35"/>
  </w:num>
  <w:num w:numId="7" w16cid:durableId="285550441">
    <w:abstractNumId w:val="32"/>
  </w:num>
  <w:num w:numId="8" w16cid:durableId="220141300">
    <w:abstractNumId w:val="38"/>
  </w:num>
  <w:num w:numId="9" w16cid:durableId="153422235">
    <w:abstractNumId w:val="21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2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4"/>
  </w:num>
  <w:num w:numId="21" w16cid:durableId="1768304866">
    <w:abstractNumId w:val="14"/>
  </w:num>
  <w:num w:numId="22" w16cid:durableId="827094960">
    <w:abstractNumId w:val="31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4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5"/>
  </w:num>
  <w:num w:numId="31" w16cid:durableId="1522009577">
    <w:abstractNumId w:val="37"/>
  </w:num>
  <w:num w:numId="32" w16cid:durableId="903952019">
    <w:abstractNumId w:val="29"/>
  </w:num>
  <w:num w:numId="33" w16cid:durableId="722943189">
    <w:abstractNumId w:val="33"/>
  </w:num>
  <w:num w:numId="34" w16cid:durableId="2087455363">
    <w:abstractNumId w:val="2"/>
  </w:num>
  <w:num w:numId="35" w16cid:durableId="1784807445">
    <w:abstractNumId w:val="27"/>
  </w:num>
  <w:num w:numId="36" w16cid:durableId="1691179469">
    <w:abstractNumId w:val="20"/>
  </w:num>
  <w:num w:numId="37" w16cid:durableId="934439287">
    <w:abstractNumId w:val="23"/>
  </w:num>
  <w:num w:numId="38" w16cid:durableId="1678267099">
    <w:abstractNumId w:val="30"/>
  </w:num>
  <w:num w:numId="39" w16cid:durableId="293602915">
    <w:abstractNumId w:val="12"/>
  </w:num>
  <w:num w:numId="40" w16cid:durableId="11406146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4</cp:revision>
  <cp:lastPrinted>2026-10-20T19:57:00Z</cp:lastPrinted>
  <dcterms:created xsi:type="dcterms:W3CDTF">2026-10-20T19:57:00Z</dcterms:created>
  <dcterms:modified xsi:type="dcterms:W3CDTF">2026-10-22T19:17:00Z</dcterms:modified>
</cp:coreProperties>
</file>