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888A" w14:textId="77777777" w:rsidR="00730E2C" w:rsidRDefault="00730E2C">
      <w:pPr>
        <w:spacing w:before="1400"/>
      </w:pPr>
    </w:p>
    <w:p w14:paraId="54A3C1E4" w14:textId="3034C689" w:rsidR="00730E2C" w:rsidRDefault="0059461F">
      <w:pPr>
        <w:jc w:val="center"/>
      </w:pPr>
      <w:r>
        <w:rPr>
          <w:b/>
          <w:bCs/>
          <w:color w:val="1F3864"/>
          <w:sz w:val="56"/>
          <w:szCs w:val="56"/>
        </w:rPr>
        <w:t>SAMYAG</w:t>
      </w:r>
      <w:r w:rsidR="00000000">
        <w:rPr>
          <w:b/>
          <w:bCs/>
          <w:color w:val="1F3864"/>
          <w:sz w:val="56"/>
          <w:szCs w:val="56"/>
        </w:rPr>
        <w:t xml:space="preserve"> SYNERGY</w:t>
      </w:r>
      <w:r>
        <w:rPr>
          <w:b/>
          <w:bCs/>
          <w:color w:val="1F3864"/>
          <w:sz w:val="56"/>
          <w:szCs w:val="56"/>
        </w:rPr>
        <w:t xml:space="preserve"> PTE LTD</w:t>
      </w:r>
    </w:p>
    <w:p w14:paraId="295224AA" w14:textId="77777777" w:rsidR="00730E2C" w:rsidRDefault="00000000">
      <w:pPr>
        <w:spacing w:before="200" w:after="100"/>
        <w:jc w:val="center"/>
      </w:pPr>
      <w:r>
        <w:rPr>
          <w:b/>
          <w:bCs/>
          <w:color w:val="9C7A2A"/>
          <w:sz w:val="30"/>
          <w:szCs w:val="30"/>
        </w:rPr>
        <w:t>Sustainability-related Financial Disclosures</w:t>
      </w:r>
    </w:p>
    <w:p w14:paraId="4F55699F" w14:textId="77777777" w:rsidR="00730E2C" w:rsidRDefault="00000000">
      <w:pPr>
        <w:spacing w:after="600"/>
        <w:jc w:val="center"/>
      </w:pPr>
      <w:r>
        <w:rPr>
          <w:i/>
          <w:iCs/>
          <w:color w:val="595959"/>
        </w:rPr>
        <w:t>Prepared in accordance with IFRS S1 — General Requirements for Disclosure of Sustainability-related Financial Information, with reference to SASB Professional &amp; Commercial Services (SV-PS) industry standard</w:t>
      </w:r>
    </w:p>
    <w:p w14:paraId="1AC1C6C4" w14:textId="77777777" w:rsidR="00730E2C" w:rsidRDefault="00730E2C">
      <w:pPr>
        <w:pBdr>
          <w:top w:val="single" w:sz="6" w:space="10" w:color="1F3864"/>
        </w:pBdr>
        <w:spacing w:before="300"/>
      </w:pPr>
    </w:p>
    <w:p w14:paraId="16F3040E" w14:textId="77777777" w:rsidR="00730E2C" w:rsidRDefault="00000000">
      <w:pPr>
        <w:spacing w:before="500"/>
        <w:jc w:val="center"/>
      </w:pPr>
      <w:r>
        <w:rPr>
          <w:b/>
          <w:bCs/>
          <w:color w:val="333333"/>
          <w:sz w:val="22"/>
          <w:szCs w:val="22"/>
        </w:rPr>
        <w:t>Reporting Period: FY2026</w:t>
      </w:r>
    </w:p>
    <w:p w14:paraId="03EF3F11" w14:textId="77777777" w:rsidR="00730E2C" w:rsidRDefault="00000000">
      <w:pPr>
        <w:spacing w:after="60"/>
        <w:jc w:val="center"/>
      </w:pPr>
      <w:r>
        <w:rPr>
          <w:i/>
          <w:iCs/>
          <w:color w:val="595959"/>
          <w:sz w:val="18"/>
          <w:szCs w:val="18"/>
        </w:rPr>
        <w:t>(with FY2025 comparatives, where available)</w:t>
      </w:r>
    </w:p>
    <w:p w14:paraId="0C532893" w14:textId="77777777" w:rsidR="00730E2C" w:rsidRDefault="00000000">
      <w:pPr>
        <w:spacing w:before="700"/>
        <w:jc w:val="center"/>
      </w:pPr>
      <w:r>
        <w:rPr>
          <w:color w:val="595959"/>
          <w:sz w:val="18"/>
          <w:szCs w:val="18"/>
        </w:rPr>
        <w:t>Prepared by</w:t>
      </w:r>
    </w:p>
    <w:p w14:paraId="6D48481F" w14:textId="77777777" w:rsidR="00730E2C" w:rsidRDefault="00000000">
      <w:pPr>
        <w:spacing w:before="60"/>
        <w:jc w:val="center"/>
      </w:pPr>
      <w:r>
        <w:rPr>
          <w:b/>
          <w:bCs/>
          <w:color w:val="1F3864"/>
          <w:sz w:val="26"/>
          <w:szCs w:val="26"/>
        </w:rPr>
        <w:t>CA Neelukumari Jain</w:t>
      </w:r>
    </w:p>
    <w:p w14:paraId="0903BA5C" w14:textId="77777777" w:rsidR="00730E2C" w:rsidRDefault="00000000">
      <w:pPr>
        <w:spacing w:before="40"/>
        <w:jc w:val="center"/>
      </w:pPr>
      <w:r>
        <w:rPr>
          <w:color w:val="595959"/>
          <w:sz w:val="19"/>
          <w:szCs w:val="19"/>
        </w:rPr>
        <w:t>Founder, Samyag Synergy</w:t>
      </w:r>
    </w:p>
    <w:p w14:paraId="6F1120E1" w14:textId="77777777" w:rsidR="00730E2C" w:rsidRDefault="00000000">
      <w:pPr>
        <w:spacing w:before="20"/>
        <w:jc w:val="center"/>
      </w:pPr>
      <w:r>
        <w:rPr>
          <w:i/>
          <w:iCs/>
          <w:color w:val="595959"/>
          <w:sz w:val="17"/>
          <w:szCs w:val="17"/>
        </w:rPr>
        <w:t>Chartered Accountant (ICAI, India) | Member, Institute of Singapore Chartered Accountants (ISCA)</w:t>
      </w:r>
    </w:p>
    <w:p w14:paraId="7F27402F" w14:textId="77777777" w:rsidR="00730E2C" w:rsidRDefault="00000000">
      <w:r>
        <w:br w:type="page"/>
      </w:r>
    </w:p>
    <w:p w14:paraId="1FD6535F" w14:textId="77777777" w:rsidR="00730E2C" w:rsidRDefault="00730E2C">
      <w:pPr>
        <w:sectPr w:rsidR="00730E2C">
          <w:pgSz w:w="11906" w:h="16838"/>
          <w:pgMar w:top="1440" w:right="1440" w:bottom="1440" w:left="1440" w:header="708" w:footer="708" w:gutter="0"/>
          <w:cols w:space="720"/>
          <w:docGrid w:linePitch="360"/>
        </w:sectPr>
      </w:pPr>
    </w:p>
    <w:p w14:paraId="7C492692" w14:textId="55C056CA" w:rsidR="00730E2C" w:rsidRDefault="00000000">
      <w:pPr>
        <w:pStyle w:val="Heading1"/>
        <w:pBdr>
          <w:bottom w:val="single" w:sz="6" w:space="4" w:color="1F3864"/>
        </w:pBdr>
        <w:spacing w:before="420" w:after="200"/>
      </w:pPr>
      <w:r>
        <w:rPr>
          <w:b/>
          <w:bCs/>
          <w:color w:val="1F3864"/>
          <w:sz w:val="30"/>
          <w:szCs w:val="30"/>
        </w:rPr>
        <w:lastRenderedPageBreak/>
        <w:t xml:space="preserve">A Note </w:t>
      </w:r>
      <w:r w:rsidR="0098070C">
        <w:rPr>
          <w:b/>
          <w:bCs/>
          <w:color w:val="1F3864"/>
          <w:sz w:val="30"/>
          <w:szCs w:val="30"/>
        </w:rPr>
        <w:t>from</w:t>
      </w:r>
      <w:r>
        <w:rPr>
          <w:b/>
          <w:bCs/>
          <w:color w:val="1F3864"/>
          <w:sz w:val="30"/>
          <w:szCs w:val="30"/>
        </w:rPr>
        <w:t xml:space="preserve"> the Founder</w:t>
      </w:r>
    </w:p>
    <w:p w14:paraId="1D599EAF" w14:textId="0A23DFA9" w:rsidR="00730E2C" w:rsidRDefault="00000000">
      <w:pPr>
        <w:spacing w:after="160" w:line="300" w:lineRule="auto"/>
      </w:pPr>
      <w:r>
        <w:rPr>
          <w:color w:val="333333"/>
          <w:sz w:val="21"/>
          <w:szCs w:val="21"/>
        </w:rPr>
        <w:t>This report is a first-time, self-prepared application of IFRS S1 to consultancy practice. I undertook this as a hands-on learning exercise — mapping my value chain, assessing materiality against the SASB Professional &amp; Commercial Services (SV-PS) industry standard, and structuring findings using the Governance, Strategy, Risk Management, and Metrics &amp; Targets architecture required by the standard.</w:t>
      </w:r>
    </w:p>
    <w:p w14:paraId="12296BEE" w14:textId="27D2E2EB" w:rsidR="00730E2C" w:rsidRDefault="00000000">
      <w:pPr>
        <w:spacing w:after="160" w:line="300" w:lineRule="auto"/>
      </w:pPr>
      <w:r>
        <w:rPr>
          <w:color w:val="333333"/>
          <w:sz w:val="21"/>
          <w:szCs w:val="21"/>
        </w:rPr>
        <w:t xml:space="preserve">As a solo practitioner, </w:t>
      </w:r>
      <w:r w:rsidR="009D381C">
        <w:rPr>
          <w:color w:val="333333"/>
          <w:sz w:val="21"/>
          <w:szCs w:val="21"/>
        </w:rPr>
        <w:t>the</w:t>
      </w:r>
      <w:r>
        <w:rPr>
          <w:color w:val="333333"/>
          <w:sz w:val="21"/>
          <w:szCs w:val="21"/>
        </w:rPr>
        <w:t xml:space="preserve"> sustainability footprint looks different from a large firm's — there is no workforce to report on, and environmental exposure is minimal. What matters most for a practice like </w:t>
      </w:r>
      <w:r w:rsidR="00B25EFF">
        <w:rPr>
          <w:color w:val="333333"/>
          <w:sz w:val="21"/>
          <w:szCs w:val="21"/>
        </w:rPr>
        <w:t>this</w:t>
      </w:r>
      <w:r>
        <w:rPr>
          <w:color w:val="333333"/>
          <w:sz w:val="21"/>
          <w:szCs w:val="21"/>
        </w:rPr>
        <w:t xml:space="preserve"> is data security, professional integrity, and the resilience of a one-person operating model. This report reflects that reality honestly, rather than forcing a template that doesn't fit.</w:t>
      </w:r>
    </w:p>
    <w:p w14:paraId="5A1E4075" w14:textId="77777777" w:rsidR="00730E2C" w:rsidRDefault="00000000">
      <w:pPr>
        <w:spacing w:after="160" w:line="300" w:lineRule="auto"/>
      </w:pPr>
      <w:r>
        <w:rPr>
          <w:i/>
          <w:iCs/>
          <w:color w:val="333333"/>
          <w:sz w:val="21"/>
          <w:szCs w:val="21"/>
        </w:rPr>
        <w:t>This disclosure has been prepared voluntarily for illustrative and professional-development purposes and has not been subject to external assurance.</w:t>
      </w:r>
    </w:p>
    <w:p w14:paraId="559BAEC8" w14:textId="77777777" w:rsidR="00730E2C" w:rsidRDefault="00000000">
      <w:pPr>
        <w:pStyle w:val="Heading1"/>
        <w:pBdr>
          <w:bottom w:val="single" w:sz="6" w:space="4" w:color="1F3864"/>
        </w:pBdr>
        <w:spacing w:before="420" w:after="200"/>
      </w:pPr>
      <w:r>
        <w:rPr>
          <w:b/>
          <w:bCs/>
          <w:color w:val="1F3864"/>
          <w:sz w:val="30"/>
          <w:szCs w:val="30"/>
        </w:rPr>
        <w:t>1. Reporting Entity</w:t>
      </w:r>
    </w:p>
    <w:p w14:paraId="508D062C" w14:textId="1B10929E" w:rsidR="00730E2C" w:rsidRDefault="0059461F">
      <w:pPr>
        <w:spacing w:after="160" w:line="300" w:lineRule="auto"/>
      </w:pPr>
      <w:r>
        <w:rPr>
          <w:color w:val="333333"/>
          <w:sz w:val="21"/>
          <w:szCs w:val="21"/>
        </w:rPr>
        <w:t>Samyag</w:t>
      </w:r>
      <w:r w:rsidR="00000000">
        <w:rPr>
          <w:color w:val="333333"/>
          <w:sz w:val="21"/>
          <w:szCs w:val="21"/>
        </w:rPr>
        <w:t xml:space="preserve"> Synergy </w:t>
      </w:r>
      <w:r>
        <w:rPr>
          <w:color w:val="333333"/>
          <w:sz w:val="21"/>
          <w:szCs w:val="21"/>
        </w:rPr>
        <w:t xml:space="preserve">Pte Ltd </w:t>
      </w:r>
      <w:r w:rsidR="00000000">
        <w:rPr>
          <w:color w:val="333333"/>
          <w:sz w:val="21"/>
          <w:szCs w:val="21"/>
        </w:rPr>
        <w:t>is a solo consultancy practice providing accounting, tax, and advisory services. The reporting entity comprises the founder's sole-proprietorship practice; there are no subsidiaries, associates, or joint ventures within the reporting boundary. This boundary mirrors the entity used for the practice's financial reporting, consistent with IFRS S1's requirement to align sustainability and financial reporting boundaries.</w:t>
      </w:r>
    </w:p>
    <w:p w14:paraId="4D32A5D1" w14:textId="77777777" w:rsidR="00730E2C" w:rsidRDefault="00000000">
      <w:pPr>
        <w:pStyle w:val="Heading1"/>
        <w:pBdr>
          <w:bottom w:val="single" w:sz="6" w:space="4" w:color="1F3864"/>
        </w:pBdr>
        <w:spacing w:before="420" w:after="200"/>
      </w:pPr>
      <w:r>
        <w:rPr>
          <w:b/>
          <w:bCs/>
          <w:color w:val="1F3864"/>
          <w:sz w:val="30"/>
          <w:szCs w:val="30"/>
        </w:rPr>
        <w:t>2. Basis of Preparation</w:t>
      </w:r>
    </w:p>
    <w:p w14:paraId="2B1028FB" w14:textId="77777777" w:rsidR="00730E2C" w:rsidRDefault="00000000">
      <w:pPr>
        <w:pStyle w:val="Heading2"/>
        <w:spacing w:before="320" w:after="140"/>
      </w:pPr>
      <w:r>
        <w:rPr>
          <w:b/>
          <w:bCs/>
          <w:color w:val="1F3864"/>
          <w:sz w:val="24"/>
          <w:szCs w:val="24"/>
        </w:rPr>
        <w:t>2.1 Reporting Framework</w:t>
      </w:r>
    </w:p>
    <w:p w14:paraId="2600E7CC" w14:textId="77777777" w:rsidR="00730E2C" w:rsidRDefault="00000000">
      <w:pPr>
        <w:spacing w:after="160" w:line="300" w:lineRule="auto"/>
      </w:pPr>
      <w:r>
        <w:rPr>
          <w:color w:val="333333"/>
          <w:sz w:val="21"/>
          <w:szCs w:val="21"/>
        </w:rPr>
        <w:t>This report has been prepared with reference to IFRS S1 (General Requirements for Disclosure of Sustainability-related Financial Information) and, in determining industry-relevant disclosure topics and metrics, the SASB Professional &amp; Commercial Services (SV-PS) Sustainability Accounting Standard, as directed by IFRS S1's requirement to refer to and consider the applicability of SASB industry-based topics and metrics.</w:t>
      </w:r>
    </w:p>
    <w:p w14:paraId="0BC942F2" w14:textId="77777777" w:rsidR="00730E2C" w:rsidRDefault="00000000">
      <w:pPr>
        <w:pStyle w:val="Heading2"/>
        <w:spacing w:before="320" w:after="140"/>
      </w:pPr>
      <w:r>
        <w:rPr>
          <w:b/>
          <w:bCs/>
          <w:color w:val="1F3864"/>
          <w:sz w:val="24"/>
          <w:szCs w:val="24"/>
        </w:rPr>
        <w:t>2.2 Time Horizons</w:t>
      </w:r>
    </w:p>
    <w:p w14:paraId="4319FC7B" w14:textId="77777777" w:rsidR="00730E2C" w:rsidRDefault="00000000">
      <w:pPr>
        <w:spacing w:after="160" w:line="300" w:lineRule="auto"/>
      </w:pPr>
      <w:r>
        <w:rPr>
          <w:color w:val="333333"/>
          <w:sz w:val="21"/>
          <w:szCs w:val="21"/>
        </w:rPr>
        <w:t>For the purposes of this report, the entity defines its own time horizon bands as follows, reflecting its planning cycles as a solo practice:</w:t>
      </w:r>
    </w:p>
    <w:p w14:paraId="56F7C7DC" w14:textId="77777777" w:rsidR="00730E2C" w:rsidRDefault="00000000">
      <w:pPr>
        <w:pStyle w:val="ListParagraph"/>
        <w:numPr>
          <w:ilvl w:val="0"/>
          <w:numId w:val="2"/>
        </w:numPr>
        <w:spacing w:after="90" w:line="290" w:lineRule="auto"/>
      </w:pPr>
      <w:r>
        <w:rPr>
          <w:color w:val="333333"/>
          <w:sz w:val="21"/>
          <w:szCs w:val="21"/>
        </w:rPr>
        <w:t>Short-term: 0–12 months (current engagement cycle, immediate operational risk)</w:t>
      </w:r>
    </w:p>
    <w:p w14:paraId="7ABB2034" w14:textId="77777777" w:rsidR="00730E2C" w:rsidRDefault="00000000">
      <w:pPr>
        <w:pStyle w:val="ListParagraph"/>
        <w:numPr>
          <w:ilvl w:val="0"/>
          <w:numId w:val="2"/>
        </w:numPr>
        <w:spacing w:after="90" w:line="290" w:lineRule="auto"/>
      </w:pPr>
      <w:r>
        <w:rPr>
          <w:color w:val="333333"/>
          <w:sz w:val="21"/>
          <w:szCs w:val="21"/>
        </w:rPr>
        <w:t>Medium-term: 1–3 years (technology/vendor contract cycles, regulatory phase-ins)</w:t>
      </w:r>
    </w:p>
    <w:p w14:paraId="77CF708F" w14:textId="77777777" w:rsidR="00730E2C" w:rsidRDefault="00000000">
      <w:pPr>
        <w:pStyle w:val="ListParagraph"/>
        <w:numPr>
          <w:ilvl w:val="0"/>
          <w:numId w:val="2"/>
        </w:numPr>
        <w:spacing w:after="90" w:line="290" w:lineRule="auto"/>
      </w:pPr>
      <w:r>
        <w:rPr>
          <w:color w:val="333333"/>
          <w:sz w:val="21"/>
          <w:szCs w:val="21"/>
        </w:rPr>
        <w:t>Long-term: 3+ years (career-length risks: succession, market/technology disruption)</w:t>
      </w:r>
    </w:p>
    <w:p w14:paraId="6C1E1FF3" w14:textId="77777777" w:rsidR="00730E2C" w:rsidRDefault="00000000">
      <w:pPr>
        <w:pStyle w:val="Heading2"/>
        <w:spacing w:before="320" w:after="140"/>
      </w:pPr>
      <w:r>
        <w:rPr>
          <w:b/>
          <w:bCs/>
          <w:color w:val="1F3864"/>
          <w:sz w:val="24"/>
          <w:szCs w:val="24"/>
        </w:rPr>
        <w:t>2.3 Reasonable and Supportable Information</w:t>
      </w:r>
    </w:p>
    <w:p w14:paraId="5ABC8CCF" w14:textId="77777777" w:rsidR="00730E2C" w:rsidRDefault="00000000">
      <w:pPr>
        <w:spacing w:after="160" w:line="300" w:lineRule="auto"/>
      </w:pPr>
      <w:r>
        <w:rPr>
          <w:color w:val="333333"/>
          <w:sz w:val="21"/>
          <w:szCs w:val="21"/>
        </w:rPr>
        <w:lastRenderedPageBreak/>
        <w:t>Consistent with IFRS S1 paragraph B6(b), the scope of the value chain and related disclosures below reflects all reasonable and supportable information available to the entity at the reporting date, without undue cost or effort. Where deeper visibility (e.g., into a vendor's own sub-suppliers) was not reasonably obtainable, this has been noted rather than estimated.</w:t>
      </w:r>
    </w:p>
    <w:p w14:paraId="0E72D1D2" w14:textId="77777777" w:rsidR="00730E2C" w:rsidRDefault="00000000">
      <w:pPr>
        <w:pStyle w:val="Heading1"/>
        <w:pBdr>
          <w:bottom w:val="single" w:sz="6" w:space="4" w:color="1F3864"/>
        </w:pBdr>
        <w:spacing w:before="420" w:after="200"/>
      </w:pPr>
      <w:r>
        <w:rPr>
          <w:b/>
          <w:bCs/>
          <w:color w:val="1F3864"/>
          <w:sz w:val="30"/>
          <w:szCs w:val="30"/>
        </w:rPr>
        <w:t>3. Value Chain Map</w:t>
      </w:r>
    </w:p>
    <w:p w14:paraId="65E818FD" w14:textId="77777777" w:rsidR="00730E2C" w:rsidRDefault="00000000">
      <w:pPr>
        <w:spacing w:after="160" w:line="300" w:lineRule="auto"/>
      </w:pPr>
      <w:r>
        <w:rPr>
          <w:color w:val="333333"/>
          <w:sz w:val="21"/>
          <w:szCs w:val="21"/>
        </w:rPr>
        <w:t>The entity's value chain has been mapped across upstream, own-operations, and downstream activities, and each item assessed for materiality based on the severity of impact were it to occur — not merely the likelihood of occurrence.</w:t>
      </w:r>
    </w:p>
    <w:p w14:paraId="1413887D" w14:textId="77777777" w:rsidR="00730E2C" w:rsidRDefault="00000000">
      <w:pPr>
        <w:spacing w:before="220" w:after="100"/>
      </w:pPr>
      <w:r>
        <w:rPr>
          <w:b/>
          <w:bCs/>
          <w:color w:val="9C7A2A"/>
          <w:sz w:val="21"/>
          <w:szCs w:val="21"/>
        </w:rPr>
        <w:t>Upstream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600"/>
      </w:tblGrid>
      <w:tr w:rsidR="00730E2C" w14:paraId="2329E8D3" w14:textId="77777777">
        <w:trPr>
          <w:tblHeader/>
        </w:trPr>
        <w:tc>
          <w:tcPr>
            <w:tcW w:w="6800" w:type="dxa"/>
            <w:shd w:val="clear" w:color="auto" w:fill="1F3864"/>
            <w:tcMar>
              <w:top w:w="90" w:type="dxa"/>
              <w:left w:w="110" w:type="dxa"/>
              <w:bottom w:w="90" w:type="dxa"/>
              <w:right w:w="110" w:type="dxa"/>
            </w:tcMar>
            <w:vAlign w:val="center"/>
          </w:tcPr>
          <w:p w14:paraId="4C67F070" w14:textId="77777777" w:rsidR="00730E2C" w:rsidRDefault="00000000">
            <w:r>
              <w:rPr>
                <w:b/>
                <w:bCs/>
                <w:color w:val="FFFFFF"/>
                <w:sz w:val="19"/>
                <w:szCs w:val="19"/>
              </w:rPr>
              <w:t>Value Chain Item</w:t>
            </w:r>
          </w:p>
        </w:tc>
        <w:tc>
          <w:tcPr>
            <w:tcW w:w="2600" w:type="dxa"/>
            <w:shd w:val="clear" w:color="auto" w:fill="1F3864"/>
            <w:tcMar>
              <w:top w:w="90" w:type="dxa"/>
              <w:left w:w="110" w:type="dxa"/>
              <w:bottom w:w="90" w:type="dxa"/>
              <w:right w:w="110" w:type="dxa"/>
            </w:tcMar>
            <w:vAlign w:val="center"/>
          </w:tcPr>
          <w:p w14:paraId="4A7FC809" w14:textId="77777777" w:rsidR="00730E2C" w:rsidRDefault="00000000">
            <w:r>
              <w:rPr>
                <w:b/>
                <w:bCs/>
                <w:color w:val="FFFFFF"/>
                <w:sz w:val="19"/>
                <w:szCs w:val="19"/>
              </w:rPr>
              <w:t>Materiality</w:t>
            </w:r>
          </w:p>
        </w:tc>
      </w:tr>
      <w:tr w:rsidR="00730E2C" w14:paraId="7CCDB840" w14:textId="77777777">
        <w:tc>
          <w:tcPr>
            <w:tcW w:w="6800" w:type="dxa"/>
            <w:tcMar>
              <w:top w:w="90" w:type="dxa"/>
              <w:left w:w="110" w:type="dxa"/>
              <w:bottom w:w="90" w:type="dxa"/>
              <w:right w:w="110" w:type="dxa"/>
            </w:tcMar>
            <w:vAlign w:val="center"/>
          </w:tcPr>
          <w:p w14:paraId="19D59B2E" w14:textId="77777777" w:rsidR="00730E2C" w:rsidRDefault="00000000">
            <w:r>
              <w:rPr>
                <w:color w:val="333333"/>
                <w:sz w:val="19"/>
                <w:szCs w:val="19"/>
              </w:rPr>
              <w:t>Internet connectivity</w:t>
            </w:r>
          </w:p>
        </w:tc>
        <w:tc>
          <w:tcPr>
            <w:tcW w:w="2600" w:type="dxa"/>
            <w:tcMar>
              <w:top w:w="90" w:type="dxa"/>
              <w:left w:w="110" w:type="dxa"/>
              <w:bottom w:w="90" w:type="dxa"/>
              <w:right w:w="110" w:type="dxa"/>
            </w:tcMar>
            <w:vAlign w:val="center"/>
          </w:tcPr>
          <w:p w14:paraId="32AEF3DA" w14:textId="77777777" w:rsidR="00730E2C" w:rsidRDefault="00000000">
            <w:r>
              <w:rPr>
                <w:color w:val="333333"/>
                <w:sz w:val="19"/>
                <w:szCs w:val="19"/>
              </w:rPr>
              <w:t>High</w:t>
            </w:r>
          </w:p>
        </w:tc>
      </w:tr>
      <w:tr w:rsidR="00730E2C" w14:paraId="3E574A10" w14:textId="77777777">
        <w:tc>
          <w:tcPr>
            <w:tcW w:w="6800" w:type="dxa"/>
            <w:shd w:val="clear" w:color="auto" w:fill="F2F2F2"/>
            <w:tcMar>
              <w:top w:w="90" w:type="dxa"/>
              <w:left w:w="110" w:type="dxa"/>
              <w:bottom w:w="90" w:type="dxa"/>
              <w:right w:w="110" w:type="dxa"/>
            </w:tcMar>
            <w:vAlign w:val="center"/>
          </w:tcPr>
          <w:p w14:paraId="7B226915" w14:textId="77777777" w:rsidR="00730E2C" w:rsidRDefault="00000000">
            <w:r>
              <w:rPr>
                <w:color w:val="333333"/>
                <w:sz w:val="19"/>
                <w:szCs w:val="19"/>
              </w:rPr>
              <w:t>AI tools</w:t>
            </w:r>
          </w:p>
        </w:tc>
        <w:tc>
          <w:tcPr>
            <w:tcW w:w="2600" w:type="dxa"/>
            <w:shd w:val="clear" w:color="auto" w:fill="F2F2F2"/>
            <w:tcMar>
              <w:top w:w="90" w:type="dxa"/>
              <w:left w:w="110" w:type="dxa"/>
              <w:bottom w:w="90" w:type="dxa"/>
              <w:right w:w="110" w:type="dxa"/>
            </w:tcMar>
            <w:vAlign w:val="center"/>
          </w:tcPr>
          <w:p w14:paraId="722631F4" w14:textId="77777777" w:rsidR="00730E2C" w:rsidRDefault="00000000">
            <w:r>
              <w:rPr>
                <w:color w:val="333333"/>
                <w:sz w:val="19"/>
                <w:szCs w:val="19"/>
              </w:rPr>
              <w:t>High</w:t>
            </w:r>
          </w:p>
        </w:tc>
      </w:tr>
      <w:tr w:rsidR="00730E2C" w14:paraId="4FCE852E" w14:textId="77777777">
        <w:tc>
          <w:tcPr>
            <w:tcW w:w="6800" w:type="dxa"/>
            <w:tcMar>
              <w:top w:w="90" w:type="dxa"/>
              <w:left w:w="110" w:type="dxa"/>
              <w:bottom w:w="90" w:type="dxa"/>
              <w:right w:w="110" w:type="dxa"/>
            </w:tcMar>
            <w:vAlign w:val="center"/>
          </w:tcPr>
          <w:p w14:paraId="35C11B5C" w14:textId="77777777" w:rsidR="00730E2C" w:rsidRDefault="00000000">
            <w:r>
              <w:rPr>
                <w:color w:val="333333"/>
                <w:sz w:val="19"/>
                <w:szCs w:val="19"/>
              </w:rPr>
              <w:t>Data storage / cloud vendor</w:t>
            </w:r>
          </w:p>
        </w:tc>
        <w:tc>
          <w:tcPr>
            <w:tcW w:w="2600" w:type="dxa"/>
            <w:tcMar>
              <w:top w:w="90" w:type="dxa"/>
              <w:left w:w="110" w:type="dxa"/>
              <w:bottom w:w="90" w:type="dxa"/>
              <w:right w:w="110" w:type="dxa"/>
            </w:tcMar>
            <w:vAlign w:val="center"/>
          </w:tcPr>
          <w:p w14:paraId="4C436034" w14:textId="77777777" w:rsidR="00730E2C" w:rsidRDefault="00000000">
            <w:r>
              <w:rPr>
                <w:color w:val="333333"/>
                <w:sz w:val="19"/>
                <w:szCs w:val="19"/>
              </w:rPr>
              <w:t>High</w:t>
            </w:r>
          </w:p>
        </w:tc>
      </w:tr>
      <w:tr w:rsidR="00730E2C" w14:paraId="7AD2CC77" w14:textId="77777777">
        <w:tc>
          <w:tcPr>
            <w:tcW w:w="6800" w:type="dxa"/>
            <w:shd w:val="clear" w:color="auto" w:fill="F2F2F2"/>
            <w:tcMar>
              <w:top w:w="90" w:type="dxa"/>
              <w:left w:w="110" w:type="dxa"/>
              <w:bottom w:w="90" w:type="dxa"/>
              <w:right w:w="110" w:type="dxa"/>
            </w:tcMar>
            <w:vAlign w:val="center"/>
          </w:tcPr>
          <w:p w14:paraId="40D80AD4" w14:textId="77777777" w:rsidR="00730E2C" w:rsidRDefault="00000000">
            <w:r>
              <w:rPr>
                <w:color w:val="333333"/>
                <w:sz w:val="19"/>
                <w:szCs w:val="19"/>
              </w:rPr>
              <w:t>Accounting &amp; tax software</w:t>
            </w:r>
          </w:p>
        </w:tc>
        <w:tc>
          <w:tcPr>
            <w:tcW w:w="2600" w:type="dxa"/>
            <w:shd w:val="clear" w:color="auto" w:fill="F2F2F2"/>
            <w:tcMar>
              <w:top w:w="90" w:type="dxa"/>
              <w:left w:w="110" w:type="dxa"/>
              <w:bottom w:w="90" w:type="dxa"/>
              <w:right w:w="110" w:type="dxa"/>
            </w:tcMar>
            <w:vAlign w:val="center"/>
          </w:tcPr>
          <w:p w14:paraId="3B244E0B" w14:textId="77777777" w:rsidR="00730E2C" w:rsidRDefault="00000000">
            <w:r>
              <w:rPr>
                <w:color w:val="333333"/>
                <w:sz w:val="19"/>
                <w:szCs w:val="19"/>
              </w:rPr>
              <w:t>High</w:t>
            </w:r>
          </w:p>
        </w:tc>
      </w:tr>
      <w:tr w:rsidR="00730E2C" w14:paraId="1E7C4F4F" w14:textId="77777777">
        <w:tc>
          <w:tcPr>
            <w:tcW w:w="6800" w:type="dxa"/>
            <w:tcMar>
              <w:top w:w="90" w:type="dxa"/>
              <w:left w:w="110" w:type="dxa"/>
              <w:bottom w:w="90" w:type="dxa"/>
              <w:right w:w="110" w:type="dxa"/>
            </w:tcMar>
            <w:vAlign w:val="center"/>
          </w:tcPr>
          <w:p w14:paraId="03FAF495" w14:textId="77777777" w:rsidR="00730E2C" w:rsidRDefault="00000000">
            <w:r>
              <w:rPr>
                <w:color w:val="333333"/>
                <w:sz w:val="19"/>
                <w:szCs w:val="19"/>
              </w:rPr>
              <w:t>Outsourced / contract labour (as/when engaged)</w:t>
            </w:r>
          </w:p>
        </w:tc>
        <w:tc>
          <w:tcPr>
            <w:tcW w:w="2600" w:type="dxa"/>
            <w:tcMar>
              <w:top w:w="90" w:type="dxa"/>
              <w:left w:w="110" w:type="dxa"/>
              <w:bottom w:w="90" w:type="dxa"/>
              <w:right w:w="110" w:type="dxa"/>
            </w:tcMar>
            <w:vAlign w:val="center"/>
          </w:tcPr>
          <w:p w14:paraId="4D85BBA4" w14:textId="77777777" w:rsidR="00730E2C" w:rsidRDefault="00000000">
            <w:r>
              <w:rPr>
                <w:color w:val="333333"/>
                <w:sz w:val="19"/>
                <w:szCs w:val="19"/>
              </w:rPr>
              <w:t>Low</w:t>
            </w:r>
          </w:p>
        </w:tc>
      </w:tr>
    </w:tbl>
    <w:p w14:paraId="21FB3D2D" w14:textId="77777777" w:rsidR="00730E2C" w:rsidRDefault="00730E2C">
      <w:pPr>
        <w:spacing w:after="200"/>
      </w:pPr>
    </w:p>
    <w:p w14:paraId="3E66B905" w14:textId="77777777" w:rsidR="00730E2C" w:rsidRDefault="00000000">
      <w:pPr>
        <w:spacing w:before="220" w:after="100"/>
      </w:pPr>
      <w:r>
        <w:rPr>
          <w:b/>
          <w:bCs/>
          <w:color w:val="9C7A2A"/>
          <w:sz w:val="21"/>
          <w:szCs w:val="21"/>
        </w:rPr>
        <w:t>Own Operations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600"/>
      </w:tblGrid>
      <w:tr w:rsidR="00730E2C" w14:paraId="682E5B6F" w14:textId="77777777">
        <w:trPr>
          <w:tblHeader/>
        </w:trPr>
        <w:tc>
          <w:tcPr>
            <w:tcW w:w="6800" w:type="dxa"/>
            <w:shd w:val="clear" w:color="auto" w:fill="1F3864"/>
            <w:tcMar>
              <w:top w:w="90" w:type="dxa"/>
              <w:left w:w="110" w:type="dxa"/>
              <w:bottom w:w="90" w:type="dxa"/>
              <w:right w:w="110" w:type="dxa"/>
            </w:tcMar>
            <w:vAlign w:val="center"/>
          </w:tcPr>
          <w:p w14:paraId="05D4CE36" w14:textId="77777777" w:rsidR="00730E2C" w:rsidRDefault="00000000">
            <w:r>
              <w:rPr>
                <w:b/>
                <w:bCs/>
                <w:color w:val="FFFFFF"/>
                <w:sz w:val="19"/>
                <w:szCs w:val="19"/>
              </w:rPr>
              <w:t>Value Chain Item</w:t>
            </w:r>
          </w:p>
        </w:tc>
        <w:tc>
          <w:tcPr>
            <w:tcW w:w="2600" w:type="dxa"/>
            <w:shd w:val="clear" w:color="auto" w:fill="1F3864"/>
            <w:tcMar>
              <w:top w:w="90" w:type="dxa"/>
              <w:left w:w="110" w:type="dxa"/>
              <w:bottom w:w="90" w:type="dxa"/>
              <w:right w:w="110" w:type="dxa"/>
            </w:tcMar>
            <w:vAlign w:val="center"/>
          </w:tcPr>
          <w:p w14:paraId="4FF7957A" w14:textId="77777777" w:rsidR="00730E2C" w:rsidRDefault="00000000">
            <w:r>
              <w:rPr>
                <w:b/>
                <w:bCs/>
                <w:color w:val="FFFFFF"/>
                <w:sz w:val="19"/>
                <w:szCs w:val="19"/>
              </w:rPr>
              <w:t>Materiality</w:t>
            </w:r>
          </w:p>
        </w:tc>
      </w:tr>
      <w:tr w:rsidR="00730E2C" w14:paraId="76ED1518" w14:textId="77777777">
        <w:tc>
          <w:tcPr>
            <w:tcW w:w="6800" w:type="dxa"/>
            <w:tcMar>
              <w:top w:w="90" w:type="dxa"/>
              <w:left w:w="110" w:type="dxa"/>
              <w:bottom w:w="90" w:type="dxa"/>
              <w:right w:w="110" w:type="dxa"/>
            </w:tcMar>
            <w:vAlign w:val="center"/>
          </w:tcPr>
          <w:p w14:paraId="5576A3AA" w14:textId="77777777" w:rsidR="00730E2C" w:rsidRDefault="00000000">
            <w:r>
              <w:rPr>
                <w:color w:val="333333"/>
                <w:sz w:val="19"/>
                <w:szCs w:val="19"/>
              </w:rPr>
              <w:t>Continuous professional learning</w:t>
            </w:r>
          </w:p>
        </w:tc>
        <w:tc>
          <w:tcPr>
            <w:tcW w:w="2600" w:type="dxa"/>
            <w:tcMar>
              <w:top w:w="90" w:type="dxa"/>
              <w:left w:w="110" w:type="dxa"/>
              <w:bottom w:w="90" w:type="dxa"/>
              <w:right w:w="110" w:type="dxa"/>
            </w:tcMar>
            <w:vAlign w:val="center"/>
          </w:tcPr>
          <w:p w14:paraId="437191A4" w14:textId="77777777" w:rsidR="00730E2C" w:rsidRDefault="00000000">
            <w:r>
              <w:rPr>
                <w:color w:val="333333"/>
                <w:sz w:val="19"/>
                <w:szCs w:val="19"/>
              </w:rPr>
              <w:t>High</w:t>
            </w:r>
          </w:p>
        </w:tc>
      </w:tr>
      <w:tr w:rsidR="00730E2C" w14:paraId="457BF92A" w14:textId="77777777">
        <w:tc>
          <w:tcPr>
            <w:tcW w:w="6800" w:type="dxa"/>
            <w:shd w:val="clear" w:color="auto" w:fill="F2F2F2"/>
            <w:tcMar>
              <w:top w:w="90" w:type="dxa"/>
              <w:left w:w="110" w:type="dxa"/>
              <w:bottom w:w="90" w:type="dxa"/>
              <w:right w:w="110" w:type="dxa"/>
            </w:tcMar>
            <w:vAlign w:val="center"/>
          </w:tcPr>
          <w:p w14:paraId="004F35BB" w14:textId="77777777" w:rsidR="00730E2C" w:rsidRDefault="00000000">
            <w:r>
              <w:rPr>
                <w:color w:val="333333"/>
                <w:sz w:val="19"/>
                <w:szCs w:val="19"/>
              </w:rPr>
              <w:t>Professional certifications (ICAI, ISCA)</w:t>
            </w:r>
          </w:p>
        </w:tc>
        <w:tc>
          <w:tcPr>
            <w:tcW w:w="2600" w:type="dxa"/>
            <w:shd w:val="clear" w:color="auto" w:fill="F2F2F2"/>
            <w:tcMar>
              <w:top w:w="90" w:type="dxa"/>
              <w:left w:w="110" w:type="dxa"/>
              <w:bottom w:w="90" w:type="dxa"/>
              <w:right w:w="110" w:type="dxa"/>
            </w:tcMar>
            <w:vAlign w:val="center"/>
          </w:tcPr>
          <w:p w14:paraId="79CCEBB8" w14:textId="77777777" w:rsidR="00730E2C" w:rsidRDefault="00000000">
            <w:r>
              <w:rPr>
                <w:color w:val="333333"/>
                <w:sz w:val="19"/>
                <w:szCs w:val="19"/>
              </w:rPr>
              <w:t>High</w:t>
            </w:r>
          </w:p>
        </w:tc>
      </w:tr>
      <w:tr w:rsidR="00730E2C" w14:paraId="04B7841C" w14:textId="77777777">
        <w:tc>
          <w:tcPr>
            <w:tcW w:w="6800" w:type="dxa"/>
            <w:tcMar>
              <w:top w:w="90" w:type="dxa"/>
              <w:left w:w="110" w:type="dxa"/>
              <w:bottom w:w="90" w:type="dxa"/>
              <w:right w:w="110" w:type="dxa"/>
            </w:tcMar>
            <w:vAlign w:val="center"/>
          </w:tcPr>
          <w:p w14:paraId="4012AA22" w14:textId="77777777" w:rsidR="00730E2C" w:rsidRDefault="00000000">
            <w:r>
              <w:rPr>
                <w:color w:val="333333"/>
                <w:sz w:val="19"/>
                <w:szCs w:val="19"/>
              </w:rPr>
              <w:t>Founder's own knowledge &amp; expertise</w:t>
            </w:r>
          </w:p>
        </w:tc>
        <w:tc>
          <w:tcPr>
            <w:tcW w:w="2600" w:type="dxa"/>
            <w:tcMar>
              <w:top w:w="90" w:type="dxa"/>
              <w:left w:w="110" w:type="dxa"/>
              <w:bottom w:w="90" w:type="dxa"/>
              <w:right w:w="110" w:type="dxa"/>
            </w:tcMar>
            <w:vAlign w:val="center"/>
          </w:tcPr>
          <w:p w14:paraId="2715A714" w14:textId="77777777" w:rsidR="00730E2C" w:rsidRDefault="00000000">
            <w:r>
              <w:rPr>
                <w:color w:val="333333"/>
                <w:sz w:val="19"/>
                <w:szCs w:val="19"/>
              </w:rPr>
              <w:t>High</w:t>
            </w:r>
          </w:p>
        </w:tc>
      </w:tr>
      <w:tr w:rsidR="00730E2C" w14:paraId="7338E820" w14:textId="77777777">
        <w:tc>
          <w:tcPr>
            <w:tcW w:w="6800" w:type="dxa"/>
            <w:shd w:val="clear" w:color="auto" w:fill="F2F2F2"/>
            <w:tcMar>
              <w:top w:w="90" w:type="dxa"/>
              <w:left w:w="110" w:type="dxa"/>
              <w:bottom w:w="90" w:type="dxa"/>
              <w:right w:w="110" w:type="dxa"/>
            </w:tcMar>
            <w:vAlign w:val="center"/>
          </w:tcPr>
          <w:p w14:paraId="0F53D17C" w14:textId="77777777" w:rsidR="00730E2C" w:rsidRDefault="00000000">
            <w:r>
              <w:rPr>
                <w:color w:val="333333"/>
                <w:sz w:val="19"/>
                <w:szCs w:val="19"/>
              </w:rPr>
              <w:t>Electricity</w:t>
            </w:r>
          </w:p>
        </w:tc>
        <w:tc>
          <w:tcPr>
            <w:tcW w:w="2600" w:type="dxa"/>
            <w:shd w:val="clear" w:color="auto" w:fill="F2F2F2"/>
            <w:tcMar>
              <w:top w:w="90" w:type="dxa"/>
              <w:left w:w="110" w:type="dxa"/>
              <w:bottom w:w="90" w:type="dxa"/>
              <w:right w:w="110" w:type="dxa"/>
            </w:tcMar>
            <w:vAlign w:val="center"/>
          </w:tcPr>
          <w:p w14:paraId="1D983513" w14:textId="77777777" w:rsidR="00730E2C" w:rsidRDefault="00000000">
            <w:r>
              <w:rPr>
                <w:color w:val="333333"/>
                <w:sz w:val="19"/>
                <w:szCs w:val="19"/>
              </w:rPr>
              <w:t>Low</w:t>
            </w:r>
          </w:p>
        </w:tc>
      </w:tr>
      <w:tr w:rsidR="00730E2C" w14:paraId="631EBEC0" w14:textId="77777777">
        <w:tc>
          <w:tcPr>
            <w:tcW w:w="6800" w:type="dxa"/>
            <w:tcMar>
              <w:top w:w="90" w:type="dxa"/>
              <w:left w:w="110" w:type="dxa"/>
              <w:bottom w:w="90" w:type="dxa"/>
              <w:right w:w="110" w:type="dxa"/>
            </w:tcMar>
            <w:vAlign w:val="center"/>
          </w:tcPr>
          <w:p w14:paraId="692E05BD" w14:textId="77777777" w:rsidR="00730E2C" w:rsidRDefault="00000000">
            <w:r>
              <w:rPr>
                <w:color w:val="333333"/>
                <w:sz w:val="19"/>
                <w:szCs w:val="19"/>
              </w:rPr>
              <w:t>Laptop / hardware</w:t>
            </w:r>
          </w:p>
        </w:tc>
        <w:tc>
          <w:tcPr>
            <w:tcW w:w="2600" w:type="dxa"/>
            <w:tcMar>
              <w:top w:w="90" w:type="dxa"/>
              <w:left w:w="110" w:type="dxa"/>
              <w:bottom w:w="90" w:type="dxa"/>
              <w:right w:w="110" w:type="dxa"/>
            </w:tcMar>
            <w:vAlign w:val="center"/>
          </w:tcPr>
          <w:p w14:paraId="259F1614" w14:textId="77777777" w:rsidR="00730E2C" w:rsidRDefault="00000000">
            <w:r>
              <w:rPr>
                <w:color w:val="333333"/>
                <w:sz w:val="19"/>
                <w:szCs w:val="19"/>
              </w:rPr>
              <w:t>Low</w:t>
            </w:r>
          </w:p>
        </w:tc>
      </w:tr>
    </w:tbl>
    <w:p w14:paraId="2D88C283" w14:textId="77777777" w:rsidR="00730E2C" w:rsidRDefault="00730E2C">
      <w:pPr>
        <w:spacing w:after="200"/>
      </w:pPr>
    </w:p>
    <w:p w14:paraId="729AF19B" w14:textId="77777777" w:rsidR="00730E2C" w:rsidRDefault="00000000">
      <w:pPr>
        <w:spacing w:before="220" w:after="100"/>
      </w:pPr>
      <w:r>
        <w:rPr>
          <w:b/>
          <w:bCs/>
          <w:color w:val="9C7A2A"/>
          <w:sz w:val="21"/>
          <w:szCs w:val="21"/>
        </w:rPr>
        <w:t>Downstream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600"/>
      </w:tblGrid>
      <w:tr w:rsidR="00730E2C" w14:paraId="6C6ADC47" w14:textId="77777777">
        <w:trPr>
          <w:tblHeader/>
        </w:trPr>
        <w:tc>
          <w:tcPr>
            <w:tcW w:w="6800" w:type="dxa"/>
            <w:shd w:val="clear" w:color="auto" w:fill="1F3864"/>
            <w:tcMar>
              <w:top w:w="90" w:type="dxa"/>
              <w:left w:w="110" w:type="dxa"/>
              <w:bottom w:w="90" w:type="dxa"/>
              <w:right w:w="110" w:type="dxa"/>
            </w:tcMar>
            <w:vAlign w:val="center"/>
          </w:tcPr>
          <w:p w14:paraId="3D33B53B" w14:textId="77777777" w:rsidR="00730E2C" w:rsidRDefault="00000000">
            <w:r>
              <w:rPr>
                <w:b/>
                <w:bCs/>
                <w:color w:val="FFFFFF"/>
                <w:sz w:val="19"/>
                <w:szCs w:val="19"/>
              </w:rPr>
              <w:t>Value Chain Item</w:t>
            </w:r>
          </w:p>
        </w:tc>
        <w:tc>
          <w:tcPr>
            <w:tcW w:w="2600" w:type="dxa"/>
            <w:shd w:val="clear" w:color="auto" w:fill="1F3864"/>
            <w:tcMar>
              <w:top w:w="90" w:type="dxa"/>
              <w:left w:w="110" w:type="dxa"/>
              <w:bottom w:w="90" w:type="dxa"/>
              <w:right w:w="110" w:type="dxa"/>
            </w:tcMar>
            <w:vAlign w:val="center"/>
          </w:tcPr>
          <w:p w14:paraId="03BC5DE5" w14:textId="77777777" w:rsidR="00730E2C" w:rsidRDefault="00000000">
            <w:r>
              <w:rPr>
                <w:b/>
                <w:bCs/>
                <w:color w:val="FFFFFF"/>
                <w:sz w:val="19"/>
                <w:szCs w:val="19"/>
              </w:rPr>
              <w:t>Materiality</w:t>
            </w:r>
          </w:p>
        </w:tc>
      </w:tr>
      <w:tr w:rsidR="00730E2C" w14:paraId="7005CF59" w14:textId="77777777">
        <w:tc>
          <w:tcPr>
            <w:tcW w:w="6800" w:type="dxa"/>
            <w:tcMar>
              <w:top w:w="90" w:type="dxa"/>
              <w:left w:w="110" w:type="dxa"/>
              <w:bottom w:w="90" w:type="dxa"/>
              <w:right w:w="110" w:type="dxa"/>
            </w:tcMar>
            <w:vAlign w:val="center"/>
          </w:tcPr>
          <w:p w14:paraId="5A917193" w14:textId="77777777" w:rsidR="00730E2C" w:rsidRDefault="00000000">
            <w:r>
              <w:rPr>
                <w:color w:val="333333"/>
                <w:sz w:val="19"/>
                <w:szCs w:val="19"/>
              </w:rPr>
              <w:t>Client data (post-engagement retention/handling)</w:t>
            </w:r>
          </w:p>
        </w:tc>
        <w:tc>
          <w:tcPr>
            <w:tcW w:w="2600" w:type="dxa"/>
            <w:tcMar>
              <w:top w:w="90" w:type="dxa"/>
              <w:left w:w="110" w:type="dxa"/>
              <w:bottom w:w="90" w:type="dxa"/>
              <w:right w:w="110" w:type="dxa"/>
            </w:tcMar>
            <w:vAlign w:val="center"/>
          </w:tcPr>
          <w:p w14:paraId="18BEEFE4" w14:textId="77777777" w:rsidR="00730E2C" w:rsidRDefault="00000000">
            <w:r>
              <w:rPr>
                <w:color w:val="333333"/>
                <w:sz w:val="19"/>
                <w:szCs w:val="19"/>
              </w:rPr>
              <w:t>High</w:t>
            </w:r>
          </w:p>
        </w:tc>
      </w:tr>
      <w:tr w:rsidR="00730E2C" w14:paraId="6EA5234D" w14:textId="77777777">
        <w:tc>
          <w:tcPr>
            <w:tcW w:w="6800" w:type="dxa"/>
            <w:shd w:val="clear" w:color="auto" w:fill="F2F2F2"/>
            <w:tcMar>
              <w:top w:w="90" w:type="dxa"/>
              <w:left w:w="110" w:type="dxa"/>
              <w:bottom w:w="90" w:type="dxa"/>
              <w:right w:w="110" w:type="dxa"/>
            </w:tcMar>
            <w:vAlign w:val="center"/>
          </w:tcPr>
          <w:p w14:paraId="29F07B26" w14:textId="77777777" w:rsidR="00730E2C" w:rsidRDefault="00000000">
            <w:r>
              <w:rPr>
                <w:color w:val="333333"/>
                <w:sz w:val="19"/>
                <w:szCs w:val="19"/>
              </w:rPr>
              <w:t>Client trust</w:t>
            </w:r>
          </w:p>
        </w:tc>
        <w:tc>
          <w:tcPr>
            <w:tcW w:w="2600" w:type="dxa"/>
            <w:shd w:val="clear" w:color="auto" w:fill="F2F2F2"/>
            <w:tcMar>
              <w:top w:w="90" w:type="dxa"/>
              <w:left w:w="110" w:type="dxa"/>
              <w:bottom w:w="90" w:type="dxa"/>
              <w:right w:w="110" w:type="dxa"/>
            </w:tcMar>
            <w:vAlign w:val="center"/>
          </w:tcPr>
          <w:p w14:paraId="09B1375A" w14:textId="77777777" w:rsidR="00730E2C" w:rsidRDefault="00000000">
            <w:r>
              <w:rPr>
                <w:color w:val="333333"/>
                <w:sz w:val="19"/>
                <w:szCs w:val="19"/>
              </w:rPr>
              <w:t>High</w:t>
            </w:r>
          </w:p>
        </w:tc>
      </w:tr>
      <w:tr w:rsidR="00730E2C" w14:paraId="541B6E0A" w14:textId="77777777">
        <w:tc>
          <w:tcPr>
            <w:tcW w:w="6800" w:type="dxa"/>
            <w:tcMar>
              <w:top w:w="90" w:type="dxa"/>
              <w:left w:w="110" w:type="dxa"/>
              <w:bottom w:w="90" w:type="dxa"/>
              <w:right w:w="110" w:type="dxa"/>
            </w:tcMar>
            <w:vAlign w:val="center"/>
          </w:tcPr>
          <w:p w14:paraId="5048363C" w14:textId="77777777" w:rsidR="00730E2C" w:rsidRDefault="00000000">
            <w:r>
              <w:rPr>
                <w:color w:val="333333"/>
                <w:sz w:val="19"/>
                <w:szCs w:val="19"/>
              </w:rPr>
              <w:t>Correct submission to government authorities</w:t>
            </w:r>
          </w:p>
        </w:tc>
        <w:tc>
          <w:tcPr>
            <w:tcW w:w="2600" w:type="dxa"/>
            <w:tcMar>
              <w:top w:w="90" w:type="dxa"/>
              <w:left w:w="110" w:type="dxa"/>
              <w:bottom w:w="90" w:type="dxa"/>
              <w:right w:w="110" w:type="dxa"/>
            </w:tcMar>
            <w:vAlign w:val="center"/>
          </w:tcPr>
          <w:p w14:paraId="7D557FF9" w14:textId="77777777" w:rsidR="00730E2C" w:rsidRDefault="00000000">
            <w:r>
              <w:rPr>
                <w:color w:val="333333"/>
                <w:sz w:val="19"/>
                <w:szCs w:val="19"/>
              </w:rPr>
              <w:t>High</w:t>
            </w:r>
          </w:p>
        </w:tc>
      </w:tr>
      <w:tr w:rsidR="00730E2C" w14:paraId="360206B2" w14:textId="77777777">
        <w:tc>
          <w:tcPr>
            <w:tcW w:w="6800" w:type="dxa"/>
            <w:shd w:val="clear" w:color="auto" w:fill="F2F2F2"/>
            <w:tcMar>
              <w:top w:w="90" w:type="dxa"/>
              <w:left w:w="110" w:type="dxa"/>
              <w:bottom w:w="90" w:type="dxa"/>
              <w:right w:w="110" w:type="dxa"/>
            </w:tcMar>
            <w:vAlign w:val="center"/>
          </w:tcPr>
          <w:p w14:paraId="3B5955C4" w14:textId="77777777" w:rsidR="00730E2C" w:rsidRDefault="00000000">
            <w:r>
              <w:rPr>
                <w:color w:val="333333"/>
                <w:sz w:val="19"/>
                <w:szCs w:val="19"/>
              </w:rPr>
              <w:t>Client communication</w:t>
            </w:r>
          </w:p>
        </w:tc>
        <w:tc>
          <w:tcPr>
            <w:tcW w:w="2600" w:type="dxa"/>
            <w:shd w:val="clear" w:color="auto" w:fill="F2F2F2"/>
            <w:tcMar>
              <w:top w:w="90" w:type="dxa"/>
              <w:left w:w="110" w:type="dxa"/>
              <w:bottom w:w="90" w:type="dxa"/>
              <w:right w:w="110" w:type="dxa"/>
            </w:tcMar>
            <w:vAlign w:val="center"/>
          </w:tcPr>
          <w:p w14:paraId="6D3C1BC3" w14:textId="77777777" w:rsidR="00730E2C" w:rsidRDefault="00000000">
            <w:r>
              <w:rPr>
                <w:color w:val="333333"/>
                <w:sz w:val="19"/>
                <w:szCs w:val="19"/>
              </w:rPr>
              <w:t>High</w:t>
            </w:r>
          </w:p>
        </w:tc>
      </w:tr>
      <w:tr w:rsidR="00730E2C" w14:paraId="5279C20E" w14:textId="77777777">
        <w:tc>
          <w:tcPr>
            <w:tcW w:w="6800" w:type="dxa"/>
            <w:tcMar>
              <w:top w:w="90" w:type="dxa"/>
              <w:left w:w="110" w:type="dxa"/>
              <w:bottom w:w="90" w:type="dxa"/>
              <w:right w:w="110" w:type="dxa"/>
            </w:tcMar>
            <w:vAlign w:val="center"/>
          </w:tcPr>
          <w:p w14:paraId="06C7A213" w14:textId="77777777" w:rsidR="00730E2C" w:rsidRDefault="00000000">
            <w:r>
              <w:rPr>
                <w:color w:val="333333"/>
                <w:sz w:val="19"/>
                <w:szCs w:val="19"/>
              </w:rPr>
              <w:t>Relationship management</w:t>
            </w:r>
          </w:p>
        </w:tc>
        <w:tc>
          <w:tcPr>
            <w:tcW w:w="2600" w:type="dxa"/>
            <w:tcMar>
              <w:top w:w="90" w:type="dxa"/>
              <w:left w:w="110" w:type="dxa"/>
              <w:bottom w:w="90" w:type="dxa"/>
              <w:right w:w="110" w:type="dxa"/>
            </w:tcMar>
            <w:vAlign w:val="center"/>
          </w:tcPr>
          <w:p w14:paraId="33A16A5A" w14:textId="77777777" w:rsidR="00730E2C" w:rsidRDefault="00000000">
            <w:r>
              <w:rPr>
                <w:color w:val="333333"/>
                <w:sz w:val="19"/>
                <w:szCs w:val="19"/>
              </w:rPr>
              <w:t>High</w:t>
            </w:r>
          </w:p>
        </w:tc>
      </w:tr>
    </w:tbl>
    <w:p w14:paraId="2416783E" w14:textId="77777777" w:rsidR="00730E2C" w:rsidRDefault="00000000">
      <w:pPr>
        <w:pStyle w:val="Heading2"/>
        <w:spacing w:before="320" w:after="140"/>
      </w:pPr>
      <w:r>
        <w:rPr>
          <w:b/>
          <w:bCs/>
          <w:color w:val="1F3864"/>
          <w:sz w:val="24"/>
          <w:szCs w:val="24"/>
        </w:rPr>
        <w:t>3.1 Geographic Considerations</w:t>
      </w:r>
    </w:p>
    <w:p w14:paraId="0D0F9E3F" w14:textId="77777777" w:rsidR="00730E2C" w:rsidRDefault="00000000">
      <w:pPr>
        <w:spacing w:after="160" w:line="300" w:lineRule="auto"/>
      </w:pPr>
      <w:r>
        <w:rPr>
          <w:color w:val="333333"/>
          <w:sz w:val="21"/>
          <w:szCs w:val="21"/>
        </w:rPr>
        <w:lastRenderedPageBreak/>
        <w:t>The entity serves clients across multiple jurisdictions (including India and Singapore), each with differing data protection and retention requirements. This is reflected directly in the entity's data retention policy (see Section 6.2) and supported by the founder's dual professional membership across both jurisdictions (see Section 6.4), enabling the practice to remain compliant with each region's respective regulatory standards.</w:t>
      </w:r>
    </w:p>
    <w:p w14:paraId="2B368173" w14:textId="77777777" w:rsidR="00730E2C" w:rsidRDefault="00000000">
      <w:pPr>
        <w:pStyle w:val="Heading1"/>
        <w:pBdr>
          <w:bottom w:val="single" w:sz="6" w:space="4" w:color="1F3864"/>
        </w:pBdr>
        <w:spacing w:before="420" w:after="200"/>
      </w:pPr>
      <w:r>
        <w:rPr>
          <w:b/>
          <w:bCs/>
          <w:color w:val="1F3864"/>
          <w:sz w:val="30"/>
          <w:szCs w:val="30"/>
        </w:rPr>
        <w:t>4. Governance</w:t>
      </w:r>
    </w:p>
    <w:p w14:paraId="6510D2D8" w14:textId="77777777" w:rsidR="00730E2C" w:rsidRDefault="00000000">
      <w:pPr>
        <w:spacing w:after="160" w:line="300" w:lineRule="auto"/>
      </w:pPr>
      <w:r>
        <w:rPr>
          <w:color w:val="333333"/>
          <w:sz w:val="21"/>
          <w:szCs w:val="21"/>
        </w:rPr>
        <w:t>The founder is solely responsible for oversight of all sustainability-related risks and opportunities across the practice, including data storage decisions, AI and software vendor selection, and professional conduct matters.</w:t>
      </w:r>
    </w:p>
    <w:p w14:paraId="51759FE7" w14:textId="77777777" w:rsidR="00730E2C" w:rsidRDefault="00000000">
      <w:pPr>
        <w:spacing w:after="160" w:line="300" w:lineRule="auto"/>
      </w:pPr>
      <w:r>
        <w:rPr>
          <w:color w:val="333333"/>
          <w:sz w:val="21"/>
          <w:szCs w:val="21"/>
        </w:rPr>
        <w:t>Review cadence:</w:t>
      </w:r>
    </w:p>
    <w:p w14:paraId="28844F4A" w14:textId="77777777" w:rsidR="00730E2C" w:rsidRDefault="00000000">
      <w:pPr>
        <w:pStyle w:val="ListParagraph"/>
        <w:numPr>
          <w:ilvl w:val="0"/>
          <w:numId w:val="2"/>
        </w:numPr>
        <w:spacing w:after="90" w:line="290" w:lineRule="auto"/>
      </w:pPr>
      <w:r>
        <w:rPr>
          <w:color w:val="333333"/>
          <w:sz w:val="21"/>
          <w:szCs w:val="21"/>
        </w:rPr>
        <w:t>Monthly — operational checks (e.g., data backup verification)</w:t>
      </w:r>
    </w:p>
    <w:p w14:paraId="76E292B6" w14:textId="77777777" w:rsidR="00730E2C" w:rsidRDefault="00000000">
      <w:pPr>
        <w:pStyle w:val="ListParagraph"/>
        <w:numPr>
          <w:ilvl w:val="0"/>
          <w:numId w:val="2"/>
        </w:numPr>
        <w:spacing w:after="90" w:line="290" w:lineRule="auto"/>
      </w:pPr>
      <w:r>
        <w:rPr>
          <w:color w:val="333333"/>
          <w:sz w:val="21"/>
          <w:szCs w:val="21"/>
        </w:rPr>
        <w:t>Annually — full review of vendor and tool relevance, and professional compliance obligations</w:t>
      </w:r>
    </w:p>
    <w:p w14:paraId="6D233F3C" w14:textId="77777777" w:rsidR="00730E2C" w:rsidRDefault="00000000">
      <w:pPr>
        <w:pStyle w:val="ListParagraph"/>
        <w:numPr>
          <w:ilvl w:val="0"/>
          <w:numId w:val="2"/>
        </w:numPr>
        <w:spacing w:after="90" w:line="290" w:lineRule="auto"/>
      </w:pPr>
      <w:r>
        <w:rPr>
          <w:color w:val="333333"/>
          <w:sz w:val="21"/>
          <w:szCs w:val="21"/>
        </w:rPr>
        <w:t>Ad hoc — triggered by any reported vendor security incident or client-facing issue</w:t>
      </w:r>
    </w:p>
    <w:p w14:paraId="7C3DC905" w14:textId="77777777" w:rsidR="00730E2C" w:rsidRDefault="00000000">
      <w:pPr>
        <w:pStyle w:val="Heading1"/>
        <w:pBdr>
          <w:bottom w:val="single" w:sz="6" w:space="4" w:color="1F3864"/>
        </w:pBdr>
        <w:spacing w:before="420" w:after="200"/>
      </w:pPr>
      <w:r>
        <w:rPr>
          <w:b/>
          <w:bCs/>
          <w:color w:val="1F3864"/>
          <w:sz w:val="30"/>
          <w:szCs w:val="30"/>
        </w:rPr>
        <w:t>5. Strategy</w:t>
      </w:r>
    </w:p>
    <w:p w14:paraId="6955B821" w14:textId="77777777" w:rsidR="00730E2C" w:rsidRDefault="00000000">
      <w:pPr>
        <w:spacing w:after="160" w:line="300" w:lineRule="auto"/>
      </w:pPr>
      <w:r>
        <w:rPr>
          <w:color w:val="333333"/>
          <w:sz w:val="21"/>
          <w:szCs w:val="21"/>
        </w:rPr>
        <w:t>As a solo practice, the entity's principal sustainability-related risks and opportunities, and their anticipated financial effects, are as follows:</w:t>
      </w:r>
    </w:p>
    <w:p w14:paraId="1885B8CF" w14:textId="77777777" w:rsidR="00730E2C" w:rsidRDefault="00000000">
      <w:pPr>
        <w:pStyle w:val="ListParagraph"/>
        <w:numPr>
          <w:ilvl w:val="0"/>
          <w:numId w:val="2"/>
        </w:numPr>
        <w:spacing w:after="90" w:line="290" w:lineRule="auto"/>
      </w:pPr>
      <w:r>
        <w:rPr>
          <w:color w:val="333333"/>
          <w:sz w:val="21"/>
          <w:szCs w:val="21"/>
        </w:rPr>
        <w:t>Data security: A client data breach could materially damage the practice's reputation and ability to retain clients — assessed as a short-to-medium-term risk given reliance on third-party cloud infrastructure.</w:t>
      </w:r>
    </w:p>
    <w:p w14:paraId="5D0FA97A" w14:textId="77777777" w:rsidR="00730E2C" w:rsidRDefault="00000000">
      <w:pPr>
        <w:pStyle w:val="ListParagraph"/>
        <w:numPr>
          <w:ilvl w:val="0"/>
          <w:numId w:val="2"/>
        </w:numPr>
        <w:spacing w:after="90" w:line="290" w:lineRule="auto"/>
      </w:pPr>
      <w:r>
        <w:rPr>
          <w:color w:val="333333"/>
          <w:sz w:val="21"/>
          <w:szCs w:val="21"/>
        </w:rPr>
        <w:t>AI tool cost exposure: Current reliance on free-tier AI tools improves operational efficiency and margins; a shift to paid pricing models would directly increase operating costs and affect profitability. Assessed as a medium-term risk (1–3 years), based on prevailing AI tool pricing trends.</w:t>
      </w:r>
    </w:p>
    <w:p w14:paraId="3CE583B7" w14:textId="77777777" w:rsidR="00730E2C" w:rsidRDefault="00000000">
      <w:pPr>
        <w:pStyle w:val="ListParagraph"/>
        <w:numPr>
          <w:ilvl w:val="0"/>
          <w:numId w:val="2"/>
        </w:numPr>
        <w:spacing w:after="90" w:line="290" w:lineRule="auto"/>
      </w:pPr>
      <w:r>
        <w:rPr>
          <w:color w:val="333333"/>
          <w:sz w:val="21"/>
          <w:szCs w:val="21"/>
        </w:rPr>
        <w:t>Professional integrity: The practice's revenue is entirely dependent on client trust in the accuracy and ethics of its advice; any lapse would have an immediate, short-term effect on client retention and reputation.</w:t>
      </w:r>
    </w:p>
    <w:p w14:paraId="4BFAC784" w14:textId="77777777" w:rsidR="00730E2C" w:rsidRDefault="00000000">
      <w:pPr>
        <w:pStyle w:val="ListParagraph"/>
        <w:numPr>
          <w:ilvl w:val="0"/>
          <w:numId w:val="2"/>
        </w:numPr>
        <w:spacing w:after="90" w:line="290" w:lineRule="auto"/>
      </w:pPr>
      <w:r>
        <w:rPr>
          <w:color w:val="333333"/>
          <w:sz w:val="21"/>
          <w:szCs w:val="21"/>
        </w:rPr>
        <w:t>Single-person operating model: As the founder is the sole delivery resource, illness, burnout, or capacity constraints represent a continuity risk with potential short-term revenue effects.</w:t>
      </w:r>
    </w:p>
    <w:p w14:paraId="6EC4EA18" w14:textId="77777777" w:rsidR="00730E2C" w:rsidRDefault="00000000">
      <w:pPr>
        <w:pStyle w:val="Heading1"/>
        <w:pBdr>
          <w:bottom w:val="single" w:sz="6" w:space="4" w:color="1F3864"/>
        </w:pBdr>
        <w:spacing w:before="420" w:after="200"/>
      </w:pPr>
      <w:r>
        <w:rPr>
          <w:b/>
          <w:bCs/>
          <w:color w:val="1F3864"/>
          <w:sz w:val="30"/>
          <w:szCs w:val="30"/>
        </w:rPr>
        <w:t>6. Risk Management</w:t>
      </w:r>
    </w:p>
    <w:p w14:paraId="13557E14" w14:textId="77777777" w:rsidR="00730E2C" w:rsidRDefault="00000000">
      <w:pPr>
        <w:spacing w:after="160" w:line="300" w:lineRule="auto"/>
      </w:pPr>
      <w:r>
        <w:rPr>
          <w:color w:val="333333"/>
          <w:sz w:val="21"/>
          <w:szCs w:val="21"/>
        </w:rPr>
        <w:t>The entity's approach to identifying and assessing sustainability-related risks is as follows:</w:t>
      </w:r>
    </w:p>
    <w:p w14:paraId="51D27359" w14:textId="77777777" w:rsidR="00730E2C" w:rsidRDefault="00000000">
      <w:pPr>
        <w:pStyle w:val="ListParagraph"/>
        <w:numPr>
          <w:ilvl w:val="0"/>
          <w:numId w:val="2"/>
        </w:numPr>
        <w:spacing w:after="90" w:line="290" w:lineRule="auto"/>
      </w:pPr>
      <w:r>
        <w:rPr>
          <w:color w:val="333333"/>
          <w:sz w:val="21"/>
          <w:szCs w:val="21"/>
        </w:rPr>
        <w:t>Annual assessment of each technology/AI vendor against: (1) security certification status, (2) pricing changes, (3) availability of comparable alternatives, and (4) any public breach history.</w:t>
      </w:r>
    </w:p>
    <w:p w14:paraId="119FEC03" w14:textId="77777777" w:rsidR="00730E2C" w:rsidRDefault="00000000">
      <w:pPr>
        <w:pStyle w:val="ListParagraph"/>
        <w:numPr>
          <w:ilvl w:val="0"/>
          <w:numId w:val="2"/>
        </w:numPr>
        <w:spacing w:after="90" w:line="290" w:lineRule="auto"/>
      </w:pPr>
      <w:r>
        <w:rPr>
          <w:color w:val="333333"/>
          <w:sz w:val="21"/>
          <w:szCs w:val="21"/>
        </w:rPr>
        <w:t>Findings inform decisions on whether to switch vendors, negotiate terms, or increase internal safeguards.</w:t>
      </w:r>
    </w:p>
    <w:p w14:paraId="3F2DD7ED" w14:textId="77777777" w:rsidR="00730E2C" w:rsidRDefault="00000000">
      <w:pPr>
        <w:pStyle w:val="ListParagraph"/>
        <w:numPr>
          <w:ilvl w:val="0"/>
          <w:numId w:val="2"/>
        </w:numPr>
        <w:spacing w:after="90" w:line="290" w:lineRule="auto"/>
      </w:pPr>
      <w:r>
        <w:rPr>
          <w:color w:val="333333"/>
          <w:sz w:val="21"/>
          <w:szCs w:val="21"/>
        </w:rPr>
        <w:lastRenderedPageBreak/>
        <w:t>Client data handling practices are reviewed against the retention requirements of each relevant jurisdiction.</w:t>
      </w:r>
    </w:p>
    <w:p w14:paraId="5CC178B6" w14:textId="77777777" w:rsidR="00730E2C" w:rsidRDefault="00000000">
      <w:pPr>
        <w:pStyle w:val="Heading1"/>
        <w:pBdr>
          <w:bottom w:val="single" w:sz="6" w:space="4" w:color="1F3864"/>
        </w:pBdr>
        <w:spacing w:before="420" w:after="200"/>
      </w:pPr>
      <w:r>
        <w:rPr>
          <w:b/>
          <w:bCs/>
          <w:color w:val="1F3864"/>
          <w:sz w:val="30"/>
          <w:szCs w:val="30"/>
        </w:rPr>
        <w:t>7. Metrics and Targets</w:t>
      </w:r>
    </w:p>
    <w:p w14:paraId="0540C140" w14:textId="77777777" w:rsidR="00730E2C" w:rsidRDefault="00000000">
      <w:pPr>
        <w:pStyle w:val="Heading2"/>
        <w:spacing w:before="320" w:after="140"/>
      </w:pPr>
      <w:r>
        <w:rPr>
          <w:b/>
          <w:bCs/>
          <w:color w:val="1F3864"/>
          <w:sz w:val="24"/>
          <w:szCs w:val="24"/>
        </w:rPr>
        <w:t>7.1 Activity Metrics (SV-PS-000.A / SV-PS-000.B)</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300"/>
        <w:gridCol w:w="1200"/>
        <w:gridCol w:w="3000"/>
      </w:tblGrid>
      <w:tr w:rsidR="00730E2C" w14:paraId="30F22253" w14:textId="77777777">
        <w:trPr>
          <w:tblHeader/>
        </w:trPr>
        <w:tc>
          <w:tcPr>
            <w:tcW w:w="2600" w:type="dxa"/>
            <w:shd w:val="clear" w:color="auto" w:fill="1F3864"/>
            <w:tcMar>
              <w:top w:w="90" w:type="dxa"/>
              <w:left w:w="110" w:type="dxa"/>
              <w:bottom w:w="90" w:type="dxa"/>
              <w:right w:w="110" w:type="dxa"/>
            </w:tcMar>
            <w:vAlign w:val="center"/>
          </w:tcPr>
          <w:p w14:paraId="204273A4" w14:textId="77777777" w:rsidR="00730E2C" w:rsidRDefault="00000000">
            <w:r>
              <w:rPr>
                <w:b/>
                <w:bCs/>
                <w:color w:val="FFFFFF"/>
                <w:sz w:val="19"/>
                <w:szCs w:val="19"/>
              </w:rPr>
              <w:t>Metric</w:t>
            </w:r>
          </w:p>
        </w:tc>
        <w:tc>
          <w:tcPr>
            <w:tcW w:w="1500" w:type="dxa"/>
            <w:shd w:val="clear" w:color="auto" w:fill="1F3864"/>
            <w:tcMar>
              <w:top w:w="90" w:type="dxa"/>
              <w:left w:w="110" w:type="dxa"/>
              <w:bottom w:w="90" w:type="dxa"/>
              <w:right w:w="110" w:type="dxa"/>
            </w:tcMar>
            <w:vAlign w:val="center"/>
          </w:tcPr>
          <w:p w14:paraId="305B27AE" w14:textId="77777777" w:rsidR="00730E2C" w:rsidRDefault="00000000">
            <w:r>
              <w:rPr>
                <w:b/>
                <w:bCs/>
                <w:color w:val="FFFFFF"/>
                <w:sz w:val="19"/>
                <w:szCs w:val="19"/>
              </w:rPr>
              <w:t>Materiality</w:t>
            </w:r>
          </w:p>
        </w:tc>
        <w:tc>
          <w:tcPr>
            <w:tcW w:w="1300" w:type="dxa"/>
            <w:shd w:val="clear" w:color="auto" w:fill="1F3864"/>
            <w:tcMar>
              <w:top w:w="90" w:type="dxa"/>
              <w:left w:w="110" w:type="dxa"/>
              <w:bottom w:w="90" w:type="dxa"/>
              <w:right w:w="110" w:type="dxa"/>
            </w:tcMar>
            <w:vAlign w:val="center"/>
          </w:tcPr>
          <w:p w14:paraId="340E1488" w14:textId="77777777" w:rsidR="00730E2C" w:rsidRDefault="00000000">
            <w:r>
              <w:rPr>
                <w:b/>
                <w:bCs/>
                <w:color w:val="FFFFFF"/>
                <w:sz w:val="19"/>
                <w:szCs w:val="19"/>
              </w:rPr>
              <w:t>FY2026</w:t>
            </w:r>
          </w:p>
        </w:tc>
        <w:tc>
          <w:tcPr>
            <w:tcW w:w="1200" w:type="dxa"/>
            <w:shd w:val="clear" w:color="auto" w:fill="1F3864"/>
            <w:tcMar>
              <w:top w:w="90" w:type="dxa"/>
              <w:left w:w="110" w:type="dxa"/>
              <w:bottom w:w="90" w:type="dxa"/>
              <w:right w:w="110" w:type="dxa"/>
            </w:tcMar>
            <w:vAlign w:val="center"/>
          </w:tcPr>
          <w:p w14:paraId="1B36627A" w14:textId="77777777" w:rsidR="00730E2C" w:rsidRDefault="00000000">
            <w:r>
              <w:rPr>
                <w:b/>
                <w:bCs/>
                <w:color w:val="FFFFFF"/>
                <w:sz w:val="19"/>
                <w:szCs w:val="19"/>
              </w:rPr>
              <w:t>FY2025</w:t>
            </w:r>
          </w:p>
        </w:tc>
        <w:tc>
          <w:tcPr>
            <w:tcW w:w="3000" w:type="dxa"/>
            <w:shd w:val="clear" w:color="auto" w:fill="1F3864"/>
            <w:tcMar>
              <w:top w:w="90" w:type="dxa"/>
              <w:left w:w="110" w:type="dxa"/>
              <w:bottom w:w="90" w:type="dxa"/>
              <w:right w:w="110" w:type="dxa"/>
            </w:tcMar>
            <w:vAlign w:val="center"/>
          </w:tcPr>
          <w:p w14:paraId="106C9739" w14:textId="77777777" w:rsidR="00730E2C" w:rsidRDefault="00000000">
            <w:r>
              <w:rPr>
                <w:b/>
                <w:bCs/>
                <w:color w:val="FFFFFF"/>
                <w:sz w:val="19"/>
                <w:szCs w:val="19"/>
              </w:rPr>
              <w:t>Notes</w:t>
            </w:r>
          </w:p>
        </w:tc>
      </w:tr>
      <w:tr w:rsidR="00730E2C" w14:paraId="593F208C" w14:textId="77777777">
        <w:tc>
          <w:tcPr>
            <w:tcW w:w="2600" w:type="dxa"/>
            <w:tcMar>
              <w:top w:w="90" w:type="dxa"/>
              <w:left w:w="110" w:type="dxa"/>
              <w:bottom w:w="90" w:type="dxa"/>
              <w:right w:w="110" w:type="dxa"/>
            </w:tcMar>
            <w:vAlign w:val="center"/>
          </w:tcPr>
          <w:p w14:paraId="541BA1F8" w14:textId="77777777" w:rsidR="00730E2C" w:rsidRDefault="00000000">
            <w:r>
              <w:rPr>
                <w:color w:val="333333"/>
                <w:sz w:val="19"/>
                <w:szCs w:val="19"/>
              </w:rPr>
              <w:t>Full-time employees</w:t>
            </w:r>
          </w:p>
        </w:tc>
        <w:tc>
          <w:tcPr>
            <w:tcW w:w="1500" w:type="dxa"/>
            <w:tcMar>
              <w:top w:w="90" w:type="dxa"/>
              <w:left w:w="110" w:type="dxa"/>
              <w:bottom w:w="90" w:type="dxa"/>
              <w:right w:w="110" w:type="dxa"/>
            </w:tcMar>
            <w:vAlign w:val="center"/>
          </w:tcPr>
          <w:p w14:paraId="43217C70" w14:textId="77777777" w:rsidR="00730E2C" w:rsidRDefault="00000000">
            <w:r>
              <w:rPr>
                <w:color w:val="333333"/>
                <w:sz w:val="19"/>
                <w:szCs w:val="19"/>
              </w:rPr>
              <w:t>High</w:t>
            </w:r>
          </w:p>
        </w:tc>
        <w:tc>
          <w:tcPr>
            <w:tcW w:w="1300" w:type="dxa"/>
            <w:tcMar>
              <w:top w:w="90" w:type="dxa"/>
              <w:left w:w="110" w:type="dxa"/>
              <w:bottom w:w="90" w:type="dxa"/>
              <w:right w:w="110" w:type="dxa"/>
            </w:tcMar>
            <w:vAlign w:val="center"/>
          </w:tcPr>
          <w:p w14:paraId="76AFAA41" w14:textId="77777777" w:rsidR="00730E2C" w:rsidRDefault="00000000">
            <w:r>
              <w:rPr>
                <w:color w:val="333333"/>
                <w:sz w:val="19"/>
                <w:szCs w:val="19"/>
              </w:rPr>
              <w:t>1</w:t>
            </w:r>
          </w:p>
        </w:tc>
        <w:tc>
          <w:tcPr>
            <w:tcW w:w="1200" w:type="dxa"/>
            <w:tcMar>
              <w:top w:w="90" w:type="dxa"/>
              <w:left w:w="110" w:type="dxa"/>
              <w:bottom w:w="90" w:type="dxa"/>
              <w:right w:w="110" w:type="dxa"/>
            </w:tcMar>
            <w:vAlign w:val="center"/>
          </w:tcPr>
          <w:p w14:paraId="4C236A16" w14:textId="77777777" w:rsidR="00730E2C" w:rsidRDefault="00000000">
            <w:r>
              <w:rPr>
                <w:color w:val="333333"/>
                <w:sz w:val="19"/>
                <w:szCs w:val="19"/>
              </w:rPr>
              <w:t>N/A</w:t>
            </w:r>
          </w:p>
        </w:tc>
        <w:tc>
          <w:tcPr>
            <w:tcW w:w="3000" w:type="dxa"/>
            <w:tcMar>
              <w:top w:w="90" w:type="dxa"/>
              <w:left w:w="110" w:type="dxa"/>
              <w:bottom w:w="90" w:type="dxa"/>
              <w:right w:w="110" w:type="dxa"/>
            </w:tcMar>
            <w:vAlign w:val="center"/>
          </w:tcPr>
          <w:p w14:paraId="05A9AC2E" w14:textId="77777777" w:rsidR="00730E2C" w:rsidRDefault="00000000">
            <w:r>
              <w:rPr>
                <w:color w:val="333333"/>
                <w:sz w:val="19"/>
                <w:szCs w:val="19"/>
              </w:rPr>
              <w:t>Base: 1 (FY2026) → Milestone: 2 by FY2026 → Target: 4 by FY2027 (300% increase from base) → Current actual: 1</w:t>
            </w:r>
          </w:p>
        </w:tc>
      </w:tr>
      <w:tr w:rsidR="00730E2C" w14:paraId="34B2DA6B" w14:textId="77777777">
        <w:tc>
          <w:tcPr>
            <w:tcW w:w="2600" w:type="dxa"/>
            <w:shd w:val="clear" w:color="auto" w:fill="F2F2F2"/>
            <w:tcMar>
              <w:top w:w="90" w:type="dxa"/>
              <w:left w:w="110" w:type="dxa"/>
              <w:bottom w:w="90" w:type="dxa"/>
              <w:right w:w="110" w:type="dxa"/>
            </w:tcMar>
            <w:vAlign w:val="center"/>
          </w:tcPr>
          <w:p w14:paraId="65D091C5" w14:textId="77777777" w:rsidR="00730E2C" w:rsidRDefault="00000000">
            <w:r>
              <w:rPr>
                <w:color w:val="333333"/>
                <w:sz w:val="19"/>
                <w:szCs w:val="19"/>
              </w:rPr>
              <w:t>Part-time employees</w:t>
            </w:r>
          </w:p>
        </w:tc>
        <w:tc>
          <w:tcPr>
            <w:tcW w:w="1500" w:type="dxa"/>
            <w:shd w:val="clear" w:color="auto" w:fill="F2F2F2"/>
            <w:tcMar>
              <w:top w:w="90" w:type="dxa"/>
              <w:left w:w="110" w:type="dxa"/>
              <w:bottom w:w="90" w:type="dxa"/>
              <w:right w:w="110" w:type="dxa"/>
            </w:tcMar>
            <w:vAlign w:val="center"/>
          </w:tcPr>
          <w:p w14:paraId="0D751686" w14:textId="77777777" w:rsidR="00730E2C" w:rsidRDefault="00000000">
            <w:r>
              <w:rPr>
                <w:color w:val="333333"/>
                <w:sz w:val="19"/>
                <w:szCs w:val="19"/>
              </w:rPr>
              <w:t>Not material</w:t>
            </w:r>
          </w:p>
        </w:tc>
        <w:tc>
          <w:tcPr>
            <w:tcW w:w="1300" w:type="dxa"/>
            <w:shd w:val="clear" w:color="auto" w:fill="F2F2F2"/>
            <w:tcMar>
              <w:top w:w="90" w:type="dxa"/>
              <w:left w:w="110" w:type="dxa"/>
              <w:bottom w:w="90" w:type="dxa"/>
              <w:right w:w="110" w:type="dxa"/>
            </w:tcMar>
            <w:vAlign w:val="center"/>
          </w:tcPr>
          <w:p w14:paraId="5FEDD1FE" w14:textId="77777777" w:rsidR="00730E2C" w:rsidRDefault="00000000">
            <w:r>
              <w:rPr>
                <w:color w:val="333333"/>
                <w:sz w:val="19"/>
                <w:szCs w:val="19"/>
              </w:rPr>
              <w:t>0</w:t>
            </w:r>
          </w:p>
        </w:tc>
        <w:tc>
          <w:tcPr>
            <w:tcW w:w="1200" w:type="dxa"/>
            <w:shd w:val="clear" w:color="auto" w:fill="F2F2F2"/>
            <w:tcMar>
              <w:top w:w="90" w:type="dxa"/>
              <w:left w:w="110" w:type="dxa"/>
              <w:bottom w:w="90" w:type="dxa"/>
              <w:right w:w="110" w:type="dxa"/>
            </w:tcMar>
            <w:vAlign w:val="center"/>
          </w:tcPr>
          <w:p w14:paraId="419DE9C5" w14:textId="77777777" w:rsidR="00730E2C" w:rsidRDefault="00000000">
            <w:r>
              <w:rPr>
                <w:color w:val="333333"/>
                <w:sz w:val="19"/>
                <w:szCs w:val="19"/>
              </w:rPr>
              <w:t>N/A</w:t>
            </w:r>
          </w:p>
        </w:tc>
        <w:tc>
          <w:tcPr>
            <w:tcW w:w="3000" w:type="dxa"/>
            <w:shd w:val="clear" w:color="auto" w:fill="F2F2F2"/>
            <w:tcMar>
              <w:top w:w="90" w:type="dxa"/>
              <w:left w:w="110" w:type="dxa"/>
              <w:bottom w:w="90" w:type="dxa"/>
              <w:right w:w="110" w:type="dxa"/>
            </w:tcMar>
            <w:vAlign w:val="center"/>
          </w:tcPr>
          <w:p w14:paraId="621E0501" w14:textId="77777777" w:rsidR="00730E2C" w:rsidRDefault="00000000">
            <w:r>
              <w:rPr>
                <w:color w:val="333333"/>
                <w:sz w:val="19"/>
                <w:szCs w:val="19"/>
              </w:rPr>
              <w:t>Sole practitioner model by design; no part-time staff engaged</w:t>
            </w:r>
          </w:p>
        </w:tc>
      </w:tr>
      <w:tr w:rsidR="00730E2C" w14:paraId="5E400952" w14:textId="77777777">
        <w:tc>
          <w:tcPr>
            <w:tcW w:w="2600" w:type="dxa"/>
            <w:tcMar>
              <w:top w:w="90" w:type="dxa"/>
              <w:left w:w="110" w:type="dxa"/>
              <w:bottom w:w="90" w:type="dxa"/>
              <w:right w:w="110" w:type="dxa"/>
            </w:tcMar>
            <w:vAlign w:val="center"/>
          </w:tcPr>
          <w:p w14:paraId="4C7219A8" w14:textId="77777777" w:rsidR="00730E2C" w:rsidRDefault="00000000">
            <w:r>
              <w:rPr>
                <w:color w:val="333333"/>
                <w:sz w:val="19"/>
                <w:szCs w:val="19"/>
              </w:rPr>
              <w:t>Contract / temporary staff</w:t>
            </w:r>
          </w:p>
        </w:tc>
        <w:tc>
          <w:tcPr>
            <w:tcW w:w="1500" w:type="dxa"/>
            <w:tcMar>
              <w:top w:w="90" w:type="dxa"/>
              <w:left w:w="110" w:type="dxa"/>
              <w:bottom w:w="90" w:type="dxa"/>
              <w:right w:w="110" w:type="dxa"/>
            </w:tcMar>
            <w:vAlign w:val="center"/>
          </w:tcPr>
          <w:p w14:paraId="504F1341" w14:textId="77777777" w:rsidR="00730E2C" w:rsidRDefault="00000000">
            <w:r>
              <w:rPr>
                <w:color w:val="333333"/>
                <w:sz w:val="19"/>
                <w:szCs w:val="19"/>
              </w:rPr>
              <w:t>Not material</w:t>
            </w:r>
          </w:p>
        </w:tc>
        <w:tc>
          <w:tcPr>
            <w:tcW w:w="1300" w:type="dxa"/>
            <w:tcMar>
              <w:top w:w="90" w:type="dxa"/>
              <w:left w:w="110" w:type="dxa"/>
              <w:bottom w:w="90" w:type="dxa"/>
              <w:right w:w="110" w:type="dxa"/>
            </w:tcMar>
            <w:vAlign w:val="center"/>
          </w:tcPr>
          <w:p w14:paraId="04A27A8F" w14:textId="77777777" w:rsidR="00730E2C" w:rsidRDefault="00000000">
            <w:r>
              <w:rPr>
                <w:color w:val="333333"/>
                <w:sz w:val="19"/>
                <w:szCs w:val="19"/>
              </w:rPr>
              <w:t>0</w:t>
            </w:r>
          </w:p>
        </w:tc>
        <w:tc>
          <w:tcPr>
            <w:tcW w:w="1200" w:type="dxa"/>
            <w:tcMar>
              <w:top w:w="90" w:type="dxa"/>
              <w:left w:w="110" w:type="dxa"/>
              <w:bottom w:w="90" w:type="dxa"/>
              <w:right w:w="110" w:type="dxa"/>
            </w:tcMar>
            <w:vAlign w:val="center"/>
          </w:tcPr>
          <w:p w14:paraId="68448089" w14:textId="77777777" w:rsidR="00730E2C" w:rsidRDefault="00000000">
            <w:r>
              <w:rPr>
                <w:color w:val="333333"/>
                <w:sz w:val="19"/>
                <w:szCs w:val="19"/>
              </w:rPr>
              <w:t>N/A</w:t>
            </w:r>
          </w:p>
        </w:tc>
        <w:tc>
          <w:tcPr>
            <w:tcW w:w="3000" w:type="dxa"/>
            <w:tcMar>
              <w:top w:w="90" w:type="dxa"/>
              <w:left w:w="110" w:type="dxa"/>
              <w:bottom w:w="90" w:type="dxa"/>
              <w:right w:w="110" w:type="dxa"/>
            </w:tcMar>
            <w:vAlign w:val="center"/>
          </w:tcPr>
          <w:p w14:paraId="2703F7A4" w14:textId="77777777" w:rsidR="00730E2C" w:rsidRDefault="00000000">
            <w:r>
              <w:rPr>
                <w:color w:val="333333"/>
                <w:sz w:val="19"/>
                <w:szCs w:val="19"/>
              </w:rPr>
              <w:t>No contract or temporary staff engaged at present</w:t>
            </w:r>
          </w:p>
        </w:tc>
      </w:tr>
      <w:tr w:rsidR="00730E2C" w14:paraId="3DE16AAC" w14:textId="77777777">
        <w:tc>
          <w:tcPr>
            <w:tcW w:w="2600" w:type="dxa"/>
            <w:shd w:val="clear" w:color="auto" w:fill="F2F2F2"/>
            <w:tcMar>
              <w:top w:w="90" w:type="dxa"/>
              <w:left w:w="110" w:type="dxa"/>
              <w:bottom w:w="90" w:type="dxa"/>
              <w:right w:w="110" w:type="dxa"/>
            </w:tcMar>
            <w:vAlign w:val="center"/>
          </w:tcPr>
          <w:p w14:paraId="59B27836" w14:textId="77777777" w:rsidR="00730E2C" w:rsidRDefault="00000000">
            <w:r>
              <w:rPr>
                <w:color w:val="333333"/>
                <w:sz w:val="19"/>
                <w:szCs w:val="19"/>
              </w:rPr>
              <w:t>Total employees</w:t>
            </w:r>
          </w:p>
        </w:tc>
        <w:tc>
          <w:tcPr>
            <w:tcW w:w="1500" w:type="dxa"/>
            <w:shd w:val="clear" w:color="auto" w:fill="F2F2F2"/>
            <w:tcMar>
              <w:top w:w="90" w:type="dxa"/>
              <w:left w:w="110" w:type="dxa"/>
              <w:bottom w:w="90" w:type="dxa"/>
              <w:right w:w="110" w:type="dxa"/>
            </w:tcMar>
            <w:vAlign w:val="center"/>
          </w:tcPr>
          <w:p w14:paraId="2EBA9F43" w14:textId="77777777" w:rsidR="00730E2C" w:rsidRDefault="00000000">
            <w:r>
              <w:rPr>
                <w:color w:val="333333"/>
                <w:sz w:val="19"/>
                <w:szCs w:val="19"/>
              </w:rPr>
              <w:t>—</w:t>
            </w:r>
          </w:p>
        </w:tc>
        <w:tc>
          <w:tcPr>
            <w:tcW w:w="1300" w:type="dxa"/>
            <w:shd w:val="clear" w:color="auto" w:fill="F2F2F2"/>
            <w:tcMar>
              <w:top w:w="90" w:type="dxa"/>
              <w:left w:w="110" w:type="dxa"/>
              <w:bottom w:w="90" w:type="dxa"/>
              <w:right w:w="110" w:type="dxa"/>
            </w:tcMar>
            <w:vAlign w:val="center"/>
          </w:tcPr>
          <w:p w14:paraId="487C998B" w14:textId="77777777" w:rsidR="00730E2C" w:rsidRDefault="00000000">
            <w:r>
              <w:rPr>
                <w:color w:val="333333"/>
                <w:sz w:val="19"/>
                <w:szCs w:val="19"/>
              </w:rPr>
              <w:t>1</w:t>
            </w:r>
          </w:p>
        </w:tc>
        <w:tc>
          <w:tcPr>
            <w:tcW w:w="1200" w:type="dxa"/>
            <w:shd w:val="clear" w:color="auto" w:fill="F2F2F2"/>
            <w:tcMar>
              <w:top w:w="90" w:type="dxa"/>
              <w:left w:w="110" w:type="dxa"/>
              <w:bottom w:w="90" w:type="dxa"/>
              <w:right w:w="110" w:type="dxa"/>
            </w:tcMar>
            <w:vAlign w:val="center"/>
          </w:tcPr>
          <w:p w14:paraId="6F1B38EB" w14:textId="77777777" w:rsidR="00730E2C" w:rsidRDefault="00000000">
            <w:r>
              <w:rPr>
                <w:color w:val="333333"/>
                <w:sz w:val="19"/>
                <w:szCs w:val="19"/>
              </w:rPr>
              <w:t>N/A</w:t>
            </w:r>
          </w:p>
        </w:tc>
        <w:tc>
          <w:tcPr>
            <w:tcW w:w="3000" w:type="dxa"/>
            <w:shd w:val="clear" w:color="auto" w:fill="F2F2F2"/>
            <w:tcMar>
              <w:top w:w="90" w:type="dxa"/>
              <w:left w:w="110" w:type="dxa"/>
              <w:bottom w:w="90" w:type="dxa"/>
              <w:right w:w="110" w:type="dxa"/>
            </w:tcMar>
            <w:vAlign w:val="center"/>
          </w:tcPr>
          <w:p w14:paraId="02637DE5" w14:textId="77777777" w:rsidR="00730E2C" w:rsidRDefault="00000000">
            <w:r>
              <w:rPr>
                <w:color w:val="333333"/>
                <w:sz w:val="19"/>
                <w:szCs w:val="19"/>
              </w:rPr>
              <w:t>Auto-sum of above</w:t>
            </w:r>
          </w:p>
        </w:tc>
      </w:tr>
      <w:tr w:rsidR="00730E2C" w14:paraId="556CEE0C" w14:textId="77777777">
        <w:tc>
          <w:tcPr>
            <w:tcW w:w="2600" w:type="dxa"/>
            <w:tcMar>
              <w:top w:w="90" w:type="dxa"/>
              <w:left w:w="110" w:type="dxa"/>
              <w:bottom w:w="90" w:type="dxa"/>
              <w:right w:w="110" w:type="dxa"/>
            </w:tcMar>
            <w:vAlign w:val="center"/>
          </w:tcPr>
          <w:p w14:paraId="0BC60FF9" w14:textId="77777777" w:rsidR="00730E2C" w:rsidRDefault="00000000">
            <w:r>
              <w:rPr>
                <w:color w:val="333333"/>
                <w:sz w:val="19"/>
                <w:szCs w:val="19"/>
              </w:rPr>
              <w:t>Employee hours worked</w:t>
            </w:r>
          </w:p>
        </w:tc>
        <w:tc>
          <w:tcPr>
            <w:tcW w:w="1500" w:type="dxa"/>
            <w:tcMar>
              <w:top w:w="90" w:type="dxa"/>
              <w:left w:w="110" w:type="dxa"/>
              <w:bottom w:w="90" w:type="dxa"/>
              <w:right w:w="110" w:type="dxa"/>
            </w:tcMar>
            <w:vAlign w:val="center"/>
          </w:tcPr>
          <w:p w14:paraId="485F7283" w14:textId="77777777" w:rsidR="00730E2C" w:rsidRDefault="00000000">
            <w:r>
              <w:rPr>
                <w:color w:val="333333"/>
                <w:sz w:val="19"/>
                <w:szCs w:val="19"/>
              </w:rPr>
              <w:t>High</w:t>
            </w:r>
          </w:p>
        </w:tc>
        <w:tc>
          <w:tcPr>
            <w:tcW w:w="1300" w:type="dxa"/>
            <w:tcMar>
              <w:top w:w="90" w:type="dxa"/>
              <w:left w:w="110" w:type="dxa"/>
              <w:bottom w:w="90" w:type="dxa"/>
              <w:right w:w="110" w:type="dxa"/>
            </w:tcMar>
            <w:vAlign w:val="center"/>
          </w:tcPr>
          <w:p w14:paraId="10B8E821" w14:textId="77777777" w:rsidR="00730E2C" w:rsidRDefault="00000000">
            <w:r>
              <w:rPr>
                <w:color w:val="333333"/>
                <w:sz w:val="19"/>
                <w:szCs w:val="19"/>
              </w:rPr>
              <w:t>1,092 hrs</w:t>
            </w:r>
          </w:p>
        </w:tc>
        <w:tc>
          <w:tcPr>
            <w:tcW w:w="1200" w:type="dxa"/>
            <w:tcMar>
              <w:top w:w="90" w:type="dxa"/>
              <w:left w:w="110" w:type="dxa"/>
              <w:bottom w:w="90" w:type="dxa"/>
              <w:right w:w="110" w:type="dxa"/>
            </w:tcMar>
            <w:vAlign w:val="center"/>
          </w:tcPr>
          <w:p w14:paraId="20ADF9FB" w14:textId="77777777" w:rsidR="00730E2C" w:rsidRDefault="00000000">
            <w:r>
              <w:rPr>
                <w:color w:val="333333"/>
                <w:sz w:val="19"/>
                <w:szCs w:val="19"/>
              </w:rPr>
              <w:t>N/A</w:t>
            </w:r>
          </w:p>
        </w:tc>
        <w:tc>
          <w:tcPr>
            <w:tcW w:w="3000" w:type="dxa"/>
            <w:tcMar>
              <w:top w:w="90" w:type="dxa"/>
              <w:left w:w="110" w:type="dxa"/>
              <w:bottom w:w="90" w:type="dxa"/>
              <w:right w:w="110" w:type="dxa"/>
            </w:tcMar>
            <w:vAlign w:val="center"/>
          </w:tcPr>
          <w:p w14:paraId="4D5BCA4E" w14:textId="77777777" w:rsidR="00730E2C" w:rsidRDefault="00000000">
            <w:r>
              <w:rPr>
                <w:color w:val="333333"/>
                <w:sz w:val="19"/>
                <w:szCs w:val="19"/>
              </w:rPr>
              <w:t>Material as hours span billable client work, training, certifications, and marketing — directly explains revenue capacity</w:t>
            </w:r>
          </w:p>
        </w:tc>
      </w:tr>
      <w:tr w:rsidR="00730E2C" w14:paraId="17C26C81" w14:textId="77777777">
        <w:tc>
          <w:tcPr>
            <w:tcW w:w="2600" w:type="dxa"/>
            <w:shd w:val="clear" w:color="auto" w:fill="F2F2F2"/>
            <w:tcMar>
              <w:top w:w="90" w:type="dxa"/>
              <w:left w:w="110" w:type="dxa"/>
              <w:bottom w:w="90" w:type="dxa"/>
              <w:right w:w="110" w:type="dxa"/>
            </w:tcMar>
            <w:vAlign w:val="center"/>
          </w:tcPr>
          <w:p w14:paraId="4EF528C9" w14:textId="77777777" w:rsidR="00730E2C" w:rsidRDefault="00000000">
            <w:r>
              <w:rPr>
                <w:color w:val="333333"/>
                <w:sz w:val="19"/>
                <w:szCs w:val="19"/>
              </w:rPr>
              <w:t>Percentage billable</w:t>
            </w:r>
          </w:p>
        </w:tc>
        <w:tc>
          <w:tcPr>
            <w:tcW w:w="1500" w:type="dxa"/>
            <w:shd w:val="clear" w:color="auto" w:fill="F2F2F2"/>
            <w:tcMar>
              <w:top w:w="90" w:type="dxa"/>
              <w:left w:w="110" w:type="dxa"/>
              <w:bottom w:w="90" w:type="dxa"/>
              <w:right w:w="110" w:type="dxa"/>
            </w:tcMar>
            <w:vAlign w:val="center"/>
          </w:tcPr>
          <w:p w14:paraId="2E2A8C79" w14:textId="77777777" w:rsidR="00730E2C" w:rsidRDefault="00000000">
            <w:r>
              <w:rPr>
                <w:color w:val="333333"/>
                <w:sz w:val="19"/>
                <w:szCs w:val="19"/>
              </w:rPr>
              <w:t>High</w:t>
            </w:r>
          </w:p>
        </w:tc>
        <w:tc>
          <w:tcPr>
            <w:tcW w:w="1300" w:type="dxa"/>
            <w:shd w:val="clear" w:color="auto" w:fill="F2F2F2"/>
            <w:tcMar>
              <w:top w:w="90" w:type="dxa"/>
              <w:left w:w="110" w:type="dxa"/>
              <w:bottom w:w="90" w:type="dxa"/>
              <w:right w:w="110" w:type="dxa"/>
            </w:tcMar>
            <w:vAlign w:val="center"/>
          </w:tcPr>
          <w:p w14:paraId="315BD58D" w14:textId="77777777" w:rsidR="00730E2C" w:rsidRDefault="00000000">
            <w:r>
              <w:rPr>
                <w:color w:val="333333"/>
                <w:sz w:val="19"/>
                <w:szCs w:val="19"/>
              </w:rPr>
              <w:t>20%</w:t>
            </w:r>
          </w:p>
        </w:tc>
        <w:tc>
          <w:tcPr>
            <w:tcW w:w="1200" w:type="dxa"/>
            <w:shd w:val="clear" w:color="auto" w:fill="F2F2F2"/>
            <w:tcMar>
              <w:top w:w="90" w:type="dxa"/>
              <w:left w:w="110" w:type="dxa"/>
              <w:bottom w:w="90" w:type="dxa"/>
              <w:right w:w="110" w:type="dxa"/>
            </w:tcMar>
            <w:vAlign w:val="center"/>
          </w:tcPr>
          <w:p w14:paraId="2B1C42AA" w14:textId="77777777" w:rsidR="00730E2C" w:rsidRDefault="00000000">
            <w:r>
              <w:rPr>
                <w:color w:val="333333"/>
                <w:sz w:val="19"/>
                <w:szCs w:val="19"/>
              </w:rPr>
              <w:t>N/A</w:t>
            </w:r>
          </w:p>
        </w:tc>
        <w:tc>
          <w:tcPr>
            <w:tcW w:w="3000" w:type="dxa"/>
            <w:shd w:val="clear" w:color="auto" w:fill="F2F2F2"/>
            <w:tcMar>
              <w:top w:w="90" w:type="dxa"/>
              <w:left w:w="110" w:type="dxa"/>
              <w:bottom w:w="90" w:type="dxa"/>
              <w:right w:w="110" w:type="dxa"/>
            </w:tcMar>
            <w:vAlign w:val="center"/>
          </w:tcPr>
          <w:p w14:paraId="76362F53" w14:textId="77777777" w:rsidR="00730E2C" w:rsidRDefault="00000000">
            <w:r>
              <w:rPr>
                <w:color w:val="333333"/>
                <w:sz w:val="19"/>
                <w:szCs w:val="19"/>
              </w:rPr>
              <w:t>Base: 20% (FY2026) → Milestone: 22% by FY2026 → Target: 25% by FY2027 → Current actual: 20%. Revenue to be optimised relative to hours worked</w:t>
            </w:r>
          </w:p>
        </w:tc>
      </w:tr>
    </w:tbl>
    <w:p w14:paraId="18C95354" w14:textId="77777777" w:rsidR="00730E2C" w:rsidRDefault="00000000">
      <w:pPr>
        <w:pStyle w:val="Heading2"/>
        <w:spacing w:before="320" w:after="140"/>
      </w:pPr>
      <w:r>
        <w:rPr>
          <w:b/>
          <w:bCs/>
          <w:color w:val="1F3864"/>
          <w:sz w:val="24"/>
          <w:szCs w:val="24"/>
        </w:rPr>
        <w:t>7.2 Topic 1 — Data Security (SV-PS-230a)</w:t>
      </w:r>
    </w:p>
    <w:p w14:paraId="7E8E7569" w14:textId="77777777" w:rsidR="00730E2C" w:rsidRDefault="00000000">
      <w:pPr>
        <w:spacing w:before="220" w:after="100"/>
      </w:pPr>
      <w:r>
        <w:rPr>
          <w:b/>
          <w:bCs/>
          <w:color w:val="9C7A2A"/>
          <w:sz w:val="21"/>
          <w:szCs w:val="21"/>
        </w:rPr>
        <w:t>SV-PS-230a.1 — Policies &amp; practices for collection, usage, and retention of client data</w:t>
      </w:r>
    </w:p>
    <w:p w14:paraId="3A3B2A51" w14:textId="77777777" w:rsidR="00730E2C" w:rsidRDefault="00000000">
      <w:pPr>
        <w:spacing w:after="160" w:line="300" w:lineRule="auto"/>
      </w:pPr>
      <w:r>
        <w:rPr>
          <w:color w:val="333333"/>
          <w:sz w:val="21"/>
          <w:szCs w:val="21"/>
        </w:rPr>
        <w:t>Client data is retained securely in cloud storage and local backup. Retention periods range from five to eight years, depending on the data requirements of the relevant client jurisdiction.</w:t>
      </w:r>
    </w:p>
    <w:p w14:paraId="0AD331EE" w14:textId="77777777" w:rsidR="00730E2C" w:rsidRDefault="00000000">
      <w:pPr>
        <w:spacing w:before="100" w:after="40"/>
      </w:pPr>
      <w:r>
        <w:rPr>
          <w:b/>
          <w:bCs/>
          <w:color w:val="1F3864"/>
        </w:rPr>
        <w:t>Target:</w:t>
      </w:r>
    </w:p>
    <w:p w14:paraId="632F3C65" w14:textId="77777777" w:rsidR="00730E2C" w:rsidRDefault="00000000">
      <w:pPr>
        <w:spacing w:after="160" w:line="300" w:lineRule="auto"/>
      </w:pPr>
      <w:r>
        <w:rPr>
          <w:color w:val="333333"/>
          <w:sz w:val="21"/>
          <w:szCs w:val="21"/>
        </w:rPr>
        <w:t>No formal target has been set for this qualitative disclosure at this time.</w:t>
      </w:r>
    </w:p>
    <w:p w14:paraId="262CCCBA" w14:textId="77777777" w:rsidR="00730E2C" w:rsidRDefault="00000000">
      <w:pPr>
        <w:spacing w:before="220" w:after="100"/>
      </w:pPr>
      <w:r>
        <w:rPr>
          <w:b/>
          <w:bCs/>
          <w:color w:val="9C7A2A"/>
          <w:sz w:val="21"/>
          <w:szCs w:val="21"/>
        </w:rPr>
        <w:t>SV-PS-230a.2 — Data breaches, % involving client CBI/PII, clients affected</w:t>
      </w:r>
    </w:p>
    <w:p w14:paraId="1FB6D3D7" w14:textId="77777777" w:rsidR="00730E2C" w:rsidRDefault="00000000">
      <w:pPr>
        <w:spacing w:after="160" w:line="300" w:lineRule="auto"/>
      </w:pPr>
      <w:r>
        <w:rPr>
          <w:color w:val="333333"/>
          <w:sz w:val="21"/>
          <w:szCs w:val="21"/>
        </w:rPr>
        <w:t>FY2026: 0 data breaches. 0% involved client confidential business information (CBI) or personally identifiable information (PII). 0 clients affected.</w:t>
      </w:r>
    </w:p>
    <w:p w14:paraId="43E99188" w14:textId="77777777" w:rsidR="00730E2C" w:rsidRDefault="00000000">
      <w:pPr>
        <w:spacing w:before="100" w:after="40"/>
      </w:pPr>
      <w:r>
        <w:rPr>
          <w:b/>
          <w:bCs/>
          <w:color w:val="1F3864"/>
        </w:rPr>
        <w:t>Target:</w:t>
      </w:r>
    </w:p>
    <w:p w14:paraId="7280F19C" w14:textId="77777777" w:rsidR="00730E2C" w:rsidRDefault="00000000">
      <w:pPr>
        <w:spacing w:after="160" w:line="300" w:lineRule="auto"/>
      </w:pPr>
      <w:r>
        <w:rPr>
          <w:color w:val="333333"/>
          <w:sz w:val="21"/>
          <w:szCs w:val="21"/>
        </w:rPr>
        <w:t>Base: 0 breaches (FY2026) → Target: maintain 0 data breaches annually (ongoing) → Current actual: 0.</w:t>
      </w:r>
    </w:p>
    <w:p w14:paraId="57C1DA64" w14:textId="77777777" w:rsidR="00730E2C" w:rsidRDefault="00000000">
      <w:pPr>
        <w:spacing w:before="220" w:after="100"/>
      </w:pPr>
      <w:r>
        <w:rPr>
          <w:b/>
          <w:bCs/>
          <w:color w:val="9C7A2A"/>
          <w:sz w:val="21"/>
          <w:szCs w:val="21"/>
        </w:rPr>
        <w:t>SV-PS-230a.3 — Approach to identifying and addressing data security risks, including third-party vendor risk</w:t>
      </w:r>
    </w:p>
    <w:p w14:paraId="42E41DBF" w14:textId="77777777" w:rsidR="00730E2C" w:rsidRDefault="00000000">
      <w:pPr>
        <w:spacing w:after="160" w:line="300" w:lineRule="auto"/>
      </w:pPr>
      <w:r>
        <w:rPr>
          <w:color w:val="333333"/>
          <w:sz w:val="21"/>
          <w:szCs w:val="21"/>
        </w:rPr>
        <w:lastRenderedPageBreak/>
        <w:t>Client data is stored with a third-party vendor holding ISO 27001 certification, with no publicly known incidents of data leakage to date. Data is backed up monthly to reduce reliance on a single software provider. Staff (founder) security training is completed annually through ICAI, New Delhi.</w:t>
      </w:r>
    </w:p>
    <w:p w14:paraId="4456060C" w14:textId="77777777" w:rsidR="00730E2C" w:rsidRDefault="00000000">
      <w:pPr>
        <w:spacing w:before="100" w:after="40"/>
      </w:pPr>
      <w:r>
        <w:rPr>
          <w:b/>
          <w:bCs/>
          <w:color w:val="1F3864"/>
        </w:rPr>
        <w:t>Target:</w:t>
      </w:r>
    </w:p>
    <w:p w14:paraId="3332D626" w14:textId="77777777" w:rsidR="00730E2C" w:rsidRDefault="00000000">
      <w:pPr>
        <w:spacing w:after="160" w:line="300" w:lineRule="auto"/>
      </w:pPr>
      <w:r>
        <w:rPr>
          <w:color w:val="333333"/>
          <w:sz w:val="21"/>
          <w:szCs w:val="21"/>
        </w:rPr>
        <w:t>100% annual completion of staff security training — next training due FY, 31 December 2027. Vendor review cycle: as and when required, based on cost and value assessment.</w:t>
      </w:r>
    </w:p>
    <w:p w14:paraId="404E36D6" w14:textId="77777777" w:rsidR="00730E2C" w:rsidRDefault="00000000">
      <w:pPr>
        <w:spacing w:before="220" w:after="100"/>
      </w:pPr>
      <w:r>
        <w:rPr>
          <w:b/>
          <w:bCs/>
          <w:color w:val="9C7A2A"/>
          <w:sz w:val="21"/>
          <w:szCs w:val="21"/>
        </w:rPr>
        <w:t>Governance, Strategy, Risk Management &amp; Metrics — Data Security &amp; AI Tool Reliance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730E2C" w14:paraId="7469F0ED" w14:textId="77777777">
        <w:trPr>
          <w:tblHeader/>
        </w:trPr>
        <w:tc>
          <w:tcPr>
            <w:tcW w:w="2200" w:type="dxa"/>
            <w:shd w:val="clear" w:color="auto" w:fill="1F3864"/>
            <w:tcMar>
              <w:top w:w="90" w:type="dxa"/>
              <w:left w:w="110" w:type="dxa"/>
              <w:bottom w:w="90" w:type="dxa"/>
              <w:right w:w="110" w:type="dxa"/>
            </w:tcMar>
            <w:vAlign w:val="center"/>
          </w:tcPr>
          <w:p w14:paraId="139A9114" w14:textId="77777777" w:rsidR="00730E2C" w:rsidRDefault="00000000">
            <w:r>
              <w:rPr>
                <w:b/>
                <w:bCs/>
                <w:color w:val="FFFFFF"/>
                <w:sz w:val="19"/>
                <w:szCs w:val="19"/>
              </w:rPr>
              <w:t>Pillar</w:t>
            </w:r>
          </w:p>
        </w:tc>
        <w:tc>
          <w:tcPr>
            <w:tcW w:w="7200" w:type="dxa"/>
            <w:shd w:val="clear" w:color="auto" w:fill="1F3864"/>
            <w:tcMar>
              <w:top w:w="90" w:type="dxa"/>
              <w:left w:w="110" w:type="dxa"/>
              <w:bottom w:w="90" w:type="dxa"/>
              <w:right w:w="110" w:type="dxa"/>
            </w:tcMar>
            <w:vAlign w:val="center"/>
          </w:tcPr>
          <w:p w14:paraId="2BBC5DDF" w14:textId="77777777" w:rsidR="00730E2C" w:rsidRDefault="00000000">
            <w:r>
              <w:rPr>
                <w:b/>
                <w:bCs/>
                <w:color w:val="FFFFFF"/>
                <w:sz w:val="19"/>
                <w:szCs w:val="19"/>
              </w:rPr>
              <w:t>Disclosure</w:t>
            </w:r>
          </w:p>
        </w:tc>
      </w:tr>
      <w:tr w:rsidR="00730E2C" w14:paraId="20AEE298" w14:textId="77777777">
        <w:tc>
          <w:tcPr>
            <w:tcW w:w="2200" w:type="dxa"/>
            <w:tcMar>
              <w:top w:w="90" w:type="dxa"/>
              <w:left w:w="110" w:type="dxa"/>
              <w:bottom w:w="90" w:type="dxa"/>
              <w:right w:w="110" w:type="dxa"/>
            </w:tcMar>
            <w:vAlign w:val="center"/>
          </w:tcPr>
          <w:p w14:paraId="1F4CA7CA" w14:textId="77777777" w:rsidR="00730E2C" w:rsidRDefault="00000000">
            <w:r>
              <w:rPr>
                <w:color w:val="333333"/>
                <w:sz w:val="19"/>
                <w:szCs w:val="19"/>
              </w:rPr>
              <w:t>Governance</w:t>
            </w:r>
          </w:p>
        </w:tc>
        <w:tc>
          <w:tcPr>
            <w:tcW w:w="7200" w:type="dxa"/>
            <w:tcMar>
              <w:top w:w="90" w:type="dxa"/>
              <w:left w:w="110" w:type="dxa"/>
              <w:bottom w:w="90" w:type="dxa"/>
              <w:right w:w="110" w:type="dxa"/>
            </w:tcMar>
            <w:vAlign w:val="center"/>
          </w:tcPr>
          <w:p w14:paraId="5ACDB53E" w14:textId="77777777" w:rsidR="00730E2C" w:rsidRDefault="00000000">
            <w:r>
              <w:rPr>
                <w:color w:val="333333"/>
                <w:sz w:val="19"/>
                <w:szCs w:val="19"/>
              </w:rPr>
              <w:t>Founder is solely responsible for data storage decisions and AI tool vendor selection. Reviews conducted monthly (backup checks) and annually (full vendor/tool relevance review), with ad-hoc review triggered by any reported vendor security incident.</w:t>
            </w:r>
          </w:p>
        </w:tc>
      </w:tr>
      <w:tr w:rsidR="00730E2C" w14:paraId="0A67C6EB" w14:textId="77777777">
        <w:tc>
          <w:tcPr>
            <w:tcW w:w="2200" w:type="dxa"/>
            <w:shd w:val="clear" w:color="auto" w:fill="F2F2F2"/>
            <w:tcMar>
              <w:top w:w="90" w:type="dxa"/>
              <w:left w:w="110" w:type="dxa"/>
              <w:bottom w:w="90" w:type="dxa"/>
              <w:right w:w="110" w:type="dxa"/>
            </w:tcMar>
            <w:vAlign w:val="center"/>
          </w:tcPr>
          <w:p w14:paraId="7037973D" w14:textId="77777777" w:rsidR="00730E2C" w:rsidRDefault="00000000">
            <w:r>
              <w:rPr>
                <w:color w:val="333333"/>
                <w:sz w:val="19"/>
                <w:szCs w:val="19"/>
              </w:rPr>
              <w:t>Strategy</w:t>
            </w:r>
          </w:p>
        </w:tc>
        <w:tc>
          <w:tcPr>
            <w:tcW w:w="7200" w:type="dxa"/>
            <w:shd w:val="clear" w:color="auto" w:fill="F2F2F2"/>
            <w:tcMar>
              <w:top w:w="90" w:type="dxa"/>
              <w:left w:w="110" w:type="dxa"/>
              <w:bottom w:w="90" w:type="dxa"/>
              <w:right w:w="110" w:type="dxa"/>
            </w:tcMar>
            <w:vAlign w:val="center"/>
          </w:tcPr>
          <w:p w14:paraId="1FB1FDF1" w14:textId="77777777" w:rsidR="00730E2C" w:rsidRDefault="00000000">
            <w:r>
              <w:rPr>
                <w:color w:val="333333"/>
                <w:sz w:val="19"/>
                <w:szCs w:val="19"/>
              </w:rPr>
              <w:t>A data leak could materially harm the practice's reputation and continuity. Free access to AI tools currently improves efficiency and margins; a shift from the current zero-cost basis toward paid pricing would directly increase costs and affect profitability. Assessed as a medium-term risk (1–3 years), based on current AI tool pricing trends.</w:t>
            </w:r>
          </w:p>
        </w:tc>
      </w:tr>
      <w:tr w:rsidR="00730E2C" w14:paraId="7294389C" w14:textId="77777777">
        <w:tc>
          <w:tcPr>
            <w:tcW w:w="2200" w:type="dxa"/>
            <w:tcMar>
              <w:top w:w="90" w:type="dxa"/>
              <w:left w:w="110" w:type="dxa"/>
              <w:bottom w:w="90" w:type="dxa"/>
              <w:right w:w="110" w:type="dxa"/>
            </w:tcMar>
            <w:vAlign w:val="center"/>
          </w:tcPr>
          <w:p w14:paraId="4A46D9F8" w14:textId="77777777" w:rsidR="00730E2C" w:rsidRDefault="00000000">
            <w:r>
              <w:rPr>
                <w:color w:val="333333"/>
                <w:sz w:val="19"/>
                <w:szCs w:val="19"/>
              </w:rPr>
              <w:t>Risk Management</w:t>
            </w:r>
          </w:p>
        </w:tc>
        <w:tc>
          <w:tcPr>
            <w:tcW w:w="7200" w:type="dxa"/>
            <w:tcMar>
              <w:top w:w="90" w:type="dxa"/>
              <w:left w:w="110" w:type="dxa"/>
              <w:bottom w:w="90" w:type="dxa"/>
              <w:right w:w="110" w:type="dxa"/>
            </w:tcMar>
            <w:vAlign w:val="center"/>
          </w:tcPr>
          <w:p w14:paraId="1B24EC91" w14:textId="77777777" w:rsidR="00730E2C" w:rsidRDefault="00000000">
            <w:r>
              <w:rPr>
                <w:color w:val="333333"/>
                <w:sz w:val="19"/>
                <w:szCs w:val="19"/>
              </w:rPr>
              <w:t>Annual assessment evaluates each AI tool/vendor against: (1) security certification status, (2) pricing changes, (3) availability of comparable alternatives, and (4) any public breach history. Findings inform whether to switch vendors or renegotiate terms.</w:t>
            </w:r>
          </w:p>
        </w:tc>
      </w:tr>
      <w:tr w:rsidR="00730E2C" w14:paraId="62B0DD5D" w14:textId="77777777">
        <w:tc>
          <w:tcPr>
            <w:tcW w:w="2200" w:type="dxa"/>
            <w:shd w:val="clear" w:color="auto" w:fill="F2F2F2"/>
            <w:tcMar>
              <w:top w:w="90" w:type="dxa"/>
              <w:left w:w="110" w:type="dxa"/>
              <w:bottom w:w="90" w:type="dxa"/>
              <w:right w:w="110" w:type="dxa"/>
            </w:tcMar>
            <w:vAlign w:val="center"/>
          </w:tcPr>
          <w:p w14:paraId="3B4CB2E1" w14:textId="77777777" w:rsidR="00730E2C" w:rsidRDefault="00000000">
            <w:r>
              <w:rPr>
                <w:color w:val="333333"/>
                <w:sz w:val="19"/>
                <w:szCs w:val="19"/>
              </w:rPr>
              <w:t>Metrics &amp; Targets</w:t>
            </w:r>
          </w:p>
        </w:tc>
        <w:tc>
          <w:tcPr>
            <w:tcW w:w="7200" w:type="dxa"/>
            <w:shd w:val="clear" w:color="auto" w:fill="F2F2F2"/>
            <w:tcMar>
              <w:top w:w="90" w:type="dxa"/>
              <w:left w:w="110" w:type="dxa"/>
              <w:bottom w:w="90" w:type="dxa"/>
              <w:right w:w="110" w:type="dxa"/>
            </w:tcMar>
            <w:vAlign w:val="center"/>
          </w:tcPr>
          <w:p w14:paraId="08774579" w14:textId="77777777" w:rsidR="00730E2C" w:rsidRDefault="00000000">
            <w:r>
              <w:rPr>
                <w:color w:val="333333"/>
                <w:sz w:val="19"/>
                <w:szCs w:val="19"/>
              </w:rPr>
              <w:t>Metric: AI tool cost as % of revenue. Base: 0% (FY2026, tools currently free) → Target: keep below 15% of revenue → Target year: FY2029 → Milestone: monitor annually; review if any tool exceeds 10% of revenue → Current actual: 0%.</w:t>
            </w:r>
          </w:p>
        </w:tc>
      </w:tr>
    </w:tbl>
    <w:p w14:paraId="362931A5" w14:textId="77777777" w:rsidR="00730E2C" w:rsidRDefault="00000000">
      <w:pPr>
        <w:pStyle w:val="Heading2"/>
        <w:spacing w:before="320" w:after="140"/>
      </w:pPr>
      <w:r>
        <w:rPr>
          <w:b/>
          <w:bCs/>
          <w:color w:val="1F3864"/>
          <w:sz w:val="24"/>
          <w:szCs w:val="24"/>
        </w:rPr>
        <w:t>7.3 Topic 2 — Workforce Diversity &amp; Engagement (SV-PS-330a)</w:t>
      </w:r>
    </w:p>
    <w:p w14:paraId="65626041" w14:textId="77777777" w:rsidR="00730E2C" w:rsidRDefault="00000000">
      <w:pPr>
        <w:spacing w:after="160" w:line="300" w:lineRule="auto"/>
      </w:pPr>
      <w:r>
        <w:rPr>
          <w:color w:val="333333"/>
          <w:sz w:val="21"/>
          <w:szCs w:val="21"/>
        </w:rPr>
        <w:t>Materiality assessment: Not material.</w:t>
      </w:r>
    </w:p>
    <w:p w14:paraId="0A138B3D" w14:textId="77777777" w:rsidR="00730E2C" w:rsidRDefault="00000000">
      <w:pPr>
        <w:spacing w:after="160" w:line="300" w:lineRule="auto"/>
      </w:pPr>
      <w:r>
        <w:rPr>
          <w:color w:val="333333"/>
          <w:sz w:val="21"/>
          <w:szCs w:val="21"/>
        </w:rPr>
        <w:t>The entity operates as a sole practitioner with no employees beyond the founder. Metrics related to workforce diversity, pay equity, and employee engagement are not applicable, as there is no workforce across which such measures could meaningfully apply. This assessment will be revisited should the practice engage employees or contractors in future.</w:t>
      </w:r>
    </w:p>
    <w:p w14:paraId="2AD14CAC" w14:textId="77777777" w:rsidR="00730E2C" w:rsidRDefault="00000000">
      <w:pPr>
        <w:pStyle w:val="Heading2"/>
        <w:spacing w:before="320" w:after="140"/>
      </w:pPr>
      <w:r>
        <w:rPr>
          <w:b/>
          <w:bCs/>
          <w:color w:val="1F3864"/>
          <w:sz w:val="24"/>
          <w:szCs w:val="24"/>
        </w:rPr>
        <w:t>7.4 Topic 3 — Professional Integrity (SV-PS-510a)</w:t>
      </w:r>
    </w:p>
    <w:p w14:paraId="3A772E16" w14:textId="77777777" w:rsidR="00730E2C" w:rsidRDefault="00000000">
      <w:pPr>
        <w:spacing w:before="220" w:after="100"/>
      </w:pPr>
      <w:r>
        <w:rPr>
          <w:b/>
          <w:bCs/>
          <w:color w:val="9C7A2A"/>
          <w:sz w:val="21"/>
          <w:szCs w:val="21"/>
        </w:rPr>
        <w:t>SV-PS-510a.1 — Description of approach to ensuring professional integrity</w:t>
      </w:r>
    </w:p>
    <w:p w14:paraId="092FE666" w14:textId="77777777" w:rsidR="00730E2C" w:rsidRDefault="00000000">
      <w:pPr>
        <w:spacing w:after="160" w:line="300" w:lineRule="auto"/>
      </w:pPr>
      <w:r>
        <w:rPr>
          <w:color w:val="333333"/>
          <w:sz w:val="21"/>
          <w:szCs w:val="21"/>
        </w:rPr>
        <w:t>The founder is a qualified Chartered Accountant (ICAI, India) and a member of the Institute of Singapore Chartered Accountants (ISCA</w:t>
      </w:r>
      <w:proofErr w:type="gramStart"/>
      <w:r>
        <w:rPr>
          <w:color w:val="333333"/>
          <w:sz w:val="21"/>
          <w:szCs w:val="21"/>
        </w:rPr>
        <w:t>), and</w:t>
      </w:r>
      <w:proofErr w:type="gramEnd"/>
      <w:r>
        <w:rPr>
          <w:color w:val="333333"/>
          <w:sz w:val="21"/>
          <w:szCs w:val="21"/>
        </w:rPr>
        <w:t xml:space="preserve"> is bound by both institutes' codes of professional ethics and conduct. The founder completes mandatory annual ethics and continuing professional education (CPE) requirements under both bodies. The firm does not accept engagements involving a conflict of interest between clients.</w:t>
      </w:r>
    </w:p>
    <w:p w14:paraId="0DA699D2" w14:textId="77777777" w:rsidR="00730E2C" w:rsidRDefault="00000000">
      <w:pPr>
        <w:spacing w:after="160" w:line="300" w:lineRule="auto"/>
      </w:pPr>
      <w:r>
        <w:rPr>
          <w:color w:val="333333"/>
          <w:sz w:val="21"/>
          <w:szCs w:val="21"/>
        </w:rPr>
        <w:t>This dual professional membership supports the practice's ability to serve clients across Indian and Singapore jurisdictions in compliance with each region's respective professional and regulatory standards.</w:t>
      </w:r>
    </w:p>
    <w:p w14:paraId="4B67BAB2" w14:textId="77777777" w:rsidR="00730E2C" w:rsidRDefault="00000000">
      <w:pPr>
        <w:spacing w:before="220" w:after="100"/>
      </w:pPr>
      <w:r>
        <w:rPr>
          <w:b/>
          <w:bCs/>
          <w:color w:val="9C7A2A"/>
          <w:sz w:val="21"/>
          <w:szCs w:val="21"/>
        </w:rPr>
        <w:t>SV-PS-510a.2 — Total monetary losses from legal proceedings associated with professional integrity</w:t>
      </w:r>
    </w:p>
    <w:p w14:paraId="65721B59" w14:textId="77777777" w:rsidR="00730E2C" w:rsidRDefault="00000000">
      <w:pPr>
        <w:spacing w:after="160" w:line="300" w:lineRule="auto"/>
      </w:pPr>
      <w:r>
        <w:rPr>
          <w:color w:val="333333"/>
          <w:sz w:val="21"/>
          <w:szCs w:val="21"/>
        </w:rPr>
        <w:lastRenderedPageBreak/>
        <w:t>$0 — to date, there have been no monetary losses, sanctions, or legal proceedings associated with professional integrity.</w:t>
      </w:r>
    </w:p>
    <w:p w14:paraId="6590199E" w14:textId="77777777" w:rsidR="00730E2C" w:rsidRDefault="00000000">
      <w:pPr>
        <w:pStyle w:val="Heading1"/>
        <w:pBdr>
          <w:bottom w:val="single" w:sz="6" w:space="4" w:color="1F3864"/>
        </w:pBdr>
        <w:spacing w:before="420" w:after="200"/>
      </w:pPr>
      <w:r>
        <w:rPr>
          <w:b/>
          <w:bCs/>
          <w:color w:val="1F3864"/>
          <w:sz w:val="30"/>
          <w:szCs w:val="30"/>
        </w:rPr>
        <w:t>8. Closing Reflection</w:t>
      </w:r>
    </w:p>
    <w:p w14:paraId="6433BF01" w14:textId="77777777" w:rsidR="00730E2C" w:rsidRDefault="00000000">
      <w:pPr>
        <w:spacing w:after="160" w:line="300" w:lineRule="auto"/>
      </w:pPr>
      <w:r>
        <w:rPr>
          <w:color w:val="333333"/>
          <w:sz w:val="21"/>
          <w:szCs w:val="21"/>
        </w:rPr>
        <w:t>Working through this process, topic by topic, made one thing clear: sustainability reporting for a solo practice is not a scaled-down version of a large company's report — it is a genuinely different shape. There is no workforce to report on, minimal environmental footprint, but a concentrated set of risks around data security, professional integrity, and single-person operational resilience. Mapping the value chain first, before reaching for the SASB checklist, was what made this specific to my practice rather than a generic industry template.</w:t>
      </w:r>
    </w:p>
    <w:p w14:paraId="303365D3" w14:textId="77777777" w:rsidR="00730E2C" w:rsidRDefault="00000000">
      <w:pPr>
        <w:spacing w:after="160" w:line="300" w:lineRule="auto"/>
      </w:pPr>
      <w:r>
        <w:rPr>
          <w:i/>
          <w:iCs/>
          <w:color w:val="333333"/>
          <w:sz w:val="21"/>
          <w:szCs w:val="21"/>
        </w:rPr>
        <w:t>This is a first attempt, built to learn the standard properly rather than to produce a polished final filing. I expect it to evolve as the practice grows.</w:t>
      </w:r>
    </w:p>
    <w:p w14:paraId="3ED62F09" w14:textId="77777777" w:rsidR="00730E2C" w:rsidRDefault="00000000">
      <w:pPr>
        <w:pBdr>
          <w:top w:val="single" w:sz="6" w:space="8" w:color="1F3864"/>
        </w:pBdr>
        <w:spacing w:before="500"/>
      </w:pPr>
      <w:r>
        <w:rPr>
          <w:b/>
          <w:bCs/>
          <w:color w:val="1F3864"/>
          <w:sz w:val="19"/>
          <w:szCs w:val="19"/>
        </w:rPr>
        <w:t>CA Neelukumari Jain | Founder, Samyag Synergy</w:t>
      </w:r>
    </w:p>
    <w:sectPr w:rsidR="00730E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1587"/>
    <w:multiLevelType w:val="hybridMultilevel"/>
    <w:tmpl w:val="0FBE55E8"/>
    <w:lvl w:ilvl="0" w:tplc="2BCA3020">
      <w:start w:val="1"/>
      <w:numFmt w:val="bullet"/>
      <w:lvlText w:val="•"/>
      <w:lvlJc w:val="left"/>
      <w:pPr>
        <w:ind w:left="460" w:hanging="260"/>
      </w:pPr>
    </w:lvl>
    <w:lvl w:ilvl="1" w:tplc="A60E1460">
      <w:numFmt w:val="decimal"/>
      <w:lvlText w:val=""/>
      <w:lvlJc w:val="left"/>
    </w:lvl>
    <w:lvl w:ilvl="2" w:tplc="00A65B82">
      <w:numFmt w:val="decimal"/>
      <w:lvlText w:val=""/>
      <w:lvlJc w:val="left"/>
    </w:lvl>
    <w:lvl w:ilvl="3" w:tplc="199A9C7E">
      <w:numFmt w:val="decimal"/>
      <w:lvlText w:val=""/>
      <w:lvlJc w:val="left"/>
    </w:lvl>
    <w:lvl w:ilvl="4" w:tplc="175EB340">
      <w:numFmt w:val="decimal"/>
      <w:lvlText w:val=""/>
      <w:lvlJc w:val="left"/>
    </w:lvl>
    <w:lvl w:ilvl="5" w:tplc="2B1C39B4">
      <w:numFmt w:val="decimal"/>
      <w:lvlText w:val=""/>
      <w:lvlJc w:val="left"/>
    </w:lvl>
    <w:lvl w:ilvl="6" w:tplc="0EB8F136">
      <w:numFmt w:val="decimal"/>
      <w:lvlText w:val=""/>
      <w:lvlJc w:val="left"/>
    </w:lvl>
    <w:lvl w:ilvl="7" w:tplc="3690A560">
      <w:numFmt w:val="decimal"/>
      <w:lvlText w:val=""/>
      <w:lvlJc w:val="left"/>
    </w:lvl>
    <w:lvl w:ilvl="8" w:tplc="E5524014">
      <w:numFmt w:val="decimal"/>
      <w:lvlText w:val=""/>
      <w:lvlJc w:val="left"/>
    </w:lvl>
  </w:abstractNum>
  <w:abstractNum w:abstractNumId="1" w15:restartNumberingAfterBreak="0">
    <w:nsid w:val="170E3699"/>
    <w:multiLevelType w:val="hybridMultilevel"/>
    <w:tmpl w:val="9B56D9A4"/>
    <w:lvl w:ilvl="0" w:tplc="E7040578">
      <w:start w:val="1"/>
      <w:numFmt w:val="bullet"/>
      <w:lvlText w:val="●"/>
      <w:lvlJc w:val="left"/>
      <w:pPr>
        <w:ind w:left="720" w:hanging="360"/>
      </w:pPr>
    </w:lvl>
    <w:lvl w:ilvl="1" w:tplc="243EAAD2">
      <w:start w:val="1"/>
      <w:numFmt w:val="bullet"/>
      <w:lvlText w:val="○"/>
      <w:lvlJc w:val="left"/>
      <w:pPr>
        <w:ind w:left="1440" w:hanging="360"/>
      </w:pPr>
    </w:lvl>
    <w:lvl w:ilvl="2" w:tplc="CBA63328">
      <w:start w:val="1"/>
      <w:numFmt w:val="bullet"/>
      <w:lvlText w:val="■"/>
      <w:lvlJc w:val="left"/>
      <w:pPr>
        <w:ind w:left="2160" w:hanging="360"/>
      </w:pPr>
    </w:lvl>
    <w:lvl w:ilvl="3" w:tplc="0A76CBAE">
      <w:start w:val="1"/>
      <w:numFmt w:val="bullet"/>
      <w:lvlText w:val="●"/>
      <w:lvlJc w:val="left"/>
      <w:pPr>
        <w:ind w:left="2880" w:hanging="360"/>
      </w:pPr>
    </w:lvl>
    <w:lvl w:ilvl="4" w:tplc="73AAB5B0">
      <w:start w:val="1"/>
      <w:numFmt w:val="bullet"/>
      <w:lvlText w:val="○"/>
      <w:lvlJc w:val="left"/>
      <w:pPr>
        <w:ind w:left="3600" w:hanging="360"/>
      </w:pPr>
    </w:lvl>
    <w:lvl w:ilvl="5" w:tplc="D75CA272">
      <w:start w:val="1"/>
      <w:numFmt w:val="bullet"/>
      <w:lvlText w:val="■"/>
      <w:lvlJc w:val="left"/>
      <w:pPr>
        <w:ind w:left="4320" w:hanging="360"/>
      </w:pPr>
    </w:lvl>
    <w:lvl w:ilvl="6" w:tplc="821E3514">
      <w:start w:val="1"/>
      <w:numFmt w:val="bullet"/>
      <w:lvlText w:val="●"/>
      <w:lvlJc w:val="left"/>
      <w:pPr>
        <w:ind w:left="5040" w:hanging="360"/>
      </w:pPr>
    </w:lvl>
    <w:lvl w:ilvl="7" w:tplc="A1A0ED68">
      <w:start w:val="1"/>
      <w:numFmt w:val="bullet"/>
      <w:lvlText w:val="●"/>
      <w:lvlJc w:val="left"/>
      <w:pPr>
        <w:ind w:left="5760" w:hanging="360"/>
      </w:pPr>
    </w:lvl>
    <w:lvl w:ilvl="8" w:tplc="718099BA">
      <w:start w:val="1"/>
      <w:numFmt w:val="bullet"/>
      <w:lvlText w:val="●"/>
      <w:lvlJc w:val="left"/>
      <w:pPr>
        <w:ind w:left="6480" w:hanging="360"/>
      </w:pPr>
    </w:lvl>
  </w:abstractNum>
  <w:num w:numId="1" w16cid:durableId="1519656482">
    <w:abstractNumId w:val="1"/>
    <w:lvlOverride w:ilvl="0">
      <w:startOverride w:val="1"/>
    </w:lvlOverride>
  </w:num>
  <w:num w:numId="2" w16cid:durableId="883905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E2C"/>
    <w:rsid w:val="002B650E"/>
    <w:rsid w:val="0059461F"/>
    <w:rsid w:val="00730E2C"/>
    <w:rsid w:val="0098070C"/>
    <w:rsid w:val="009D381C"/>
    <w:rsid w:val="00B25EF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C21DF"/>
  <w15:docId w15:val="{8D68339A-820C-4ADD-9C05-05594568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1829</Words>
  <Characters>10426</Characters>
  <Application>Microsoft Office Word</Application>
  <DocSecurity>0</DocSecurity>
  <Lines>86</Lines>
  <Paragraphs>24</Paragraphs>
  <ScaleCrop>false</ScaleCrop>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Neelukumari Jain</cp:lastModifiedBy>
  <cp:revision>6</cp:revision>
  <dcterms:created xsi:type="dcterms:W3CDTF">2026-07-06T16:33:00Z</dcterms:created>
  <dcterms:modified xsi:type="dcterms:W3CDTF">2026-07-07T01:06:00Z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2026-07-07T00:59:58Z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a941be37-3e54-4ccf-a53d-eb5c04cb30a3</vt:lpwstr>
  </property>
  <property fmtid="{D5CDD505-2E9C-101B-9397-08002B2CF9AE}" pid="7" name="MSIP_Label_defa4170-0d19-0005-0004-bc88714345d2_ActionId">
    <vt:lpwstr>a91af713-cb57-4b78-a78a-fa9a14ed8796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