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Fiscal Dominance Model – Detailed Explanation and Applications</w:t>
      </w:r>
    </w:p>
    <w:p>
      <w:r>
        <w:t>This document presents a step-by-step derivation of the fiscal dominance framework, from the simplest monetary identity to more complex formulations incorporating reserves, seigniorage, and expectations (Cagan model). It then applies these equations to the current macro context (United States, Eurozone, Japan).</w:t>
      </w:r>
    </w:p>
    <w:p>
      <w:pPr>
        <w:pStyle w:val="Heading2"/>
      </w:pPr>
      <w:r>
        <w:t>1. Simplified Monetary Identity (Quantity Equation)</w:t>
      </w:r>
    </w:p>
    <w:p>
      <w:r>
        <w:t>We start with the quantity theory of money:</w:t>
        <w:br/>
        <w:t xml:space="preserve">    MV = PY</w:t>
        <w:br/>
        <w:br/>
        <w:t>Taking growth rates:</w:t>
        <w:br/>
        <w:t xml:space="preserve">    π = μ + ν – g</w:t>
        <w:br/>
        <w:br/>
        <w:t>Where:</w:t>
        <w:br/>
        <w:t xml:space="preserve"> - π: inflation</w:t>
        <w:br/>
        <w:t xml:space="preserve"> - μ: growth rate of money supply</w:t>
        <w:br/>
        <w:t xml:space="preserve"> - ν: growth rate of velocity</w:t>
        <w:br/>
        <w:t xml:space="preserve"> - g: growth of real output</w:t>
        <w:br/>
        <w:br/>
        <w:t>If velocity is constant (ν≈0):</w:t>
        <w:br/>
        <w:t xml:space="preserve">    π ≈ μ – g</w:t>
      </w:r>
    </w:p>
    <w:p>
      <w:pPr>
        <w:pStyle w:val="Heading2"/>
      </w:pPr>
      <w:r>
        <w:t>2. Seigniorage and the Budget Constraint</w:t>
      </w:r>
    </w:p>
    <w:p>
      <w:r>
        <w:t>Seigniorage represents revenues from money creation:</w:t>
        <w:br/>
        <w:t xml:space="preserve">    s = ΔM / P = μ * (M/P)</w:t>
        <w:br/>
        <w:t>As a share of GDP:</w:t>
        <w:br/>
        <w:t xml:space="preserve">    s/Y = μ / V</w:t>
        <w:br/>
        <w:br/>
        <w:t>Combined with the government’s intertemporal budget constraint (stationary case):</w:t>
        <w:br/>
        <w:t xml:space="preserve">    d + (r – g)b = s/Y</w:t>
        <w:br/>
        <w:br/>
        <w:t>Where:</w:t>
        <w:br/>
        <w:t xml:space="preserve"> - d: primary deficit (% GDP)</w:t>
        <w:br/>
        <w:t xml:space="preserve"> - b: debt ratio (% GDP)</w:t>
        <w:br/>
        <w:t xml:space="preserve"> - r: real interest rate</w:t>
        <w:br/>
        <w:t xml:space="preserve"> - g: real growth rate</w:t>
        <w:br/>
        <w:br/>
        <w:t>Hence:</w:t>
        <w:br/>
        <w:t xml:space="preserve">    π = V [ d + (r – g)b ] – g</w:t>
      </w:r>
    </w:p>
    <w:p>
      <w:pPr>
        <w:pStyle w:val="Heading2"/>
      </w:pPr>
      <w:r>
        <w:t>3. QE, Reserves and Rethinking Seigniorage</w:t>
      </w:r>
    </w:p>
    <w:p>
      <w:r>
        <w:t>In the post-2008 world, QE expands reserves (R). Some are remunerated (iR), reducing their effect as a monetary tax. Define λ as the effective share of reserves subject to inflation taxation:</w:t>
        <w:br/>
        <w:br/>
        <w:t xml:space="preserve">    d + (r – g)b + (iR – π)(R/Y) = (π + g)(H/Y + λR/Y)</w:t>
        <w:br/>
        <w:br/>
        <w:t>Where:</w:t>
        <w:br/>
        <w:t xml:space="preserve"> - H: non-remunerated base money (currency in circulation)</w:t>
        <w:br/>
        <w:t xml:space="preserve"> - R: bank reserves</w:t>
        <w:br/>
        <w:t xml:space="preserve"> - iR: nominal interest paid on reserves</w:t>
        <w:br/>
        <w:t xml:space="preserve"> - λ: share of reserves effectively taxed by inflation</w:t>
      </w:r>
    </w:p>
    <w:p>
      <w:pPr>
        <w:pStyle w:val="Heading2"/>
      </w:pPr>
      <w:r>
        <w:t>4. Expectations (Cagan Money Demand)</w:t>
      </w:r>
    </w:p>
    <w:p>
      <w:r>
        <w:t>Money demand falls with expected inflation. In a Cagan-style formulation:</w:t>
        <w:br/>
        <w:t xml:space="preserve">    (H/Y + λR/Y) = k * exp( – α E[π] )</w:t>
        <w:br/>
        <w:br/>
        <w:t>Plugging into the budget identity:</w:t>
        <w:br/>
        <w:t xml:space="preserve">    d + (r – g)b + (iR – π)(R/Y) = (π + g) * k * exp( – α E[π] )</w:t>
        <w:br/>
        <w:br/>
        <w:t>This gives rise to the seigniorage Laffer curve: beyond some inflation, revenues decline because agents flee money.</w:t>
      </w:r>
    </w:p>
    <w:p>
      <w:pPr>
        <w:pStyle w:val="Heading2"/>
      </w:pPr>
      <w:r>
        <w:t>5. Applications to the Current Context (2025)</w:t>
      </w:r>
    </w:p>
    <w:p>
      <w:pPr>
        <w:pStyle w:val="Heading3"/>
      </w:pPr>
      <w:r>
        <w:t>United States</w:t>
      </w:r>
    </w:p>
    <w:p>
      <w:r>
        <w:t xml:space="preserve"> - Debt &gt;120% GDP, primary deficit ~5% GDP.</w:t>
        <w:br/>
        <w:t xml:space="preserve"> - Seigniorage capacity small (&lt;1% GDP) given remunerated reserves.</w:t>
        <w:br/>
        <w:t xml:space="preserve"> - Equation does not balance without higher inflation expectations or fiscal consolidation.</w:t>
        <w:br/>
        <w:t xml:space="preserve"> - Likely outcome: medium-term inflation &gt;2.5–3%, persistent term premium, curve steepeners.</w:t>
      </w:r>
    </w:p>
    <w:p>
      <w:pPr>
        <w:pStyle w:val="Heading3"/>
      </w:pPr>
      <w:r>
        <w:t>Eurozone</w:t>
      </w:r>
    </w:p>
    <w:p>
      <w:r>
        <w:t xml:space="preserve"> - Average debt ~90% GDP, Italy &gt;140%.</w:t>
        <w:br/>
        <w:t xml:space="preserve"> - BCE constrained by fragmentation: must balance inflation fight with sovereign risk.</w:t>
        <w:br/>
        <w:t xml:space="preserve"> - Outcome: inflation forward ~2.3–2.6%, Bund yields 2.5–3.5%, spreads volatile.</w:t>
      </w:r>
    </w:p>
    <w:p>
      <w:pPr>
        <w:pStyle w:val="Heading3"/>
      </w:pPr>
      <w:r>
        <w:t>Japan</w:t>
      </w:r>
    </w:p>
    <w:p>
      <w:r>
        <w:t xml:space="preserve"> - Debt ~260% GDP, chronic deficits 5–6%.</w:t>
        <w:br/>
        <w:t xml:space="preserve"> - BoJ remains structural buyer of JGBs; implicit cap on 10Y ~2%.</w:t>
        <w:br/>
        <w:t xml:space="preserve"> - Inflation ~2.3–2.6%, with long rates ~1.5–3% depending on maturity.</w:t>
      </w:r>
    </w:p>
    <w:p>
      <w:pPr>
        <w:pStyle w:val="Heading2"/>
      </w:pPr>
      <w:r>
        <w:t>6. Conclusion</w:t>
      </w:r>
    </w:p>
    <w:p>
      <w:r>
        <w:t>The fiscal dominance model shows that, when fiscal needs far exceed the seigniorage capacity, monetary policy alone cannot anchor inflation at target sustainably. Central banks may stabilize markets short term via targeted interventions, but without fiscal discipline, inflation expectations and term premia adjust upward. Markets will keep testing the limits of the 'central bank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