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 – Sovereign ALM Curve Implementation for Enhanced Asset-Liability Management</w:t>
      </w:r>
    </w:p>
    <w:p>
      <w:pPr>
        <w:pStyle w:val="Heading1"/>
      </w:pPr>
      <w:r>
        <w:t>0. Executive Summary &amp; Economic Rationale</w:t>
      </w:r>
    </w:p>
    <w:p>
      <w:r>
        <w:t>Primary Objective: Optimize ALM efficiency through sovereign curve-based transfer pricing, generating structural carry while improving regulatory ratios.</w:t>
        <w:br/>
        <w:br/>
        <w:t>Recent market dynamics present a unique opportunity to enhance ALM performance. Long-dated sovereign yields now exceed traditional bank funding costs, creating positive carry potential when properly structured. More importantly, this represents a fundamental improvement in asset-liability matching methodology.</w:t>
        <w:br/>
        <w:br/>
        <w:t>Core Innovation: Replace ESTR-based transfer pricing with sovereign yield curves that reflect our actual HQLA asset composition. This alignment eliminates basis risk, creates natural hedging, and embeds positive carry structurally within ALM.</w:t>
        <w:br/>
        <w:br/>
        <w:t>Key Benefits:</w:t>
        <w:br/>
        <w:t>• P&amp;L Enhancement: €15-25M annual carry generation (10bn portfolio)</w:t>
        <w:br/>
        <w:t>• ALM Optimization: Duration matching and basis risk elimination</w:t>
        <w:br/>
        <w:t>• Regulatory Efficiency: 0% RWA consumption with enhanced LCR/NSFR</w:t>
        <w:br/>
        <w:t>• Strategic Positioning: Market-based replacement of ECB TLTRO</w:t>
      </w:r>
    </w:p>
    <w:p>
      <w:pPr>
        <w:pStyle w:val="Heading1"/>
      </w:pPr>
      <w:r>
        <w:t>1. Market Context &amp; Strategic Rationale</w:t>
      </w:r>
    </w:p>
    <w:p>
      <w:r>
        <w:t>Market Opportunity Window:</w:t>
        <w:br/>
        <w:t>For the first time in decades, long-dated sovereign yields (OATs, BTPs, Bunds) trade at spreads above senior bank funding costs. This inversion creates extraordinary carry opportunities with zero incremental RWA, given 0% risk weight for domestic-currency EU sovereigns under CRR.</w:t>
        <w:br/>
        <w:br/>
        <w:t>Macro Backdrop:</w:t>
        <w:br/>
        <w:t>• Fiscal dominance: persistent deficits linked to defence, energy transition and welfare increase sovereign supply.</w:t>
        <w:br/>
        <w:t>• Term premium re-pricing: BIS and ECB research highlight the return of structural term premium.</w:t>
        <w:br/>
        <w:t>• Funding needs: EU sovereign issuance exceeds €1trn annually, pushing long-end yields structurally higher.</w:t>
        <w:br/>
        <w:br/>
        <w:t>TLTRO Transition Strategy:</w:t>
        <w:br/>
        <w:t>Historically, banks relied on ECB LTRO/TLTRO programmes to fund sovereign liquidity portfolios. With TLTRO expiry, the same economic dynamic can be replicated through EMTN issuance: long-term stable funding channelled to the Banking Book for sovereign HQLA holdings.</w:t>
        <w:br/>
        <w:br/>
        <w:t>ALM Innovation Imperative:</w:t>
        <w:br/>
        <w:t>Current Problem: Traditional ESTR-based transfer pricing creates permanent basis risk when funding long-term sovereign assets with short-term rate references.</w:t>
        <w:br/>
        <w:t>Solution: Establish sovereign yield curves as ALM benchmarks, creating natural hedging and embedding carry structurally in Banking Book operations.</w:t>
      </w:r>
    </w:p>
    <w:p>
      <w:pPr>
        <w:pStyle w:val="Heading1"/>
      </w:pPr>
      <w:r>
        <w:t>2. Proposed Structure</w:t>
      </w:r>
    </w:p>
    <w:p>
      <w:r>
        <w:t>Segregated Architecture:</w:t>
        <w:br/>
        <w:t>• Banking Book (BB): Hold long-dated HQLA sovereigns under Hold-to-Collect, externally repoed (≤30 days) for leverage ratio optimisation while maintaining LCR eligibility.</w:t>
        <w:br/>
        <w:t>• Trading Book (TB): Issue EMTNs ≥1 year, transfer matching deposits to BB, manage market/funding/call risks while remaining neutral to sovereign default.</w:t>
        <w:br/>
        <w:br/>
        <w:t>Operational Flow:</w:t>
        <w:br/>
        <w:t>Normal Operations:</w:t>
        <w:br/>
        <w:t>• BB holds sovereign bonds in HTC classification.</w:t>
        <w:br/>
        <w:t>• External repos (≤30 days) optimise leverage ratio exposure.</w:t>
        <w:br/>
        <w:t>• TB issues EMTNs, placing matching deposits in BB.</w:t>
        <w:br/>
        <w:br/>
        <w:t>Redemption Management:</w:t>
        <w:br/>
        <w:t>• TB borrows sovereign bonds unsecured from BB for market sale.</w:t>
        <w:br/>
        <w:t>• BB maintains HTC classification (no derecognition).</w:t>
        <w:br/>
        <w:t>• Clean risk allocation: BB retains default risk, TB assumes market/liquidity exposure.</w:t>
      </w:r>
    </w:p>
    <w:p>
      <w:pPr>
        <w:pStyle w:val="Heading1"/>
      </w:pPr>
      <w:r>
        <w:t>3. Addressing Implementation Concerns</w:t>
      </w:r>
    </w:p>
    <w:p>
      <w:r>
        <w:t>System Integration Strategy:</w:t>
        <w:br/>
        <w:br/>
        <w:t>Phase 1 - Parallel Validation (3-6 months):</w:t>
        <w:br/>
        <w:t>• Manual overlay calculations alongside existing FTP.</w:t>
        <w:br/>
        <w:t>• Prove concept with pilot EMTN program (€2-3bn).</w:t>
        <w:br/>
        <w:t>• Build performance track record.</w:t>
        <w:br/>
        <w:br/>
        <w:t>Phase 2 - Gradual Integration (6-12 months):</w:t>
        <w:br/>
        <w:t>• Integrate validated methodology into core systems.</w:t>
        <w:br/>
        <w:t>• Expand EMTN program based on demonstrated results.</w:t>
        <w:br/>
        <w:t>• Full Minerva model permissions obtained.</w:t>
        <w:br/>
        <w:br/>
        <w:t>Phase 3 - Full Implementation (12+ months):</w:t>
        <w:br/>
        <w:t>• Complete FTP transition to sovereign curve basis.</w:t>
        <w:br/>
        <w:t>• Scale program to target size.</w:t>
        <w:br/>
        <w:t>• Establish as standard ALM practice.</w:t>
      </w:r>
    </w:p>
    <w:p>
      <w:pPr>
        <w:pStyle w:val="Heading1"/>
      </w:pPr>
      <w:r>
        <w:t>4. Enhanced Economic Analysis</w:t>
      </w:r>
    </w:p>
    <w:p>
      <w:r>
        <w:t>Carry Generation Mechanism:</w:t>
        <w:br/>
        <w:br/>
        <w:t>Traditional Model:</w:t>
        <w:br/>
        <w:t>• EMTN Cost: ESTR (2.85%) + 85bps = 3.70%</w:t>
        <w:br/>
        <w:t>• Asset Yield: Sovereign 30Y (3.50%)</w:t>
        <w:br/>
        <w:t>• Carry: NEGATIVE -20bps</w:t>
        <w:br/>
        <w:br/>
        <w:t>Sovereign Model:</w:t>
        <w:br/>
        <w:t>• EMTN Cost: Sovereign (3.50%) + 20bps = 3.70%</w:t>
        <w:br/>
        <w:t>• Asset Yield: Sovereign 30Y (3.50%)</w:t>
        <w:br/>
        <w:t>• Carry: NEUTRAL to POSITIVE (adjustable spread)</w:t>
        <w:br/>
        <w:br/>
        <w:t>Key Insight: The HQLA buffer transforms from regulatory constraint to revenue generator through proper ALM structuring.</w:t>
      </w:r>
    </w:p>
    <w:p>
      <w:pPr>
        <w:pStyle w:val="Heading1"/>
      </w:pPr>
      <w:r>
        <w:t>5. Regulatory Analysis</w:t>
      </w:r>
    </w:p>
    <w:p>
      <w:r>
        <w:t>Capital Efficiency:</w:t>
        <w:br/>
        <w:t>• EU sovereigns: 0% RWA under Basel III/CRR.</w:t>
        <w:br/>
        <w:t>• No incremental capital consumption.</w:t>
        <w:br/>
        <w:t>• Regulatory constraints: leverage ratio and liquidity metrics (addressable through repo structure).</w:t>
        <w:br/>
        <w:br/>
        <w:t>Liquidity Ratios Enhancement:</w:t>
        <w:br/>
        <w:t>• LCR: Level 1 HQLA with 0% haircut, no 30-day outflows from EMTNs ≥1 year.</w:t>
        <w:br/>
        <w:t>• NSFR: Long-term assets funded by long-term liabilities, optimal ASF/RSF ratio.</w:t>
        <w:br/>
        <w:t>• Leverage Ratio: External repos reduce exposure from €10bn to ~€100M.</w:t>
        <w:br/>
        <w:br/>
        <w:t>IFRS 9 &amp; Accounting Precedents:</w:t>
        <w:br/>
        <w:t>• BB maintains Hold-to-Collect classification.</w:t>
        <w:br/>
        <w:t>• Repos constitute collateralised funding, not asset sales.</w:t>
        <w:br/>
        <w:t>• Approach aligns with IAS 19 (AA corporates for discounting), IFRS 17 (top-down asset-based yields), and Solvency II (Matching Adjustment).</w:t>
        <w:br/>
        <w:t>• Clean risk allocation preserves accounting treatment.</w:t>
      </w:r>
    </w:p>
    <w:p>
      <w:pPr>
        <w:pStyle w:val="Heading1"/>
      </w:pPr>
      <w:r>
        <w:t>6. Risk Management &amp; Governance</w:t>
      </w:r>
    </w:p>
    <w:p>
      <w:r>
        <w:t>Risk Allocation Framework:</w:t>
        <w:br/>
        <w:t>• Banking Book: Sovereign default risk (aligned with Group Risk Appetite).</w:t>
        <w:br/>
        <w:t>• Trading Book: Market, funding, and call risks (neutral to sovereign default).</w:t>
        <w:br/>
        <w:t>• Clear segregation ensures stress resilience.</w:t>
        <w:br/>
        <w:br/>
        <w:t>Stress Scenarios (ICAAP):</w:t>
        <w:br/>
        <w:t>• +200bps sovereign spread shock: absorbed in OCI/HTC.</w:t>
        <w:br/>
        <w:t>• 20% EMTN early redemptions: TB manages via repo/market liquidity.</w:t>
        <w:br/>
        <w:t>• Sovereign downgrade (e.g. Italy to HY): BB retains default risk, fully aligned with RAS.</w:t>
        <w:br/>
        <w:br/>
        <w:t>Governance:</w:t>
        <w:br/>
        <w:t>• Phase-gate implementation ensures discipline.</w:t>
        <w:br/>
        <w:t>• Performance monitoring and P&amp;L attribution embedded.</w:t>
        <w:br/>
        <w:t>• Proactive regulatory engagement on methodology evolution.</w:t>
      </w:r>
    </w:p>
    <w:p>
      <w:pPr>
        <w:pStyle w:val="Heading1"/>
      </w:pPr>
      <w:r>
        <w:t>7. Financial Projections (10bn Portfolio)</w:t>
      </w:r>
    </w:p>
    <w:p>
      <w:r>
        <w:t>Revenue Enhancement:</w:t>
        <w:br/>
        <w:t>• Gross Carry: €20-35M annually (20-35bps improvement).</w:t>
        <w:br/>
        <w:t>• Repo Costs: €15-20M annually.</w:t>
        <w:br/>
        <w:t>• Net P&amp;L Impact: €15-25M annually.</w:t>
        <w:br/>
        <w:t>• ROE Enhancement: Pure P&amp;L improvement (0% RWA consumption).</w:t>
        <w:br/>
        <w:br/>
        <w:t>Risk-Adjusted Returns:</w:t>
        <w:br/>
        <w:t>• Economic Capital: Minimal (sovereign exposures).</w:t>
        <w:br/>
        <w:t>• RORAC: Attractive given low capital allocation.</w:t>
        <w:br/>
        <w:t>• Volatility Reduction: Natural hedging reduces P&amp;L variance.</w:t>
      </w:r>
    </w:p>
    <w:p>
      <w:pPr>
        <w:pStyle w:val="Heading1"/>
      </w:pPr>
      <w:r>
        <w:t>8. Liquidity Letter Positioning</w:t>
      </w:r>
    </w:p>
    <w:p>
      <w:r>
        <w:t>A key benefit of this structure is that it enables the Bank to provide a liquidity letter, if required by investors or auditors, without transferring liquidity risk back to ALM or creating any implicit guarantee.</w:t>
        <w:br/>
        <w:br/>
        <w:t>• Retention of liquidity quality: The Banking Book continues to hold Level 1 HQLA sovereigns, universally recognised as the most liquid assets in the system (0% LCR haircut, repo-eligible with central banks and market counterparties).</w:t>
        <w:br/>
        <w:t>• No encumbrance or reclassification: Assets remain under HTC classification and are not pledged or ring-fenced for EMTN holders, preserving IFRS 9 integrity.</w:t>
        <w:br/>
        <w:t>• Crisis-resilient liquidity: In stress, liquidity can be sourced directly from the market — via repo, central bank operations, or secondary sales — without requiring ALM to inject cash.</w:t>
        <w:br/>
        <w:t>• Nature vs. promise: Signing a liquidity letter does not create a new contractual obligation; it simply acknowledges the intrinsic and regulatorily recognised liquidity of HQLA.</w:t>
        <w:br/>
        <w:br/>
        <w:t>👉 This formulation resolves the traditional ALM objection. The Bank can formally sign a liquidity letter while maintaining economic neutrality and risk discipline: liquidity is ensured by the nature of sovereign HQLA assets, not by additional commitments.</w:t>
      </w:r>
    </w:p>
    <w:p>
      <w:pPr>
        <w:pStyle w:val="Heading1"/>
      </w:pPr>
      <w:r>
        <w:t>9. Conclusion</w:t>
      </w:r>
    </w:p>
    <w:p>
      <w:r>
        <w:t>This framework represents more than an incremental optimisation: it is a paradigm shift in ALM methodology. It replicates, on a market basis, the economics of ECB LTRO/TLTRO, embeds structural carry into the sovereign HQLA buffer, and neutralises historical ALM objections around liquidity and risk allocation.</w:t>
        <w:br/>
        <w:br/>
        <w:t>The result is a model that is:</w:t>
        <w:br/>
        <w:t>• Compliant with IFRS and prudential regulation,</w:t>
        <w:br/>
        <w:t>• Economically accretive, delivering €15–25M P&amp;L uplift for a €10bn portfolio,</w:t>
        <w:br/>
        <w:t>• Strategically transformative, turning the HQLA buffer from a regulatory constraint into a structural profit engine.</w:t>
        <w:br/>
        <w:br/>
        <w:t>In short, this initiative positions the Bank ahead of peers by aligning regulatory efficiency, market opportunity, and ALM innovation into a single coherent framework.</w:t>
      </w:r>
    </w:p>
    <w:p>
      <w:pPr>
        <w:pStyle w:val="Heading1"/>
      </w:pPr>
      <w:r>
        <w:t>10. Scope Limitation – EMTN PP Only</w:t>
      </w:r>
    </w:p>
    <w:p>
      <w:r>
        <w:t>The proposed Sovereign ALM Curve methodology applies exclusively to EMTN Private Placements (PP) and retail APE issuances. These transactions are intrinsically buy-and-hold, with no requirement for active secondary market comparability. This makes them structurally suited for an ALM-driven discounting approach anchored to sovereign HQLA yields.</w:t>
        <w:br/>
        <w:br/>
        <w:t>Conversely, EMTN benchmark transactions will continue to be managed and priced strictly on traditional swap+spread curves. This ensures full consistency with observable market practice, peer comparability, and investor expectations in benchmark deals.</w:t>
        <w:br/>
        <w:br/>
        <w:t>By formally limiting the methodology to PP/APE, the Bank achieves two objectives:</w:t>
        <w:br/>
        <w:t>• Enhances ALM economics where it is most relevant (long-term stable funding).</w:t>
        <w:br/>
        <w:t>• Neutralises external objections by preserving transparency and integrity in benchmark market transactions.</w:t>
        <w:br/>
        <w:br/>
        <w:t>👉 This scope limitation is a critical governance safeguard: it demonstrates that the methodology is targeted, risk-controlled, and does not interfere with the Bank’s benchmark issuance framework.</w:t>
      </w:r>
    </w:p>
    <w:p>
      <w:pPr>
        <w:pStyle w:val="Heading1"/>
      </w:pPr>
      <w:r>
        <w:t>11. Own Spread Decomposition</w:t>
      </w:r>
    </w:p>
    <w:p>
      <w:r>
        <w:t>A key conceptual enhancement of the Sovereign ALM Curve methodology is the explicit decomposition of the Bank’s own spread.</w:t>
        <w:br/>
        <w:br/>
        <w:t>Traditional IFRS 13 methodology defines own spread as the premium investors demand over the risk-free swap curve. However, beyond 15–20 years, observable market data is scarce: banks rarely issue 30-year senior bonds, and CDS liquidity is limited beyond 10–20 years. As a result, own spread at 30 years is typically a Level 3 extrapolation.</w:t>
        <w:br/>
        <w:br/>
        <w:t>Our approach is both more transparent and more economically grounded:</w:t>
        <w:br/>
        <w:t>• Base curve: Level 1 HQLA sovereign yields (AAA/AA-rated), observable and liquid up to 30 years.</w:t>
        <w:br/>
        <w:t>• Adjustment: A bank-specific credit premium reflecting idiosyncratic risk.</w:t>
        <w:br/>
        <w:br/>
        <w:t>Formally:</w:t>
        <w:br/>
        <w:t xml:space="preserve">   Own Spread (Bank) = HQLA Sovereign Spread + Bank Credit Spread</w:t>
        <w:br/>
        <w:br/>
        <w:t>This construction ensures that:</w:t>
        <w:br/>
        <w:t>• The valuation base is observable, liquid and regulatorily recognised (LCR Level 1, 0% RWA).</w:t>
        <w:br/>
        <w:t>• The decomposition is intuitive: investors require at least the sovereign yield plus a bank premium.</w:t>
        <w:br/>
        <w:t>• The methodology avoids arbitrary extrapolations inherent in swap+spread curves beyond 20 years.</w:t>
        <w:br/>
        <w:br/>
        <w:t>👉 By grounding the Bank’s own spread in sovereign HQLA yields, the methodology is not only aligned with economic reality but also more defensible to auditors and regulators for long-dated liabilities (20–30 years).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