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Structuring of EMTN Autocallable Issuance via Banking Book / Trading Book Segregation</w:t>
      </w:r>
    </w:p>
    <w:p>
      <w:pPr>
        <w:pStyle w:val="Heading2"/>
      </w:pPr>
      <w:r>
        <w:t>1. Executive Summary</w:t>
      </w:r>
    </w:p>
    <w:p>
      <w:r>
        <w:t>This memorandum presents the proposed framework for issuing EMTN Autocallable notes through Global Markets, with clear segregation of responsibilities between the Banking Book (BB) and the Trading Book (TB). The structure aims to:</w:t>
        <w:br/>
        <w:t>- Preserve Banking Book neutrality (HTC classification, accrued accounting, no P&amp;L volatility).</w:t>
        <w:br/>
        <w:t>- Concentrate all structuring, market risk, and fair value volatility in the Trading Book.</w:t>
        <w:br/>
        <w:t>- Strengthen LCR and NSFR metrics by recycling sovereign HQLA assets.</w:t>
        <w:br/>
        <w:t>- Provide robust governance acceptable to ALM, Risk Management, and external auditors.</w:t>
      </w:r>
    </w:p>
    <w:p>
      <w:pPr>
        <w:pStyle w:val="Heading2"/>
      </w:pPr>
      <w:r>
        <w:t>2. Operating Model</w:t>
      </w:r>
    </w:p>
    <w:p>
      <w:r>
        <w:t>Step 1 — Banking Book</w:t>
        <w:br/>
        <w:t>- Asset: Purchase of €100m OAT (10Y sovereign).</w:t>
        <w:br/>
        <w:t>- Liability: Internal deposit to TB, valued on OAT-stripped discount curve.</w:t>
        <w:br/>
        <w:t>- Accounting: OAT classified HTC at amortized cost; deposit at amortized cost.</w:t>
        <w:br/>
        <w:t>- Result: Neutral P&amp;L, accrued accounting.</w:t>
        <w:br/>
        <w:br/>
        <w:t>Step 2 — Trading Book</w:t>
        <w:br/>
        <w:t>- Funding: Receives internal deposit from BB.</w:t>
        <w:br/>
        <w:t>- Liability: Issues €100m EMTN Autocallable (FVPL).</w:t>
        <w:br/>
        <w:t>- Hedging: Repo approx. 50% of OAT via street reverse repo; dynamically adjusted.</w:t>
        <w:br/>
        <w:t>- Result: Concentrates risk, captures structuring margin.</w:t>
        <w:br/>
        <w:br/>
        <w:t>Step 3 — Autocall Event</w:t>
        <w:br/>
        <w:t>- Investor redemption: EMTN redeemed early.</w:t>
        <w:br/>
        <w:t>- TB: Unwinds repo and may borrow unsecured from BB (OAT lending) for liquidity.</w:t>
        <w:br/>
        <w:t>- BB: Retains OAT classification HTC; TB manages liquidity mismatch.</w:t>
      </w:r>
    </w:p>
    <w:p>
      <w:pPr>
        <w:pStyle w:val="Heading2"/>
      </w:pPr>
      <w:r>
        <w:t>3. Accounting Treatment</w:t>
      </w:r>
    </w:p>
    <w:p>
      <w:r>
        <w:t>Banking Book</w:t>
        <w:br/>
        <w:t>- Asset: OAT €100m at amortized cost.</w:t>
        <w:br/>
        <w:t>- Liability: Internal deposit €100m at amortized cost.</w:t>
        <w:br/>
        <w:t>- P&amp;L: Interest income (OAT) vs expense (deposit) = net zero.</w:t>
        <w:br/>
        <w:br/>
        <w:t>Trading Book</w:t>
        <w:br/>
        <w:t>- Liability: EMTN Autocallable €100m FVPL.</w:t>
        <w:br/>
        <w:t>- Asset: Internal deposit from BB.</w:t>
        <w:br/>
        <w:t>- Derivatives: Repo hedge &amp; autocall replication FVPL.</w:t>
        <w:br/>
        <w:t>- P&amp;L: Structuring margin + FV volatility.</w:t>
      </w:r>
    </w:p>
    <w:p>
      <w:pPr>
        <w:pStyle w:val="Heading2"/>
      </w:pPr>
      <w:r>
        <w:t>4. Regulatory Impact</w:t>
      </w:r>
    </w:p>
    <w:p>
      <w:r>
        <w:t>LCR (Liquidity Coverage Ratio):</w:t>
        <w:br/>
        <w:t>- OAT = HQLA Level 1 (100%).</w:t>
        <w:br/>
        <w:t>- EMTN = wholesale market funding outflow.</w:t>
        <w:br/>
        <w:t>- Net: Favorable if EMTN &gt;30d maturity.</w:t>
        <w:br/>
        <w:br/>
        <w:t>NSFR (Net Stable Funding Ratio):</w:t>
        <w:br/>
        <w:t>- EMTN ≥1y maturity = ASF 100%.</w:t>
        <w:br/>
        <w:t>- OAT RSF ≤5%.</w:t>
        <w:br/>
        <w:t>- Net: Improves NSFR.</w:t>
        <w:br/>
        <w:br/>
        <w:t>Leverage Ratio:</w:t>
        <w:br/>
        <w:t>- Balance sheet gross-up (asset OAT + liability EMTN).</w:t>
        <w:br/>
        <w:t>- Slight negative impact; offset by stronger liquidity ratios.</w:t>
      </w:r>
    </w:p>
    <w:p>
      <w:pPr>
        <w:pStyle w:val="Heading2"/>
      </w:pPr>
      <w:r>
        <w:t>5. Governance &amp; Risk Considerations</w:t>
      </w:r>
    </w:p>
    <w:p>
      <w:r>
        <w:t>- Banking Book neutrality: All accrued, consistent with HTC business model.</w:t>
        <w:br/>
        <w:t>- Trading Book accountability: FVPL volatility, repo hedging under VaR/risk limits.</w:t>
        <w:br/>
        <w:t>- Liquidity shortfall risk: If OAT value &lt; 100, repo insufficient; TB borrows unsecured from BB.</w:t>
        <w:br/>
        <w:t>- Audit trail: Internal deposit contracts aligned with FTP policy; clear segregation of roles.</w:t>
        <w:br/>
        <w:t>- Stress tests: Liquidity gaps modeled under LCR/NSFR stress scenarios.</w:t>
      </w:r>
    </w:p>
    <w:p>
      <w:pPr>
        <w:pStyle w:val="Heading2"/>
      </w:pPr>
      <w:r>
        <w:t>6. Conclusion</w:t>
      </w:r>
    </w:p>
    <w:p>
      <w:r>
        <w:t>The proposed model keeps the Banking Book fully neutral (accrued, HTC, no FVPL), concentrates risk and structuring in the Trading Book, strengthens LCR and NSFR, and provides a clear audit trail consistent with IFRS 9 and Basel III. We recommend validation by the ALM Committee and Internal Audit to align with treasury governance, FTP methodology, and liquidity stress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