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AEDE" w14:textId="6F060E5F" w:rsidR="008C2762" w:rsidRPr="0047691D" w:rsidRDefault="005175C5" w:rsidP="008C2762">
      <w:pPr>
        <w:spacing w:after="120"/>
        <w:jc w:val="center"/>
        <w:rPr>
          <w:rFonts w:asciiTheme="minorHAnsi" w:hAnsiTheme="minorHAnsi" w:cstheme="minorHAnsi"/>
          <w:sz w:val="28"/>
          <w:szCs w:val="28"/>
        </w:rPr>
      </w:pPr>
      <w:r w:rsidRPr="0047691D">
        <w:rPr>
          <w:rFonts w:eastAsiaTheme="majorEastAsia"/>
          <w:i/>
          <w:iCs/>
          <w:color w:val="2F5496" w:themeColor="accent1" w:themeShade="BF"/>
          <w:sz w:val="28"/>
          <w:szCs w:val="28"/>
        </w:rPr>
        <w:t>The Re-Emergence of Term Premium: Implications for Sovereign curves and Derivatives</w:t>
      </w:r>
      <w:r w:rsidR="008C2762" w:rsidRPr="0047691D">
        <w:rPr>
          <w:rFonts w:asciiTheme="minorHAnsi" w:hAnsiTheme="minorHAnsi" w:cstheme="minorHAnsi"/>
          <w:sz w:val="28"/>
          <w:szCs w:val="28"/>
        </w:rPr>
        <w:br/>
      </w:r>
    </w:p>
    <w:p w14:paraId="69571D8D" w14:textId="77777777" w:rsidR="008C2762" w:rsidRPr="00F55F96" w:rsidRDefault="008C2762" w:rsidP="008C2762">
      <w:pPr>
        <w:pStyle w:val="Heading1"/>
        <w:spacing w:after="120"/>
        <w:rPr>
          <w:rFonts w:asciiTheme="minorHAnsi" w:hAnsiTheme="minorHAnsi" w:cstheme="minorHAnsi"/>
          <w:sz w:val="28"/>
          <w:szCs w:val="28"/>
        </w:rPr>
      </w:pPr>
      <w:r w:rsidRPr="00F55F96">
        <w:rPr>
          <w:rFonts w:asciiTheme="minorHAnsi" w:hAnsiTheme="minorHAnsi" w:cstheme="minorHAnsi"/>
          <w:sz w:val="28"/>
          <w:szCs w:val="28"/>
        </w:rPr>
        <w:t>Forward Yields, Term Premium and Structured Innovation</w:t>
      </w:r>
    </w:p>
    <w:p w14:paraId="4F401289" w14:textId="036881A6" w:rsidR="008C2762" w:rsidRPr="00F55F96" w:rsidRDefault="008C2762" w:rsidP="008C2762">
      <w:pPr>
        <w:pStyle w:val="Heading2"/>
        <w:spacing w:before="200" w:after="120"/>
        <w:rPr>
          <w:rFonts w:asciiTheme="minorHAnsi" w:hAnsiTheme="minorHAnsi" w:cstheme="minorHAnsi"/>
          <w:b/>
          <w:bCs/>
          <w:color w:val="4472C4" w:themeColor="accent1"/>
          <w:sz w:val="26"/>
          <w:szCs w:val="26"/>
        </w:rPr>
      </w:pPr>
      <w:r w:rsidRPr="00F55F96">
        <w:rPr>
          <w:rFonts w:asciiTheme="minorHAnsi" w:hAnsiTheme="minorHAnsi" w:cstheme="minorHAnsi"/>
          <w:b/>
          <w:bCs/>
          <w:color w:val="4472C4" w:themeColor="accent1"/>
          <w:sz w:val="26"/>
          <w:szCs w:val="26"/>
        </w:rPr>
        <w:t>Introduction – The Return of Term Premium</w:t>
      </w:r>
    </w:p>
    <w:p w14:paraId="5DCA0249" w14:textId="2B9E4679" w:rsidR="008C2762" w:rsidRPr="00F55F96" w:rsidRDefault="008C2762" w:rsidP="008C2762">
      <w:pPr>
        <w:rPr>
          <w:rFonts w:asciiTheme="minorHAnsi" w:hAnsiTheme="minorHAnsi" w:cstheme="minorHAnsi"/>
        </w:rPr>
      </w:pPr>
      <w:r w:rsidRPr="00F55F96">
        <w:rPr>
          <w:rFonts w:asciiTheme="minorHAnsi" w:hAnsiTheme="minorHAnsi" w:cstheme="minorHAnsi"/>
        </w:rPr>
        <w:t>The long era of compressed risk premia has ended. For more than a decade, successive rounds of quantitative easing placed persistent downward pressure on sovereign yields, reducing the compensation investors required for bearing duration risk. That regime shifted in 2022, as monetary tightening by major central banks contributed to the re-emergence of term premium as a central component of government bond pricing.</w:t>
      </w:r>
    </w:p>
    <w:p w14:paraId="230E8BC3" w14:textId="77777777" w:rsidR="00EE7126" w:rsidRPr="00F55F96" w:rsidRDefault="008C2762" w:rsidP="008C2762">
      <w:pPr>
        <w:rPr>
          <w:rFonts w:asciiTheme="minorHAnsi" w:hAnsiTheme="minorHAnsi" w:cstheme="minorHAnsi"/>
        </w:rPr>
      </w:pPr>
      <w:r w:rsidRPr="00F55F96">
        <w:rPr>
          <w:rFonts w:asciiTheme="minorHAnsi" w:hAnsiTheme="minorHAnsi" w:cstheme="minorHAnsi"/>
        </w:rPr>
        <w:t xml:space="preserve">This shift is most visible at the long end of the curve. From Bunds to Treasuries to JGBs, long-dated yields now reflect a renewed compensation for uncertainty in inflation, growth, and financing costs. </w:t>
      </w:r>
    </w:p>
    <w:p w14:paraId="22258A0E" w14:textId="77777777" w:rsidR="00EE7126" w:rsidRPr="00F55F96" w:rsidRDefault="00EE7126" w:rsidP="00EE7126">
      <w:pPr>
        <w:rPr>
          <w:rFonts w:asciiTheme="minorHAnsi" w:hAnsiTheme="minorHAnsi" w:cstheme="minorHAnsi"/>
        </w:rPr>
      </w:pPr>
      <w:r w:rsidRPr="00F55F96">
        <w:rPr>
          <w:rFonts w:asciiTheme="minorHAnsi" w:hAnsiTheme="minorHAnsi" w:cstheme="minorHAnsi"/>
        </w:rPr>
        <w:t>The reintroduction of term premium reshapes sovereign funding strategies and adds constraints for issuers, while prompting investors to reassess portfolio construction — including the potential reappraisal of forward carry and structured yield strategies</w:t>
      </w:r>
    </w:p>
    <w:p w14:paraId="4029AB16" w14:textId="77777777" w:rsidR="008C2762" w:rsidRPr="00F55F96" w:rsidRDefault="008C2762" w:rsidP="008C2762">
      <w:pPr>
        <w:rPr>
          <w:rFonts w:asciiTheme="minorHAnsi" w:hAnsiTheme="minorHAnsi" w:cstheme="minorHAnsi"/>
        </w:rPr>
      </w:pPr>
    </w:p>
    <w:p w14:paraId="199537B9" w14:textId="77777777" w:rsidR="008C2762" w:rsidRPr="00F55F96" w:rsidRDefault="008C2762" w:rsidP="008C2762">
      <w:pPr>
        <w:rPr>
          <w:rFonts w:asciiTheme="minorHAnsi" w:hAnsiTheme="minorHAnsi" w:cstheme="minorHAnsi"/>
        </w:rPr>
      </w:pPr>
      <w:r w:rsidRPr="00F55F96">
        <w:rPr>
          <w:rFonts w:asciiTheme="minorHAnsi" w:hAnsiTheme="minorHAnsi" w:cstheme="minorHAnsi"/>
        </w:rPr>
        <w:t>At its core, selling term premium — assuming exposure to low-probability adverse rate scenarios — has historically been rewarded with a steady, positive carry. With forward curves steepening relative to repo funding, this balance between risk and reward is again at the forefront of fixed income markets.</w:t>
      </w:r>
    </w:p>
    <w:p w14:paraId="0C8767B0" w14:textId="77777777" w:rsidR="008C2762" w:rsidRPr="00F55F96" w:rsidRDefault="008C2762" w:rsidP="008C2762">
      <w:pPr>
        <w:rPr>
          <w:rFonts w:asciiTheme="minorHAnsi" w:hAnsiTheme="minorHAnsi" w:cstheme="minorHAnsi"/>
        </w:rPr>
      </w:pPr>
    </w:p>
    <w:p w14:paraId="717562D8" w14:textId="210306C9" w:rsidR="008C2762" w:rsidRPr="00F55F96" w:rsidRDefault="008C2762" w:rsidP="008C2762">
      <w:pPr>
        <w:rPr>
          <w:rFonts w:asciiTheme="minorHAnsi" w:hAnsiTheme="minorHAnsi" w:cstheme="minorHAnsi"/>
        </w:rPr>
      </w:pPr>
      <w:r w:rsidRPr="00F55F96">
        <w:rPr>
          <w:rFonts w:asciiTheme="minorHAnsi" w:hAnsiTheme="minorHAnsi" w:cstheme="minorHAnsi"/>
        </w:rPr>
        <w:t>In what follows, we will:</w:t>
      </w:r>
    </w:p>
    <w:p w14:paraId="6A422846" w14:textId="0D10D2B8" w:rsidR="008C2762" w:rsidRPr="00F55F96" w:rsidRDefault="008C2762" w:rsidP="008C2762">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r>
      <w:r w:rsidRPr="00F55F96">
        <w:rPr>
          <w:rFonts w:asciiTheme="minorHAnsi" w:hAnsiTheme="minorHAnsi" w:cstheme="minorHAnsi"/>
        </w:rPr>
        <w:t>Analyze</w:t>
      </w:r>
      <w:r w:rsidRPr="00F55F96">
        <w:rPr>
          <w:rFonts w:asciiTheme="minorHAnsi" w:hAnsiTheme="minorHAnsi" w:cstheme="minorHAnsi"/>
        </w:rPr>
        <w:t xml:space="preserve"> how forward yields in government bonds are constructed and </w:t>
      </w:r>
      <w:r w:rsidRPr="00F55F96">
        <w:rPr>
          <w:rFonts w:asciiTheme="minorHAnsi" w:hAnsiTheme="minorHAnsi" w:cstheme="minorHAnsi"/>
        </w:rPr>
        <w:t>financed.</w:t>
      </w:r>
    </w:p>
    <w:p w14:paraId="4E774A4C" w14:textId="77777777" w:rsidR="008C2762" w:rsidRPr="00F55F96" w:rsidRDefault="008C2762" w:rsidP="008C2762">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t xml:space="preserve">Examine the shape of the forward yield curve and the carry embedded within </w:t>
      </w:r>
      <w:r w:rsidRPr="00F55F96">
        <w:rPr>
          <w:rFonts w:asciiTheme="minorHAnsi" w:hAnsiTheme="minorHAnsi" w:cstheme="minorHAnsi"/>
        </w:rPr>
        <w:t>it.</w:t>
      </w:r>
    </w:p>
    <w:p w14:paraId="0AF75D93" w14:textId="79A30DFA" w:rsidR="008C2762" w:rsidRPr="00F55F96" w:rsidRDefault="008C2762" w:rsidP="008C2762">
      <w:pPr>
        <w:ind w:firstLine="720"/>
        <w:rPr>
          <w:rFonts w:asciiTheme="minorHAnsi" w:hAnsiTheme="minorHAnsi" w:cstheme="minorHAnsi"/>
        </w:rPr>
      </w:pPr>
      <w:r w:rsidRPr="00F55F96">
        <w:rPr>
          <w:rFonts w:asciiTheme="minorHAnsi" w:hAnsiTheme="minorHAnsi" w:cstheme="minorHAnsi"/>
        </w:rPr>
        <w:t>•</w:t>
      </w:r>
      <w:r w:rsidRPr="00F55F96">
        <w:rPr>
          <w:rFonts w:asciiTheme="minorHAnsi" w:hAnsiTheme="minorHAnsi" w:cstheme="minorHAnsi"/>
        </w:rPr>
        <w:tab/>
        <w:t xml:space="preserve">Explore the rise of CMT-linked </w:t>
      </w:r>
      <w:proofErr w:type="spellStart"/>
      <w:r w:rsidRPr="00F55F96">
        <w:rPr>
          <w:rFonts w:asciiTheme="minorHAnsi" w:hAnsiTheme="minorHAnsi" w:cstheme="minorHAnsi"/>
        </w:rPr>
        <w:t>A</w:t>
      </w:r>
      <w:r w:rsidRPr="00F55F96">
        <w:rPr>
          <w:rFonts w:asciiTheme="minorHAnsi" w:hAnsiTheme="minorHAnsi" w:cstheme="minorHAnsi"/>
        </w:rPr>
        <w:t>utocall</w:t>
      </w:r>
      <w:proofErr w:type="spellEnd"/>
      <w:r w:rsidRPr="00F55F96">
        <w:rPr>
          <w:rFonts w:asciiTheme="minorHAnsi" w:hAnsiTheme="minorHAnsi" w:cstheme="minorHAnsi"/>
        </w:rPr>
        <w:t xml:space="preserve"> structures and other yield-driven </w:t>
      </w:r>
      <w:r w:rsidRPr="00F55F96">
        <w:rPr>
          <w:rFonts w:asciiTheme="minorHAnsi" w:hAnsiTheme="minorHAnsi" w:cstheme="minorHAnsi"/>
        </w:rPr>
        <w:t>innovations.</w:t>
      </w:r>
    </w:p>
    <w:p w14:paraId="4ECD7604" w14:textId="548F0C0E" w:rsidR="008C2762" w:rsidRPr="00F55F96" w:rsidRDefault="008C2762" w:rsidP="008C2762">
      <w:pPr>
        <w:ind w:left="1440" w:hanging="720"/>
        <w:rPr>
          <w:rFonts w:asciiTheme="minorHAnsi" w:hAnsiTheme="minorHAnsi" w:cstheme="minorHAnsi"/>
        </w:rPr>
      </w:pPr>
      <w:r w:rsidRPr="00F55F96">
        <w:rPr>
          <w:rFonts w:asciiTheme="minorHAnsi" w:hAnsiTheme="minorHAnsi" w:cstheme="minorHAnsi"/>
        </w:rPr>
        <w:t>•</w:t>
      </w:r>
      <w:r w:rsidRPr="00F55F96">
        <w:rPr>
          <w:rFonts w:asciiTheme="minorHAnsi" w:hAnsiTheme="minorHAnsi" w:cstheme="minorHAnsi"/>
        </w:rPr>
        <w:tab/>
        <w:t xml:space="preserve">Introduce the emerging set of tools — from repo-OIS basis swaps to CMT volatility — that enable hedging, risk transfer, and balance-sheet </w:t>
      </w:r>
      <w:r w:rsidR="006D7102" w:rsidRPr="00F55F96">
        <w:rPr>
          <w:rFonts w:asciiTheme="minorHAnsi" w:hAnsiTheme="minorHAnsi" w:cstheme="minorHAnsi"/>
        </w:rPr>
        <w:t>optimization</w:t>
      </w:r>
      <w:r w:rsidRPr="00F55F96">
        <w:rPr>
          <w:rFonts w:asciiTheme="minorHAnsi" w:hAnsiTheme="minorHAnsi" w:cstheme="minorHAnsi"/>
        </w:rPr>
        <w:t xml:space="preserve"> in this new environment.</w:t>
      </w:r>
    </w:p>
    <w:p w14:paraId="57BB7EC3" w14:textId="619E6076" w:rsidR="008C2762" w:rsidRPr="00F55F96" w:rsidRDefault="008C2762" w:rsidP="008C2762">
      <w:pPr>
        <w:rPr>
          <w:rFonts w:asciiTheme="minorHAnsi" w:hAnsiTheme="minorHAnsi" w:cstheme="minorHAnsi"/>
        </w:rPr>
      </w:pPr>
    </w:p>
    <w:p w14:paraId="3F2F2C10" w14:textId="77777777" w:rsidR="0086542B" w:rsidRPr="00F55F96" w:rsidRDefault="0086542B" w:rsidP="0086542B">
      <w:pPr>
        <w:pStyle w:val="Heading2"/>
        <w:spacing w:before="200" w:after="120"/>
        <w:rPr>
          <w:rFonts w:asciiTheme="minorHAnsi" w:hAnsiTheme="minorHAnsi" w:cstheme="minorHAnsi"/>
          <w:b/>
          <w:bCs/>
          <w:color w:val="4472C4" w:themeColor="accent1"/>
          <w:sz w:val="26"/>
          <w:szCs w:val="26"/>
        </w:rPr>
      </w:pPr>
      <w:r w:rsidRPr="00F55F96">
        <w:rPr>
          <w:rFonts w:asciiTheme="minorHAnsi" w:hAnsiTheme="minorHAnsi" w:cstheme="minorHAnsi"/>
          <w:b/>
          <w:bCs/>
          <w:color w:val="4472C4" w:themeColor="accent1"/>
          <w:sz w:val="26"/>
          <w:szCs w:val="26"/>
        </w:rPr>
        <w:t>How forward yields are built</w:t>
      </w:r>
    </w:p>
    <w:p w14:paraId="5834D815"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At its core, a yield — or par yield — is the rate that equates the discounted cash flows of a bond to its market price. This fundamental identity defines the link between yields and prices: when yields rise, prices fall; when yields fall, prices rise. Yields thus measure the return on capital invested in a bond, reflecting both time value of money and compensation for risk. In stable environments, safe and liquid assets typically carry lower yields, while bonds with higher inflation risk, credit risk, or thinner liquidity command higher yields.</w:t>
      </w:r>
    </w:p>
    <w:p w14:paraId="7E52949D" w14:textId="77777777" w:rsidR="0086542B" w:rsidRPr="00F55F96" w:rsidRDefault="0086542B" w:rsidP="0086542B">
      <w:pPr>
        <w:rPr>
          <w:rFonts w:asciiTheme="minorHAnsi" w:hAnsiTheme="minorHAnsi" w:cstheme="minorHAnsi"/>
        </w:rPr>
      </w:pPr>
    </w:p>
    <w:p w14:paraId="724ED9A2" w14:textId="707E8D76" w:rsidR="0086542B" w:rsidRPr="00F55F96" w:rsidRDefault="0086542B" w:rsidP="0086542B">
      <w:pPr>
        <w:rPr>
          <w:rFonts w:asciiTheme="minorHAnsi" w:hAnsiTheme="minorHAnsi" w:cstheme="minorHAnsi"/>
        </w:rPr>
      </w:pPr>
      <w:r w:rsidRPr="00F55F96">
        <w:rPr>
          <w:rFonts w:asciiTheme="minorHAnsi" w:hAnsiTheme="minorHAnsi" w:cstheme="minorHAnsi"/>
        </w:rPr>
        <w:lastRenderedPageBreak/>
        <w:t>A forward yield extends this concept into the future. While a spot yield reflects the return implied by today’s bond price, a forward yield is derived from an agreed price for delivery at a future date. A bond is a cash instrument; a bond forward is a derivative — an agreement today to exchange that bond at a specified price and date in the future.</w:t>
      </w:r>
    </w:p>
    <w:p w14:paraId="56000FB1"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Like all forwards, pricing follows the principle of no-arbitrage. Replicating the sale of a bond at a future date T involves:</w:t>
      </w:r>
    </w:p>
    <w:p w14:paraId="5B66CC18" w14:textId="3A88B9B2" w:rsidR="0086542B" w:rsidRPr="00F55F96" w:rsidRDefault="0086542B" w:rsidP="0086542B">
      <w:pPr>
        <w:rPr>
          <w:rFonts w:asciiTheme="minorHAnsi" w:hAnsiTheme="minorHAnsi" w:cstheme="minorHAnsi"/>
        </w:rPr>
      </w:pPr>
      <w:r w:rsidRPr="00F55F96">
        <w:rPr>
          <w:rFonts w:asciiTheme="minorHAnsi" w:hAnsiTheme="minorHAnsi" w:cstheme="minorHAnsi"/>
        </w:rPr>
        <w:tab/>
        <w:t>1.</w:t>
      </w:r>
      <w:r w:rsidRPr="00F55F96">
        <w:rPr>
          <w:rFonts w:asciiTheme="minorHAnsi" w:hAnsiTheme="minorHAnsi" w:cstheme="minorHAnsi"/>
        </w:rPr>
        <w:tab/>
        <w:t>Buying the bond in the spot market</w:t>
      </w:r>
    </w:p>
    <w:p w14:paraId="11B0A9E9" w14:textId="2A48B07E" w:rsidR="0086542B" w:rsidRPr="00F55F96" w:rsidRDefault="0086542B" w:rsidP="0086542B">
      <w:pPr>
        <w:rPr>
          <w:rFonts w:asciiTheme="minorHAnsi" w:hAnsiTheme="minorHAnsi" w:cstheme="minorHAnsi"/>
        </w:rPr>
      </w:pPr>
      <w:r w:rsidRPr="00F55F96">
        <w:rPr>
          <w:rFonts w:asciiTheme="minorHAnsi" w:hAnsiTheme="minorHAnsi" w:cstheme="minorHAnsi"/>
        </w:rPr>
        <w:tab/>
        <w:t>2.</w:t>
      </w:r>
      <w:r w:rsidRPr="00F55F96">
        <w:rPr>
          <w:rFonts w:asciiTheme="minorHAnsi" w:hAnsiTheme="minorHAnsi" w:cstheme="minorHAnsi"/>
        </w:rPr>
        <w:tab/>
        <w:t>Financing the purchase through secured borrowing until T (term repo)</w:t>
      </w:r>
    </w:p>
    <w:p w14:paraId="4173066B" w14:textId="4A9C0A9D" w:rsidR="0086542B" w:rsidRPr="00F55F96" w:rsidRDefault="0086542B" w:rsidP="0086542B">
      <w:pPr>
        <w:ind w:left="720" w:hanging="720"/>
        <w:rPr>
          <w:rFonts w:asciiTheme="minorHAnsi" w:hAnsiTheme="minorHAnsi" w:cstheme="minorHAnsi"/>
        </w:rPr>
      </w:pPr>
      <w:r w:rsidRPr="00F55F96">
        <w:rPr>
          <w:rFonts w:asciiTheme="minorHAnsi" w:hAnsiTheme="minorHAnsi" w:cstheme="minorHAnsi"/>
        </w:rPr>
        <w:tab/>
        <w:t>3.</w:t>
      </w:r>
      <w:r w:rsidRPr="00F55F96">
        <w:rPr>
          <w:rFonts w:asciiTheme="minorHAnsi" w:hAnsiTheme="minorHAnsi" w:cstheme="minorHAnsi"/>
        </w:rPr>
        <w:tab/>
        <w:t>Collecting coupons over the life of the bond and reinvesting them via secured lending</w:t>
      </w:r>
      <w:r w:rsidRPr="00F55F96">
        <w:rPr>
          <w:rFonts w:asciiTheme="minorHAnsi" w:hAnsiTheme="minorHAnsi" w:cstheme="minorHAnsi"/>
        </w:rPr>
        <w:t xml:space="preserve"> </w:t>
      </w:r>
      <w:r w:rsidRPr="00F55F96">
        <w:rPr>
          <w:rFonts w:asciiTheme="minorHAnsi" w:hAnsiTheme="minorHAnsi" w:cstheme="minorHAnsi"/>
        </w:rPr>
        <w:t>until T (term reverse repo)</w:t>
      </w:r>
    </w:p>
    <w:p w14:paraId="74CA083E"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ab/>
        <w:t>4.</w:t>
      </w:r>
      <w:r w:rsidRPr="00F55F96">
        <w:rPr>
          <w:rFonts w:asciiTheme="minorHAnsi" w:hAnsiTheme="minorHAnsi" w:cstheme="minorHAnsi"/>
        </w:rPr>
        <w:tab/>
        <w:t>Delivering the bond at maturity in exchange for the agreed forward price.</w:t>
      </w:r>
    </w:p>
    <w:p w14:paraId="05AB1668" w14:textId="77777777" w:rsidR="0086542B" w:rsidRPr="00F55F96" w:rsidRDefault="0086542B" w:rsidP="0086542B">
      <w:pPr>
        <w:rPr>
          <w:rFonts w:asciiTheme="minorHAnsi" w:hAnsiTheme="minorHAnsi" w:cstheme="minorHAnsi"/>
        </w:rPr>
      </w:pPr>
    </w:p>
    <w:p w14:paraId="0F874C35"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From this replication, two main drivers of forward yields emerge:</w:t>
      </w:r>
    </w:p>
    <w:p w14:paraId="5483381D" w14:textId="19F5CF49" w:rsidR="0086542B" w:rsidRPr="00F55F96" w:rsidRDefault="0086542B" w:rsidP="0086542B">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t xml:space="preserve">The spot yield of the underlying </w:t>
      </w:r>
      <w:r w:rsidRPr="00F55F96">
        <w:rPr>
          <w:rFonts w:asciiTheme="minorHAnsi" w:hAnsiTheme="minorHAnsi" w:cstheme="minorHAnsi"/>
        </w:rPr>
        <w:t>bond.</w:t>
      </w:r>
    </w:p>
    <w:p w14:paraId="490C867A"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t>The cost of financing until maturity — primarily determined by term repo and reverse repo rates.</w:t>
      </w:r>
    </w:p>
    <w:p w14:paraId="008FDD47" w14:textId="77777777" w:rsidR="0086542B" w:rsidRPr="00F55F96" w:rsidRDefault="0086542B" w:rsidP="0086542B">
      <w:pPr>
        <w:rPr>
          <w:rFonts w:asciiTheme="minorHAnsi" w:hAnsiTheme="minorHAnsi" w:cstheme="minorHAnsi"/>
        </w:rPr>
      </w:pPr>
    </w:p>
    <w:p w14:paraId="2A288FF0"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In simplified terms, the forward value of a bond at date T equals its spot value, plus the cost of secured borrowing to maturity, minus the reinvestment value of coupons over the same horizon.</w:t>
      </w:r>
    </w:p>
    <w:p w14:paraId="7126A4EE" w14:textId="77777777" w:rsidR="0086542B" w:rsidRPr="00F55F96" w:rsidRDefault="0086542B" w:rsidP="0086542B">
      <w:pPr>
        <w:rPr>
          <w:rFonts w:asciiTheme="minorHAnsi" w:hAnsiTheme="minorHAnsi" w:cstheme="minorHAnsi"/>
        </w:rPr>
      </w:pPr>
    </w:p>
    <w:p w14:paraId="72923362" w14:textId="77777777" w:rsidR="0086542B" w:rsidRPr="00F55F96" w:rsidRDefault="0086542B" w:rsidP="0086542B">
      <w:pPr>
        <w:rPr>
          <w:rFonts w:asciiTheme="minorHAnsi" w:hAnsiTheme="minorHAnsi" w:cstheme="minorHAnsi"/>
        </w:rPr>
      </w:pPr>
      <w:r w:rsidRPr="00F55F96">
        <w:rPr>
          <w:rFonts w:asciiTheme="minorHAnsi" w:hAnsiTheme="minorHAnsi" w:cstheme="minorHAnsi"/>
        </w:rPr>
        <w:t>This financing channel explains the inverse relationship between forward yields and repo rates:</w:t>
      </w:r>
    </w:p>
    <w:p w14:paraId="327CF0AB" w14:textId="2866648B" w:rsidR="0086542B" w:rsidRPr="00F55F96" w:rsidRDefault="0086542B" w:rsidP="0086542B">
      <w:pPr>
        <w:ind w:left="1440" w:hanging="720"/>
        <w:rPr>
          <w:rFonts w:asciiTheme="minorHAnsi" w:hAnsiTheme="minorHAnsi" w:cstheme="minorHAnsi"/>
        </w:rPr>
      </w:pPr>
      <w:r w:rsidRPr="00F55F96">
        <w:rPr>
          <w:rFonts w:asciiTheme="minorHAnsi" w:hAnsiTheme="minorHAnsi" w:cstheme="minorHAnsi"/>
        </w:rPr>
        <w:t>•</w:t>
      </w:r>
      <w:r w:rsidRPr="00F55F96">
        <w:rPr>
          <w:rFonts w:asciiTheme="minorHAnsi" w:hAnsiTheme="minorHAnsi" w:cstheme="minorHAnsi"/>
        </w:rPr>
        <w:tab/>
        <w:t>Higher term repo raises the cost of borrowing, increasing the forward bond’s implied value and lowering forward yields.</w:t>
      </w:r>
    </w:p>
    <w:p w14:paraId="41824A58" w14:textId="77777777" w:rsidR="0086542B" w:rsidRPr="00F55F96" w:rsidRDefault="0086542B" w:rsidP="0086542B">
      <w:pPr>
        <w:ind w:left="1440" w:hanging="720"/>
        <w:rPr>
          <w:rFonts w:asciiTheme="minorHAnsi" w:hAnsiTheme="minorHAnsi" w:cstheme="minorHAnsi"/>
        </w:rPr>
      </w:pPr>
      <w:r w:rsidRPr="00F55F96">
        <w:rPr>
          <w:rFonts w:asciiTheme="minorHAnsi" w:hAnsiTheme="minorHAnsi" w:cstheme="minorHAnsi"/>
        </w:rPr>
        <w:t>•</w:t>
      </w:r>
      <w:r w:rsidRPr="00F55F96">
        <w:rPr>
          <w:rFonts w:asciiTheme="minorHAnsi" w:hAnsiTheme="minorHAnsi" w:cstheme="minorHAnsi"/>
        </w:rPr>
        <w:tab/>
        <w:t>Lower term repo reduces financing costs, reducing the forward bond’s implied value and pushing forward yields higher.</w:t>
      </w:r>
    </w:p>
    <w:p w14:paraId="015A91F3" w14:textId="3E6AF5D9" w:rsidR="0086542B" w:rsidRPr="00F55F96" w:rsidRDefault="0086542B" w:rsidP="0086542B">
      <w:pPr>
        <w:ind w:left="1440" w:hanging="720"/>
        <w:rPr>
          <w:rFonts w:asciiTheme="minorHAnsi" w:hAnsiTheme="minorHAnsi" w:cstheme="minorHAnsi"/>
        </w:rPr>
      </w:pPr>
    </w:p>
    <w:p w14:paraId="6869DB30" w14:textId="77777777" w:rsidR="002E32D6" w:rsidRPr="00F55F96" w:rsidRDefault="002E32D6" w:rsidP="002E32D6">
      <w:pPr>
        <w:spacing w:after="120"/>
        <w:rPr>
          <w:rFonts w:asciiTheme="minorHAnsi" w:hAnsiTheme="minorHAnsi" w:cstheme="minorHAnsi"/>
        </w:rPr>
      </w:pPr>
      <w:r w:rsidRPr="00F55F96">
        <w:rPr>
          <w:rFonts w:asciiTheme="minorHAnsi" w:hAnsiTheme="minorHAnsi" w:cstheme="minorHAnsi"/>
        </w:rPr>
        <w:t>The forward yield can be approximated by the following formula:</w:t>
      </w:r>
    </w:p>
    <w:p w14:paraId="400AB7B9" w14:textId="77777777" w:rsidR="002E32D6" w:rsidRPr="00F55F96" w:rsidRDefault="002E32D6" w:rsidP="002E32D6">
      <w:pPr>
        <w:spacing w:after="120"/>
        <w:rPr>
          <w:rFonts w:asciiTheme="minorHAnsi" w:hAnsiTheme="minorHAnsi" w:cstheme="minorHAnsi"/>
        </w:rPr>
      </w:pPr>
    </w:p>
    <w:p w14:paraId="763714A3" w14:textId="77777777" w:rsidR="002E32D6" w:rsidRPr="00F55F96" w:rsidRDefault="002E32D6" w:rsidP="002E32D6">
      <w:pPr>
        <w:spacing w:after="120"/>
        <w:rPr>
          <w:rFonts w:asciiTheme="minorHAnsi" w:eastAsiaTheme="minorEastAsia" w:hAnsiTheme="minorHAnsi" w:cstheme="minorHAnsi"/>
        </w:rPr>
      </w:pPr>
    </w:p>
    <w:p w14:paraId="3A1FA8A7" w14:textId="77777777" w:rsidR="002E32D6" w:rsidRPr="00F55F96" w:rsidRDefault="002E32D6" w:rsidP="002E32D6">
      <w:pPr>
        <w:spacing w:after="120"/>
        <w:rPr>
          <w:rFonts w:asciiTheme="minorHAnsi" w:hAnsiTheme="minorHAnsi" w:cstheme="minorHAnsi"/>
        </w:rPr>
      </w:pPr>
      <m:oMathPara>
        <m:oMath>
          <m:r>
            <w:rPr>
              <w:rFonts w:ascii="Cambria Math" w:hAnsi="Cambria Math" w:cstheme="minorHAnsi"/>
            </w:rPr>
            <m:t>fwdYiel</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p+n</m:t>
                  </m:r>
                </m:sub>
              </m:sSub>
            </m:e>
          </m:d>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num>
            <m:den>
              <m:sSub>
                <m:sSubPr>
                  <m:ctrlPr>
                    <w:rPr>
                      <w:rFonts w:ascii="Cambria Math" w:hAnsi="Cambria Math" w:cstheme="minorHAnsi"/>
                      <w:i/>
                    </w:rPr>
                  </m:ctrlPr>
                </m:sSubPr>
                <m:e>
                  <m:r>
                    <w:rPr>
                      <w:rFonts w:ascii="Cambria Math" w:hAnsi="Cambria Math" w:cstheme="minorHAnsi"/>
                    </w:rPr>
                    <m:t>DV01</m:t>
                  </m:r>
                </m:e>
                <m:sub>
                  <m:r>
                    <w:rPr>
                      <w:rFonts w:ascii="Cambria Math" w:hAnsi="Cambria Math" w:cstheme="minorHAnsi"/>
                    </w:rPr>
                    <m:t>n-p</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e>
              </m:d>
            </m:den>
          </m:f>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p+n</m:t>
                      </m:r>
                    </m:sub>
                  </m:sSub>
                </m:e>
              </m:d>
              <m:r>
                <w:rPr>
                  <w:rFonts w:ascii="Cambria Math" w:hAnsi="Cambria Math" w:cstheme="minorHAnsi"/>
                </w:rPr>
                <m:t>-fin.cost(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e>
          </m:d>
          <m:r>
            <w:rPr>
              <w:rFonts w:ascii="Cambria Math" w:hAnsi="Cambria Math" w:cstheme="minorHAnsi"/>
            </w:rPr>
            <m:t>+cx.adj</m:t>
          </m:r>
        </m:oMath>
      </m:oMathPara>
    </w:p>
    <w:p w14:paraId="6B95D6AC" w14:textId="77777777" w:rsidR="002E32D6" w:rsidRPr="00F55F96" w:rsidRDefault="002E32D6" w:rsidP="002E32D6">
      <w:pPr>
        <w:spacing w:after="120"/>
        <w:rPr>
          <w:rFonts w:asciiTheme="minorHAnsi" w:hAnsiTheme="minorHAnsi" w:cstheme="minorHAnsi"/>
        </w:rPr>
      </w:pPr>
    </w:p>
    <w:p w14:paraId="6E5973AD" w14:textId="77777777" w:rsidR="002E32D6" w:rsidRPr="00F55F96" w:rsidRDefault="002E32D6" w:rsidP="002E32D6">
      <w:pPr>
        <w:spacing w:after="120"/>
        <w:rPr>
          <w:rFonts w:asciiTheme="minorHAnsi" w:hAnsiTheme="minorHAnsi" w:cstheme="minorHAnsi"/>
        </w:rPr>
      </w:pPr>
      <w:r w:rsidRPr="00F55F96">
        <w:rPr>
          <w:rFonts w:asciiTheme="minorHAnsi" w:hAnsiTheme="minorHAnsi" w:cstheme="minorHAnsi"/>
        </w:rPr>
        <w:t>With:</w:t>
      </w:r>
    </w:p>
    <w:p w14:paraId="78B7A2F7" w14:textId="77777777" w:rsidR="002E32D6" w:rsidRPr="00F55F96" w:rsidRDefault="002E32D6" w:rsidP="002E32D6">
      <w:pPr>
        <w:spacing w:after="120"/>
        <w:rPr>
          <w:rFonts w:asciiTheme="minorHAnsi" w:eastAsiaTheme="minorEastAsia" w:hAnsiTheme="minorHAnsi"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 xml:space="preserve"> :forward date</m:t>
          </m:r>
        </m:oMath>
      </m:oMathPara>
    </w:p>
    <w:p w14:paraId="37F3C5F5" w14:textId="77777777" w:rsidR="002E32D6" w:rsidRPr="00F55F96" w:rsidRDefault="002E32D6" w:rsidP="002E32D6">
      <w:pPr>
        <w:spacing w:after="120"/>
        <w:rPr>
          <w:rFonts w:asciiTheme="minorHAnsi" w:hAnsiTheme="minorHAnsi"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r>
            <w:rPr>
              <w:rFonts w:ascii="Cambria Math" w:hAnsi="Cambria Math" w:cstheme="minorHAnsi"/>
            </w:rPr>
            <m:t xml:space="preserve"> :tenor</m:t>
          </m:r>
        </m:oMath>
      </m:oMathPara>
    </w:p>
    <w:p w14:paraId="1DFE14F5" w14:textId="77777777" w:rsidR="002E32D6" w:rsidRPr="00F55F96" w:rsidRDefault="002E32D6" w:rsidP="002E32D6">
      <w:pPr>
        <w:spacing w:after="120"/>
        <w:rPr>
          <w:rFonts w:asciiTheme="minorHAnsi" w:hAnsiTheme="minorHAnsi" w:cstheme="minorHAnsi"/>
        </w:rPr>
      </w:pPr>
      <m:oMathPara>
        <m:oMathParaPr>
          <m:jc m:val="left"/>
        </m:oMathParaPr>
        <m:oMath>
          <m:r>
            <w:rPr>
              <w:rFonts w:ascii="Cambria Math" w:hAnsi="Cambria Math" w:cstheme="minorHAnsi"/>
            </w:rPr>
            <m:t>fwdYiel</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r>
            <w:rPr>
              <w:rFonts w:ascii="Cambria Math" w:hAnsi="Cambria Math" w:cstheme="minorHAnsi"/>
            </w:rPr>
            <m:t xml:space="preserve">:forward yield starting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 xml:space="preserve"> with maturity </m:t>
          </m:r>
          <m:d>
            <m:dPr>
              <m:ctrlPr>
                <w:rPr>
                  <w:rFonts w:ascii="Cambria Math" w:hAnsi="Cambria Math" w:cstheme="minorHAnsi"/>
                  <w:i/>
                </w:rPr>
              </m:ctrlPr>
            </m:dPr>
            <m:e>
              <m:r>
                <w:rPr>
                  <w:rFonts w:ascii="Cambria Math" w:hAnsi="Cambria Math" w:cstheme="minorHAnsi"/>
                </w:rPr>
                <m:t>tenor</m:t>
              </m:r>
            </m:e>
          </m:d>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r>
            <w:rPr>
              <w:rFonts w:ascii="Cambria Math" w:hAnsi="Cambria Math" w:cstheme="minorHAnsi"/>
            </w:rPr>
            <m:t xml:space="preserve"> </m:t>
          </m:r>
        </m:oMath>
      </m:oMathPara>
    </w:p>
    <w:p w14:paraId="3776C363" w14:textId="77777777" w:rsidR="002E32D6" w:rsidRPr="00F55F96" w:rsidRDefault="002E32D6" w:rsidP="002E32D6">
      <w:pPr>
        <w:spacing w:after="120"/>
        <w:rPr>
          <w:rFonts w:asciiTheme="minorHAnsi" w:hAnsiTheme="minorHAnsi"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r>
            <w:rPr>
              <w:rFonts w:ascii="Cambria Math" w:hAnsi="Cambria Math" w:cstheme="minorHAnsi"/>
            </w:rPr>
            <m:t xml:space="preserve">: yield  spot with maturity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oMath>
      </m:oMathPara>
    </w:p>
    <w:p w14:paraId="62327246" w14:textId="77777777" w:rsidR="002E32D6" w:rsidRPr="00F55F96" w:rsidRDefault="002E32D6" w:rsidP="002E32D6">
      <w:pPr>
        <w:spacing w:after="120"/>
        <w:rPr>
          <w:rFonts w:asciiTheme="minorHAnsi" w:hAnsiTheme="minorHAnsi" w:cstheme="minorHAnsi"/>
        </w:rPr>
      </w:pPr>
      <m:oMath>
        <m:r>
          <w:rPr>
            <w:rFonts w:ascii="Cambria Math" w:hAnsi="Cambria Math" w:cstheme="minorHAnsi"/>
          </w:rPr>
          <m:t>fin.cost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r>
          <w:rPr>
            <w:rFonts w:ascii="Cambria Math" w:hAnsi="Cambria Math" w:cstheme="minorHAnsi"/>
          </w:rPr>
          <m:t xml:space="preserve">: effective financing cost </m:t>
        </m:r>
        <m:d>
          <m:dPr>
            <m:ctrlPr>
              <w:rPr>
                <w:rFonts w:ascii="Cambria Math" w:hAnsi="Cambria Math" w:cstheme="minorHAnsi"/>
                <w:i/>
              </w:rPr>
            </m:ctrlPr>
          </m:dPr>
          <m:e>
            <m:r>
              <w:rPr>
                <w:rFonts w:ascii="Cambria Math" w:hAnsi="Cambria Math" w:cstheme="minorHAnsi"/>
              </w:rPr>
              <m:t>term repo</m:t>
            </m:r>
          </m:e>
        </m:d>
        <m:r>
          <w:rPr>
            <w:rFonts w:ascii="Cambria Math" w:hAnsi="Cambria Math" w:cstheme="minorHAnsi"/>
          </w:rPr>
          <m:t xml:space="preserve"> at forward date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 It can be express as a sum of:</m:t>
        </m:r>
      </m:oMath>
      <w:r w:rsidRPr="00F55F96">
        <w:rPr>
          <w:rFonts w:asciiTheme="minorHAnsi" w:hAnsiTheme="minorHAnsi" w:cstheme="minorHAnsi"/>
        </w:rPr>
        <w:t xml:space="preserve"> </w:t>
      </w:r>
    </w:p>
    <w:p w14:paraId="4456C1F1" w14:textId="77777777" w:rsidR="002E32D6" w:rsidRPr="00F55F96" w:rsidRDefault="002E32D6" w:rsidP="002E32D6">
      <w:pPr>
        <w:spacing w:after="12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fin.cost</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r>
                <w:rPr>
                  <w:rFonts w:ascii="Cambria Math" w:hAnsi="Cambria Math" w:cstheme="minorHAnsi"/>
                </w:rPr>
                <m:t xml:space="preserve"> =reposSpread</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OIS</m:t>
              </m:r>
            </m:e>
            <m:sub>
              <m:r>
                <w:rPr>
                  <w:rFonts w:ascii="Cambria Math" w:hAnsi="Cambria Math" w:cstheme="minorHAnsi"/>
                </w:rPr>
                <m:t>0</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oMath>
      </m:oMathPara>
    </w:p>
    <w:p w14:paraId="4F5B2493" w14:textId="77777777" w:rsidR="002E32D6" w:rsidRPr="00F55F96" w:rsidRDefault="002E32D6" w:rsidP="002E32D6">
      <w:pPr>
        <w:spacing w:after="120"/>
        <w:rPr>
          <w:rFonts w:asciiTheme="minorHAnsi" w:hAnsiTheme="minorHAnsi" w:cstheme="minorHAnsi"/>
        </w:rPr>
      </w:pPr>
      <m:oMathPara>
        <m:oMath>
          <m:sSub>
            <m:sSubPr>
              <m:ctrlPr>
                <w:rPr>
                  <w:rFonts w:ascii="Cambria Math" w:hAnsi="Cambria Math" w:cstheme="minorHAnsi"/>
                  <w:i/>
                </w:rPr>
              </m:ctrlPr>
            </m:sSubPr>
            <m:e>
              <m:r>
                <w:rPr>
                  <w:rFonts w:ascii="Cambria Math" w:hAnsi="Cambria Math" w:cstheme="minorHAnsi"/>
                </w:rPr>
                <m:t>OIS</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r>
            <w:rPr>
              <w:rFonts w:ascii="Cambria Math" w:hAnsi="Cambria Math" w:cstheme="minorHAnsi"/>
            </w:rPr>
            <m:t xml:space="preserve">:interdealer market swap referencing OIS (Overnight Index Swap)  maturity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oMath>
      </m:oMathPara>
    </w:p>
    <w:p w14:paraId="186ABBC7" w14:textId="3401AC65" w:rsidR="002E32D6" w:rsidRPr="00F55F96" w:rsidRDefault="002E32D6" w:rsidP="00AA0120">
      <w:pPr>
        <w:pStyle w:val="p1"/>
        <w:rPr>
          <w:rFonts w:asciiTheme="minorHAnsi" w:hAnsiTheme="minorHAnsi" w:cstheme="minorHAnsi"/>
          <w:i/>
          <w:sz w:val="22"/>
          <w:szCs w:val="22"/>
          <w:lang w:val="en-US" w:eastAsia="en-US"/>
        </w:rPr>
      </w:pPr>
      <m:oMath>
        <m:sSub>
          <m:sSubPr>
            <m:ctrlPr>
              <w:rPr>
                <w:rFonts w:ascii="Cambria Math" w:hAnsi="Cambria Math" w:cstheme="minorHAnsi"/>
                <w:i/>
                <w:sz w:val="22"/>
                <w:szCs w:val="22"/>
                <w:lang w:val="en-US" w:eastAsia="en-US"/>
              </w:rPr>
            </m:ctrlPr>
          </m:sSubPr>
          <m:e>
            <m:r>
              <w:rPr>
                <w:rFonts w:ascii="Cambria Math" w:hAnsi="Cambria Math" w:cstheme="minorHAnsi"/>
                <w:sz w:val="22"/>
                <w:szCs w:val="22"/>
                <w:lang w:val="en-US" w:eastAsia="en-US"/>
              </w:rPr>
              <m:t>reposSpread</m:t>
            </m:r>
          </m:e>
          <m:sub>
            <m:r>
              <w:rPr>
                <w:rFonts w:ascii="Cambria Math" w:hAnsi="Cambria Math" w:cstheme="minorHAnsi"/>
                <w:sz w:val="22"/>
                <w:szCs w:val="22"/>
                <w:lang w:val="en-US" w:eastAsia="en-US"/>
              </w:rPr>
              <m:t>0</m:t>
            </m:r>
          </m:sub>
        </m:sSub>
        <m:d>
          <m:dPr>
            <m:ctrlPr>
              <w:rPr>
                <w:rFonts w:ascii="Cambria Math" w:hAnsi="Cambria Math" w:cstheme="minorHAnsi"/>
                <w:i/>
                <w:sz w:val="22"/>
                <w:szCs w:val="22"/>
                <w:lang w:val="en-US" w:eastAsia="en-US"/>
              </w:rPr>
            </m:ctrlPr>
          </m:dPr>
          <m:e>
            <m:sSub>
              <m:sSubPr>
                <m:ctrlPr>
                  <w:rPr>
                    <w:rFonts w:ascii="Cambria Math" w:hAnsi="Cambria Math" w:cstheme="minorHAnsi"/>
                    <w:i/>
                    <w:sz w:val="22"/>
                    <w:szCs w:val="22"/>
                    <w:lang w:val="en-US" w:eastAsia="en-US"/>
                  </w:rPr>
                </m:ctrlPr>
              </m:sSubPr>
              <m:e>
                <m:r>
                  <w:rPr>
                    <w:rFonts w:ascii="Cambria Math" w:hAnsi="Cambria Math" w:cstheme="minorHAnsi"/>
                    <w:sz w:val="22"/>
                    <w:szCs w:val="22"/>
                    <w:lang w:val="en-US" w:eastAsia="en-US"/>
                  </w:rPr>
                  <m:t>t</m:t>
                </m:r>
              </m:e>
              <m:sub>
                <m:r>
                  <w:rPr>
                    <w:rFonts w:ascii="Cambria Math" w:hAnsi="Cambria Math" w:cstheme="minorHAnsi"/>
                    <w:sz w:val="22"/>
                    <w:szCs w:val="22"/>
                    <w:lang w:val="en-US" w:eastAsia="en-US"/>
                  </w:rPr>
                  <m:t>p</m:t>
                </m:r>
              </m:sub>
            </m:sSub>
          </m:e>
        </m:d>
        <m:r>
          <w:rPr>
            <w:rFonts w:ascii="Cambria Math" w:hAnsi="Cambria Math" w:cstheme="minorHAnsi"/>
            <w:sz w:val="22"/>
            <w:szCs w:val="22"/>
            <w:lang w:val="en-US" w:eastAsia="en-US"/>
          </w:rPr>
          <m:t xml:space="preserve"> :</m:t>
        </m:r>
      </m:oMath>
      <w:r w:rsidRPr="00F55F96">
        <w:rPr>
          <w:rFonts w:asciiTheme="minorHAnsi" w:hAnsiTheme="minorHAnsi" w:cstheme="minorHAnsi"/>
          <w:i/>
          <w:sz w:val="22"/>
          <w:szCs w:val="22"/>
          <w:lang w:val="en-US" w:eastAsia="en-US"/>
        </w:rPr>
        <w:t>i.e. the excess cost of term secured borrowing relative to the risk-free overnight rate, reflecting market conditions for cash–collateral exchange</w:t>
      </w:r>
    </w:p>
    <w:p w14:paraId="51B26D6D" w14:textId="77777777" w:rsidR="002E32D6" w:rsidRPr="00F55F96" w:rsidRDefault="002E32D6" w:rsidP="002E32D6">
      <w:pPr>
        <w:spacing w:after="120"/>
        <w:rPr>
          <w:rFonts w:asciiTheme="minorHAnsi" w:hAnsiTheme="minorHAnsi" w:cstheme="minorHAnsi"/>
        </w:rPr>
      </w:pPr>
      <m:oMathPara>
        <m:oMathParaPr>
          <m:jc m:val="left"/>
        </m:oMathParaPr>
        <m:oMath>
          <m:sSub>
            <m:sSubPr>
              <m:ctrlPr>
                <w:rPr>
                  <w:rFonts w:ascii="Cambria Math" w:hAnsi="Cambria Math" w:cstheme="minorHAnsi"/>
                  <w:i/>
                </w:rPr>
              </m:ctrlPr>
            </m:sSubPr>
            <m:e>
              <m:r>
                <w:rPr>
                  <w:rFonts w:ascii="Cambria Math" w:hAnsi="Cambria Math" w:cstheme="minorHAnsi"/>
                </w:rPr>
                <m:t>DV01</m:t>
              </m:r>
            </m:e>
            <m:sub>
              <m:r>
                <w:rPr>
                  <w:rFonts w:ascii="Cambria Math" w:hAnsi="Cambria Math" w:cstheme="minorHAnsi"/>
                </w:rPr>
                <m:t>n-p</m:t>
              </m:r>
            </m:sub>
          </m:sSub>
          <m:d>
            <m:dPr>
              <m:ctrlPr>
                <w:rPr>
                  <w:rFonts w:ascii="Cambria Math" w:hAnsi="Cambria Math" w:cstheme="minorHAnsi"/>
                  <w:i/>
                </w:rPr>
              </m:ctrlPr>
            </m:dPr>
            <m:e>
              <m:r>
                <w:rPr>
                  <w:rFonts w:ascii="Cambria Math" w:hAnsi="Cambria Math" w:cstheme="minorHAnsi"/>
                </w:rPr>
                <m:t>x</m:t>
              </m:r>
            </m:e>
          </m:d>
          <m:r>
            <w:rPr>
              <w:rFonts w:ascii="Cambria Math" w:hAnsi="Cambria Math" w:cstheme="minorHAnsi"/>
            </w:rPr>
            <m:t>=</m:t>
          </m:r>
          <m:nary>
            <m:naryPr>
              <m:chr m:val="∑"/>
              <m:limLoc m:val="undOvr"/>
              <m:ctrlPr>
                <w:rPr>
                  <w:rFonts w:ascii="Cambria Math" w:eastAsiaTheme="minorEastAsia" w:hAnsi="Cambria Math" w:cstheme="minorHAnsi"/>
                  <w:i/>
                  <w:sz w:val="22"/>
                  <w:szCs w:val="22"/>
                </w:rPr>
              </m:ctrlPr>
            </m:naryPr>
            <m:sub>
              <m:r>
                <w:rPr>
                  <w:rFonts w:ascii="Cambria Math" w:hAnsi="Cambria Math" w:cstheme="minorHAnsi"/>
                </w:rPr>
                <m:t>i=1</m:t>
              </m:r>
            </m:sub>
            <m:sup>
              <m:r>
                <w:rPr>
                  <w:rFonts w:ascii="Cambria Math" w:hAnsi="Cambria Math" w:cstheme="minorHAnsi"/>
                </w:rPr>
                <m:t>n-p</m:t>
              </m:r>
            </m:sup>
            <m:e>
              <m:f>
                <m:fPr>
                  <m:ctrlPr>
                    <w:rPr>
                      <w:rFonts w:ascii="Cambria Math" w:hAnsi="Cambria Math" w:cstheme="minorHAnsi"/>
                      <w:i/>
                    </w:rPr>
                  </m:ctrlPr>
                </m:fPr>
                <m:num>
                  <m:r>
                    <w:rPr>
                      <w:rFonts w:ascii="Cambria Math" w:hAnsi="Cambria Math" w:cstheme="minorHAnsi"/>
                    </w:rPr>
                    <m:t>1</m:t>
                  </m:r>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1+x</m:t>
                          </m:r>
                        </m:e>
                      </m:d>
                    </m:e>
                    <m:sup>
                      <m:r>
                        <w:rPr>
                          <w:rFonts w:ascii="Cambria Math" w:hAnsi="Cambria Math" w:cstheme="minorHAnsi"/>
                        </w:rPr>
                        <m:t>i</m:t>
                      </m:r>
                    </m:sup>
                  </m:sSup>
                </m:den>
              </m:f>
            </m:e>
          </m:nary>
          <m:r>
            <w:rPr>
              <w:rFonts w:ascii="Cambria Math" w:hAnsi="Cambria Math" w:cstheme="minorHAnsi"/>
            </w:rPr>
            <m:t xml:space="preserve"> </m:t>
          </m:r>
        </m:oMath>
      </m:oMathPara>
    </w:p>
    <w:p w14:paraId="7C2E2343" w14:textId="4142A005" w:rsidR="002E32D6" w:rsidRPr="00F55F96" w:rsidRDefault="00AA0120" w:rsidP="00AA0120">
      <w:pPr>
        <w:spacing w:before="100" w:beforeAutospacing="1" w:after="100" w:afterAutospacing="1"/>
        <w:rPr>
          <w:rFonts w:asciiTheme="minorHAnsi" w:hAnsiTheme="minorHAnsi" w:cstheme="minorHAnsi"/>
          <w:i/>
        </w:rPr>
      </w:pPr>
      <w:r w:rsidRPr="00AA0120">
        <w:rPr>
          <w:rFonts w:asciiTheme="minorHAnsi" w:eastAsiaTheme="minorEastAsia" w:hAnsiTheme="minorHAnsi" w:cstheme="minorHAnsi"/>
          <w:i/>
          <w:sz w:val="22"/>
          <w:szCs w:val="22"/>
        </w:rPr>
        <w:t>DV01 (Dollar Value of a Basis Point) is a standard measure of duration. It expresses the change in the present value of a bond (or portfolio) for a one basis point change in yield, and therefore captures the instrument’s rate sensitivity</w:t>
      </w:r>
    </w:p>
    <w:p w14:paraId="110BB794" w14:textId="77777777" w:rsidR="002E32D6" w:rsidRPr="00F55F96" w:rsidRDefault="002E32D6" w:rsidP="002E32D6">
      <w:pPr>
        <w:pStyle w:val="p1"/>
        <w:rPr>
          <w:rFonts w:asciiTheme="minorHAnsi" w:hAnsiTheme="minorHAnsi" w:cstheme="minorHAnsi"/>
          <w:i/>
          <w:sz w:val="22"/>
          <w:szCs w:val="22"/>
          <w:lang w:val="en-US" w:eastAsia="en-US"/>
        </w:rPr>
      </w:pPr>
      <m:oMath>
        <m:r>
          <w:rPr>
            <w:rFonts w:ascii="Cambria Math" w:hAnsi="Cambria Math" w:cstheme="minorHAnsi"/>
            <w:sz w:val="22"/>
            <w:szCs w:val="22"/>
            <w:lang w:val="en-US" w:eastAsia="en-US"/>
          </w:rPr>
          <m:t>Cx.adj</m:t>
        </m:r>
      </m:oMath>
      <w:r w:rsidRPr="00F55F96">
        <w:rPr>
          <w:rFonts w:asciiTheme="minorHAnsi" w:hAnsiTheme="minorHAnsi" w:cstheme="minorHAnsi"/>
          <w:i/>
          <w:sz w:val="22"/>
          <w:szCs w:val="22"/>
          <w:lang w:val="en-US" w:eastAsia="en-US"/>
        </w:rPr>
        <w:t xml:space="preserve"> : measures the additional cost from negative convexity due to duration hedging, which grows with longer expiries and tenors</w:t>
      </w:r>
    </w:p>
    <w:p w14:paraId="77790CA0" w14:textId="77777777" w:rsidR="003108D4" w:rsidRPr="00F55F96" w:rsidRDefault="003108D4" w:rsidP="002E32D6">
      <w:pPr>
        <w:pStyle w:val="p1"/>
        <w:rPr>
          <w:rFonts w:asciiTheme="minorHAnsi" w:hAnsiTheme="minorHAnsi" w:cstheme="minorHAnsi"/>
          <w:i/>
          <w:sz w:val="22"/>
          <w:szCs w:val="22"/>
          <w:lang w:val="en-US" w:eastAsia="en-US"/>
        </w:rPr>
      </w:pPr>
    </w:p>
    <w:p w14:paraId="24AE994A" w14:textId="77777777" w:rsidR="003108D4" w:rsidRPr="00F55F96" w:rsidRDefault="003108D4" w:rsidP="000B7FD4">
      <w:pPr>
        <w:pStyle w:val="p1"/>
        <w:rPr>
          <w:rFonts w:asciiTheme="minorHAnsi" w:eastAsia="Times New Roman" w:hAnsiTheme="minorHAnsi" w:cstheme="minorHAnsi"/>
          <w:b/>
          <w:bCs/>
          <w:sz w:val="22"/>
          <w:szCs w:val="22"/>
          <w:lang w:val="en-US" w:eastAsia="en-US"/>
        </w:rPr>
      </w:pPr>
    </w:p>
    <w:p w14:paraId="004FF69F" w14:textId="6CDD5984" w:rsidR="000B7FD4" w:rsidRPr="00F55F96" w:rsidRDefault="000B7FD4" w:rsidP="000B7FD4">
      <w:pPr>
        <w:pStyle w:val="p1"/>
        <w:rPr>
          <w:rFonts w:asciiTheme="minorHAnsi" w:eastAsia="Times New Roman" w:hAnsiTheme="minorHAnsi" w:cstheme="minorHAnsi"/>
          <w:b/>
          <w:bCs/>
          <w:sz w:val="22"/>
          <w:szCs w:val="22"/>
          <w:lang w:val="en-US" w:eastAsia="en-US"/>
        </w:rPr>
      </w:pPr>
      <w:r w:rsidRPr="00F55F96">
        <w:rPr>
          <w:rFonts w:asciiTheme="minorHAnsi" w:eastAsia="Times New Roman" w:hAnsiTheme="minorHAnsi" w:cstheme="minorHAnsi"/>
          <w:b/>
          <w:bCs/>
          <w:sz w:val="22"/>
          <w:szCs w:val="22"/>
          <w:lang w:val="en-US" w:eastAsia="en-US"/>
        </w:rPr>
        <w:t>Intuition</w:t>
      </w:r>
      <w:r w:rsidR="003108D4" w:rsidRPr="00F55F96">
        <w:rPr>
          <w:rFonts w:asciiTheme="minorHAnsi" w:eastAsia="Times New Roman" w:hAnsiTheme="minorHAnsi" w:cstheme="minorHAnsi"/>
          <w:b/>
          <w:bCs/>
          <w:sz w:val="22"/>
          <w:szCs w:val="22"/>
          <w:lang w:val="en-US" w:eastAsia="en-US"/>
        </w:rPr>
        <w:t xml:space="preserve"> behind the formula</w:t>
      </w:r>
      <w:r w:rsidRPr="00F55F96">
        <w:rPr>
          <w:rFonts w:asciiTheme="minorHAnsi" w:eastAsia="Times New Roman" w:hAnsiTheme="minorHAnsi" w:cstheme="minorHAnsi"/>
          <w:b/>
          <w:bCs/>
          <w:sz w:val="22"/>
          <w:szCs w:val="22"/>
          <w:lang w:val="en-US" w:eastAsia="en-US"/>
        </w:rPr>
        <w:t>:</w:t>
      </w:r>
    </w:p>
    <w:p w14:paraId="39131E8E" w14:textId="4DBFA513" w:rsidR="002E32D6" w:rsidRPr="00F55F96" w:rsidRDefault="002E32D6" w:rsidP="000B7FD4">
      <w:pPr>
        <w:pStyle w:val="p1"/>
        <w:rPr>
          <w:rFonts w:asciiTheme="minorHAnsi" w:eastAsia="Times New Roman" w:hAnsiTheme="minorHAnsi" w:cstheme="minorHAnsi"/>
          <w:sz w:val="22"/>
          <w:szCs w:val="22"/>
          <w:lang w:val="en-US" w:eastAsia="en-US"/>
        </w:rPr>
      </w:pPr>
      <w:r w:rsidRPr="00F55F96">
        <w:rPr>
          <w:rFonts w:asciiTheme="minorHAnsi" w:hAnsiTheme="minorHAnsi" w:cstheme="minorHAnsi"/>
          <w:sz w:val="22"/>
          <w:szCs w:val="22"/>
          <w:lang w:val="en-US"/>
        </w:rPr>
        <w:t xml:space="preserve">The formula can be intuitively understood through a hedging perspective. </w:t>
      </w:r>
      <w:r w:rsidR="001E4DB6" w:rsidRPr="00F55F96">
        <w:rPr>
          <w:rFonts w:asciiTheme="minorHAnsi" w:hAnsiTheme="minorHAnsi" w:cstheme="minorHAnsi"/>
          <w:sz w:val="22"/>
          <w:szCs w:val="22"/>
          <w:lang w:val="en-US"/>
        </w:rPr>
        <w:t>R</w:t>
      </w:r>
      <w:r w:rsidRPr="00F55F96">
        <w:rPr>
          <w:rFonts w:asciiTheme="minorHAnsi" w:hAnsiTheme="minorHAnsi" w:cstheme="minorHAnsi"/>
          <w:sz w:val="22"/>
          <w:szCs w:val="22"/>
          <w:lang w:val="en-US"/>
        </w:rPr>
        <w:t xml:space="preserve">eplicating the forward yield by purchasing the spot bond in a notional amount scaled to </w:t>
      </w:r>
      <m:oMath>
        <m:r>
          <w:rPr>
            <w:rFonts w:ascii="Cambria Math" w:hAnsi="Cambria Math" w:cstheme="minorHAnsi"/>
            <w:sz w:val="22"/>
            <w:szCs w:val="22"/>
            <w:lang w:val="en-US"/>
          </w:rPr>
          <m:t>(</m:t>
        </m:r>
        <m:f>
          <m:fPr>
            <m:ctrlPr>
              <w:rPr>
                <w:rFonts w:ascii="Cambria Math" w:hAnsi="Cambria Math" w:cstheme="minorHAnsi"/>
                <w:i/>
                <w:sz w:val="22"/>
                <w:szCs w:val="22"/>
              </w:rPr>
            </m:ctrlPr>
          </m:fPr>
          <m:num>
            <m:r>
              <w:rPr>
                <w:rFonts w:ascii="Cambria Math" w:hAnsi="Cambria Math" w:cstheme="minorHAnsi"/>
                <w:sz w:val="22"/>
                <w:szCs w:val="22"/>
                <w:lang w:val="en-US"/>
              </w:rPr>
              <m:t>1</m:t>
            </m:r>
          </m:num>
          <m:den>
            <m:r>
              <w:rPr>
                <w:rFonts w:ascii="Cambria Math" w:hAnsi="Cambria Math" w:cstheme="minorHAnsi"/>
                <w:sz w:val="22"/>
                <w:szCs w:val="22"/>
              </w:rPr>
              <m:t>DV</m:t>
            </m:r>
            <m:r>
              <w:rPr>
                <w:rFonts w:ascii="Cambria Math" w:hAnsi="Cambria Math" w:cstheme="minorHAnsi"/>
                <w:sz w:val="22"/>
                <w:szCs w:val="22"/>
                <w:lang w:val="en-US"/>
              </w:rPr>
              <m:t>01</m:t>
            </m:r>
          </m:den>
        </m:f>
        <m:r>
          <w:rPr>
            <w:rFonts w:ascii="Cambria Math" w:hAnsi="Cambria Math" w:cstheme="minorHAnsi"/>
            <w:sz w:val="22"/>
            <w:szCs w:val="22"/>
            <w:lang w:val="en-US"/>
          </w:rPr>
          <m:t>)</m:t>
        </m:r>
      </m:oMath>
      <w:r w:rsidRPr="00F55F96">
        <w:rPr>
          <w:rFonts w:asciiTheme="minorHAnsi" w:hAnsiTheme="minorHAnsi" w:cstheme="minorHAnsi"/>
          <w:sz w:val="22"/>
          <w:szCs w:val="22"/>
          <w:lang w:val="en-US"/>
        </w:rPr>
        <w:t xml:space="preserve">, and financing the position via the repo market. </w:t>
      </w:r>
      <w:r w:rsidRPr="00F55F96">
        <w:rPr>
          <w:rFonts w:asciiTheme="minorHAnsi" w:hAnsiTheme="minorHAnsi" w:cstheme="minorHAnsi"/>
          <w:sz w:val="22"/>
          <w:szCs w:val="22"/>
        </w:rPr>
        <w:t xml:space="preserve">If </w:t>
      </w:r>
      <w:proofErr w:type="spellStart"/>
      <w:r w:rsidRPr="00F55F96">
        <w:rPr>
          <w:rFonts w:asciiTheme="minorHAnsi" w:hAnsiTheme="minorHAnsi" w:cstheme="minorHAnsi"/>
          <w:sz w:val="22"/>
          <w:szCs w:val="22"/>
        </w:rPr>
        <w:t>interest</w:t>
      </w:r>
      <w:proofErr w:type="spellEnd"/>
      <w:r w:rsidRPr="00F55F96">
        <w:rPr>
          <w:rFonts w:asciiTheme="minorHAnsi" w:hAnsiTheme="minorHAnsi" w:cstheme="minorHAnsi"/>
          <w:sz w:val="22"/>
          <w:szCs w:val="22"/>
        </w:rPr>
        <w:t xml:space="preserve"> rates </w:t>
      </w:r>
      <w:proofErr w:type="spellStart"/>
      <w:r w:rsidRPr="00F55F96">
        <w:rPr>
          <w:rFonts w:asciiTheme="minorHAnsi" w:hAnsiTheme="minorHAnsi" w:cstheme="minorHAnsi"/>
          <w:sz w:val="22"/>
          <w:szCs w:val="22"/>
        </w:rPr>
        <w:t>increase</w:t>
      </w:r>
      <w:proofErr w:type="spellEnd"/>
      <w:r w:rsidRPr="00F55F96">
        <w:rPr>
          <w:rFonts w:asciiTheme="minorHAnsi" w:hAnsiTheme="minorHAnsi" w:cstheme="minorHAnsi"/>
          <w:sz w:val="22"/>
          <w:szCs w:val="22"/>
        </w:rPr>
        <w:t xml:space="preserve"> (or decrease), the DV01 of the position decreases (or increases), requiring an adjustment of the </w:t>
      </w:r>
      <w:r w:rsidR="001E4DB6" w:rsidRPr="00F55F96">
        <w:rPr>
          <w:rFonts w:asciiTheme="minorHAnsi" w:hAnsiTheme="minorHAnsi" w:cstheme="minorHAnsi"/>
          <w:sz w:val="22"/>
          <w:szCs w:val="22"/>
        </w:rPr>
        <w:t>Hegde</w:t>
      </w:r>
      <w:r w:rsidR="002827DE" w:rsidRPr="00F55F96">
        <w:rPr>
          <w:rFonts w:asciiTheme="minorHAnsi" w:hAnsiTheme="minorHAnsi" w:cstheme="minorHAnsi"/>
          <w:sz w:val="22"/>
          <w:szCs w:val="22"/>
        </w:rPr>
        <w:t xml:space="preserve"> :</w:t>
      </w:r>
      <w:r w:rsidRPr="00F55F96">
        <w:rPr>
          <w:rFonts w:asciiTheme="minorHAnsi" w:hAnsiTheme="minorHAnsi" w:cstheme="minorHAnsi"/>
          <w:sz w:val="22"/>
          <w:szCs w:val="22"/>
        </w:rPr>
        <w:t xml:space="preserve"> buying or selling bonds (convexity effect) and correspondingly increasing or reducing the repo transaction (financing effect).</w:t>
      </w:r>
    </w:p>
    <w:p w14:paraId="2D87F059" w14:textId="77777777" w:rsidR="002E32D6" w:rsidRPr="00F55F96" w:rsidRDefault="002E32D6" w:rsidP="002E32D6">
      <w:pPr>
        <w:spacing w:after="120"/>
        <w:rPr>
          <w:rFonts w:asciiTheme="minorHAnsi" w:hAnsiTheme="minorHAnsi" w:cstheme="minorHAnsi"/>
          <w:sz w:val="22"/>
          <w:szCs w:val="22"/>
        </w:rPr>
      </w:pPr>
    </w:p>
    <w:p w14:paraId="531C5A1A" w14:textId="77777777" w:rsidR="002E32D6" w:rsidRPr="00F55F96" w:rsidRDefault="002E32D6" w:rsidP="002E32D6">
      <w:pPr>
        <w:spacing w:after="120"/>
        <w:rPr>
          <w:rFonts w:asciiTheme="minorHAnsi" w:hAnsiTheme="minorHAnsi" w:cstheme="minorHAnsi"/>
          <w:sz w:val="22"/>
          <w:szCs w:val="22"/>
        </w:rPr>
      </w:pPr>
      <w:r w:rsidRPr="00F55F96">
        <w:rPr>
          <w:rFonts w:asciiTheme="minorHAnsi" w:hAnsiTheme="minorHAnsi" w:cstheme="minorHAnsi"/>
          <w:sz w:val="22"/>
          <w:szCs w:val="22"/>
        </w:rPr>
        <w:t xml:space="preserve">From this perspective, the forward yield depends linearly on the underlying spot yield but exhibits non-linear sensitivity to financing costs. The impact of financing costs on the forward yield is magnified by the </w:t>
      </w:r>
      <m:oMath>
        <m:r>
          <w:rPr>
            <w:rFonts w:ascii="Cambria Math" w:hAnsi="Cambria Math" w:cstheme="minorHAnsi"/>
            <w:sz w:val="22"/>
            <w:szCs w:val="22"/>
          </w:rPr>
          <m:t>(</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DV01</m:t>
            </m:r>
          </m:den>
        </m:f>
        <m:r>
          <w:rPr>
            <w:rFonts w:ascii="Cambria Math" w:hAnsi="Cambria Math" w:cstheme="minorHAnsi"/>
            <w:sz w:val="22"/>
            <w:szCs w:val="22"/>
          </w:rPr>
          <m:t>)</m:t>
        </m:r>
      </m:oMath>
      <w:r w:rsidRPr="00F55F96">
        <w:rPr>
          <w:rFonts w:asciiTheme="minorHAnsi" w:hAnsiTheme="minorHAnsi" w:cstheme="minorHAnsi"/>
          <w:sz w:val="22"/>
          <w:szCs w:val="22"/>
        </w:rPr>
        <w:t>, factor, which captures the inverse relationship between duration and hedge size.</w:t>
      </w:r>
    </w:p>
    <w:p w14:paraId="01B97423" w14:textId="77777777" w:rsidR="002E32D6" w:rsidRPr="00F55F96" w:rsidRDefault="002E32D6" w:rsidP="002E32D6">
      <w:pPr>
        <w:spacing w:after="120"/>
        <w:rPr>
          <w:rFonts w:asciiTheme="minorHAnsi" w:hAnsiTheme="minorHAnsi" w:cstheme="minorHAnsi"/>
          <w:sz w:val="22"/>
          <w:szCs w:val="22"/>
        </w:rPr>
      </w:pPr>
    </w:p>
    <w:p w14:paraId="32F013AA" w14:textId="42A90A47" w:rsidR="0086542B" w:rsidRPr="00F55F96" w:rsidRDefault="002E32D6" w:rsidP="002E32D6">
      <w:pPr>
        <w:rPr>
          <w:rFonts w:asciiTheme="minorHAnsi" w:hAnsiTheme="minorHAnsi" w:cstheme="minorHAnsi"/>
        </w:rPr>
      </w:pPr>
      <w:r w:rsidRPr="00F55F96">
        <w:rPr>
          <w:rFonts w:asciiTheme="minorHAnsi" w:hAnsiTheme="minorHAnsi" w:cstheme="minorHAnsi"/>
          <w:sz w:val="22"/>
          <w:szCs w:val="22"/>
        </w:rPr>
        <w:t>For simplicity, the explicit dependence on bond coupons is not shown in the formula. In practice, higher coupons tend to increase forward yields, as reinvested coupon flows provide an additional carry component</w:t>
      </w:r>
    </w:p>
    <w:p w14:paraId="2273B8B8" w14:textId="77777777" w:rsidR="00DB4268" w:rsidRPr="00F55F96" w:rsidRDefault="00DB4268" w:rsidP="002E32D6">
      <w:pPr>
        <w:rPr>
          <w:rFonts w:asciiTheme="minorHAnsi" w:hAnsiTheme="minorHAnsi" w:cstheme="minorHAnsi"/>
        </w:rPr>
      </w:pPr>
    </w:p>
    <w:p w14:paraId="74F803F4" w14:textId="17EB2BBA" w:rsidR="001E4DB6" w:rsidRPr="00F55F96" w:rsidRDefault="001E4DB6" w:rsidP="001E4DB6">
      <w:pPr>
        <w:pStyle w:val="p1"/>
        <w:rPr>
          <w:rFonts w:asciiTheme="minorHAnsi" w:eastAsia="Times New Roman" w:hAnsiTheme="minorHAnsi" w:cstheme="minorHAnsi"/>
          <w:b/>
          <w:bCs/>
          <w:sz w:val="22"/>
          <w:szCs w:val="22"/>
          <w:lang w:val="en-US" w:eastAsia="en-US"/>
        </w:rPr>
      </w:pPr>
      <w:r w:rsidRPr="00F55F96">
        <w:rPr>
          <w:rFonts w:asciiTheme="minorHAnsi" w:eastAsia="Times New Roman" w:hAnsiTheme="minorHAnsi" w:cstheme="minorHAnsi"/>
          <w:b/>
          <w:bCs/>
          <w:sz w:val="22"/>
          <w:szCs w:val="22"/>
          <w:lang w:val="en-US" w:eastAsia="en-US"/>
        </w:rPr>
        <w:t xml:space="preserve">Application – Forward yield </w:t>
      </w:r>
      <w:r w:rsidR="009D67D4" w:rsidRPr="00F55F96">
        <w:rPr>
          <w:rFonts w:asciiTheme="minorHAnsi" w:eastAsia="Times New Roman" w:hAnsiTheme="minorHAnsi" w:cstheme="minorHAnsi"/>
          <w:b/>
          <w:bCs/>
          <w:sz w:val="22"/>
          <w:szCs w:val="22"/>
          <w:lang w:val="en-US" w:eastAsia="en-US"/>
        </w:rPr>
        <w:t>10y10y</w:t>
      </w:r>
    </w:p>
    <w:p w14:paraId="0D7FE649" w14:textId="77777777" w:rsidR="00F71B90" w:rsidRPr="00F55F96" w:rsidRDefault="00F71B90" w:rsidP="001E4DB6">
      <w:pPr>
        <w:pStyle w:val="p1"/>
        <w:rPr>
          <w:rFonts w:asciiTheme="minorHAnsi" w:eastAsia="Times New Roman" w:hAnsiTheme="minorHAnsi" w:cstheme="minorHAnsi"/>
          <w:b/>
          <w:bCs/>
          <w:sz w:val="22"/>
          <w:szCs w:val="22"/>
          <w:lang w:val="en-US" w:eastAsia="en-US"/>
        </w:rPr>
      </w:pPr>
    </w:p>
    <w:p w14:paraId="180EF476" w14:textId="77777777" w:rsidR="00F71B90" w:rsidRPr="00F55F96" w:rsidRDefault="00F71B90" w:rsidP="001E4DB6">
      <w:pPr>
        <w:pStyle w:val="p1"/>
        <w:rPr>
          <w:rFonts w:asciiTheme="minorHAnsi" w:eastAsia="Times New Roman" w:hAnsiTheme="minorHAnsi" w:cstheme="minorHAnsi"/>
          <w:b/>
          <w:bCs/>
          <w:sz w:val="22"/>
          <w:szCs w:val="22"/>
          <w:lang w:val="en-US" w:eastAsia="en-US"/>
        </w:rPr>
      </w:pPr>
    </w:p>
    <w:p w14:paraId="759C0115" w14:textId="77777777" w:rsidR="00F71B90" w:rsidRPr="00F55F96" w:rsidRDefault="00F71B90" w:rsidP="001E4DB6">
      <w:pPr>
        <w:pStyle w:val="p1"/>
        <w:rPr>
          <w:rFonts w:asciiTheme="minorHAnsi" w:eastAsia="Times New Roman" w:hAnsiTheme="minorHAnsi" w:cstheme="minorHAnsi"/>
          <w:b/>
          <w:bCs/>
          <w:sz w:val="22"/>
          <w:szCs w:val="22"/>
          <w:lang w:val="en-US" w:eastAsia="en-US"/>
        </w:rPr>
      </w:pPr>
    </w:p>
    <w:tbl>
      <w:tblPr>
        <w:tblW w:w="7380" w:type="dxa"/>
        <w:jc w:val="center"/>
        <w:tblLook w:val="04A0" w:firstRow="1" w:lastRow="0" w:firstColumn="1" w:lastColumn="0" w:noHBand="0" w:noVBand="1"/>
      </w:tblPr>
      <w:tblGrid>
        <w:gridCol w:w="2000"/>
        <w:gridCol w:w="1300"/>
        <w:gridCol w:w="1300"/>
        <w:gridCol w:w="1300"/>
        <w:gridCol w:w="1480"/>
      </w:tblGrid>
      <w:tr w:rsidR="009D67D4" w:rsidRPr="009D67D4" w14:paraId="2C38FEF4" w14:textId="77777777" w:rsidTr="009D67D4">
        <w:trPr>
          <w:trHeight w:val="320"/>
          <w:jc w:val="center"/>
        </w:trPr>
        <w:tc>
          <w:tcPr>
            <w:tcW w:w="2000" w:type="dxa"/>
            <w:tcBorders>
              <w:top w:val="nil"/>
              <w:left w:val="nil"/>
              <w:bottom w:val="nil"/>
              <w:right w:val="nil"/>
            </w:tcBorders>
            <w:shd w:val="clear" w:color="auto" w:fill="auto"/>
            <w:noWrap/>
            <w:vAlign w:val="bottom"/>
            <w:hideMark/>
          </w:tcPr>
          <w:p w14:paraId="7AEF7DE4" w14:textId="77777777" w:rsidR="009D67D4" w:rsidRPr="009D67D4" w:rsidRDefault="009D67D4" w:rsidP="00C0001F">
            <w:pPr>
              <w:jc w:val="center"/>
              <w:rPr>
                <w:rFonts w:asciiTheme="minorHAnsi" w:hAnsiTheme="minorHAnsi" w:cstheme="minorHAnsi"/>
                <w:sz w:val="20"/>
                <w:szCs w:val="20"/>
              </w:rPr>
            </w:pPr>
          </w:p>
        </w:tc>
        <w:tc>
          <w:tcPr>
            <w:tcW w:w="1300" w:type="dxa"/>
            <w:tcBorders>
              <w:top w:val="single" w:sz="4" w:space="0" w:color="auto"/>
              <w:left w:val="single" w:sz="4" w:space="0" w:color="auto"/>
              <w:bottom w:val="single" w:sz="4" w:space="0" w:color="auto"/>
              <w:right w:val="single" w:sz="4" w:space="0" w:color="auto"/>
            </w:tcBorders>
            <w:shd w:val="clear" w:color="000000" w:fill="747474"/>
            <w:noWrap/>
            <w:vAlign w:val="bottom"/>
            <w:hideMark/>
          </w:tcPr>
          <w:p w14:paraId="50BD9A06" w14:textId="2B95AC4B"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OAT</w:t>
            </w:r>
          </w:p>
        </w:tc>
        <w:tc>
          <w:tcPr>
            <w:tcW w:w="1300" w:type="dxa"/>
            <w:tcBorders>
              <w:top w:val="single" w:sz="4" w:space="0" w:color="auto"/>
              <w:left w:val="nil"/>
              <w:bottom w:val="single" w:sz="4" w:space="0" w:color="auto"/>
              <w:right w:val="single" w:sz="4" w:space="0" w:color="auto"/>
            </w:tcBorders>
            <w:shd w:val="clear" w:color="000000" w:fill="747474"/>
            <w:noWrap/>
            <w:vAlign w:val="bottom"/>
            <w:hideMark/>
          </w:tcPr>
          <w:p w14:paraId="14CABE4F"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G7EURO</w:t>
            </w:r>
          </w:p>
        </w:tc>
        <w:tc>
          <w:tcPr>
            <w:tcW w:w="1300" w:type="dxa"/>
            <w:tcBorders>
              <w:top w:val="single" w:sz="4" w:space="0" w:color="auto"/>
              <w:left w:val="nil"/>
              <w:bottom w:val="single" w:sz="4" w:space="0" w:color="auto"/>
              <w:right w:val="single" w:sz="4" w:space="0" w:color="auto"/>
            </w:tcBorders>
            <w:shd w:val="clear" w:color="000000" w:fill="747474"/>
            <w:noWrap/>
            <w:vAlign w:val="bottom"/>
            <w:hideMark/>
          </w:tcPr>
          <w:p w14:paraId="40F3A647"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UST</w:t>
            </w:r>
          </w:p>
        </w:tc>
        <w:tc>
          <w:tcPr>
            <w:tcW w:w="1480" w:type="dxa"/>
            <w:tcBorders>
              <w:top w:val="single" w:sz="4" w:space="0" w:color="auto"/>
              <w:left w:val="nil"/>
              <w:bottom w:val="single" w:sz="4" w:space="0" w:color="auto"/>
              <w:right w:val="single" w:sz="4" w:space="0" w:color="auto"/>
            </w:tcBorders>
            <w:shd w:val="clear" w:color="000000" w:fill="747474"/>
            <w:noWrap/>
            <w:vAlign w:val="bottom"/>
            <w:hideMark/>
          </w:tcPr>
          <w:p w14:paraId="5E3ED9DE"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JPY</w:t>
            </w:r>
          </w:p>
        </w:tc>
      </w:tr>
      <w:tr w:rsidR="009D67D4" w:rsidRPr="009D67D4" w14:paraId="6E903715" w14:textId="77777777" w:rsidTr="009D67D4">
        <w:trPr>
          <w:trHeight w:val="320"/>
          <w:jc w:val="center"/>
        </w:trPr>
        <w:tc>
          <w:tcPr>
            <w:tcW w:w="2000" w:type="dxa"/>
            <w:tcBorders>
              <w:top w:val="single" w:sz="4" w:space="0" w:color="auto"/>
              <w:left w:val="single" w:sz="4" w:space="0" w:color="auto"/>
              <w:bottom w:val="single" w:sz="4" w:space="0" w:color="auto"/>
              <w:right w:val="single" w:sz="4" w:space="0" w:color="auto"/>
            </w:tcBorders>
            <w:shd w:val="clear" w:color="000000" w:fill="747474"/>
            <w:noWrap/>
            <w:vAlign w:val="bottom"/>
            <w:hideMark/>
          </w:tcPr>
          <w:p w14:paraId="2199A04C"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10y yield</w:t>
            </w:r>
          </w:p>
        </w:tc>
        <w:tc>
          <w:tcPr>
            <w:tcW w:w="1300" w:type="dxa"/>
            <w:tcBorders>
              <w:top w:val="nil"/>
              <w:left w:val="nil"/>
              <w:bottom w:val="single" w:sz="4" w:space="0" w:color="auto"/>
              <w:right w:val="single" w:sz="4" w:space="0" w:color="auto"/>
            </w:tcBorders>
            <w:shd w:val="clear" w:color="auto" w:fill="auto"/>
            <w:noWrap/>
            <w:vAlign w:val="bottom"/>
            <w:hideMark/>
          </w:tcPr>
          <w:p w14:paraId="1DA74C4B"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3.42%</w:t>
            </w:r>
          </w:p>
        </w:tc>
        <w:tc>
          <w:tcPr>
            <w:tcW w:w="1300" w:type="dxa"/>
            <w:tcBorders>
              <w:top w:val="nil"/>
              <w:left w:val="nil"/>
              <w:bottom w:val="single" w:sz="4" w:space="0" w:color="auto"/>
              <w:right w:val="single" w:sz="4" w:space="0" w:color="auto"/>
            </w:tcBorders>
            <w:shd w:val="clear" w:color="auto" w:fill="auto"/>
            <w:noWrap/>
            <w:vAlign w:val="bottom"/>
            <w:hideMark/>
          </w:tcPr>
          <w:p w14:paraId="36269411"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3.12%</w:t>
            </w:r>
          </w:p>
        </w:tc>
        <w:tc>
          <w:tcPr>
            <w:tcW w:w="1300" w:type="dxa"/>
            <w:tcBorders>
              <w:top w:val="nil"/>
              <w:left w:val="nil"/>
              <w:bottom w:val="single" w:sz="4" w:space="0" w:color="auto"/>
              <w:right w:val="single" w:sz="4" w:space="0" w:color="auto"/>
            </w:tcBorders>
            <w:shd w:val="clear" w:color="auto" w:fill="auto"/>
            <w:noWrap/>
            <w:vAlign w:val="bottom"/>
            <w:hideMark/>
          </w:tcPr>
          <w:p w14:paraId="010B1A36"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4.25%</w:t>
            </w:r>
          </w:p>
        </w:tc>
        <w:tc>
          <w:tcPr>
            <w:tcW w:w="1480" w:type="dxa"/>
            <w:tcBorders>
              <w:top w:val="nil"/>
              <w:left w:val="nil"/>
              <w:bottom w:val="single" w:sz="4" w:space="0" w:color="auto"/>
              <w:right w:val="single" w:sz="4" w:space="0" w:color="auto"/>
            </w:tcBorders>
            <w:shd w:val="clear" w:color="auto" w:fill="auto"/>
            <w:noWrap/>
            <w:vAlign w:val="bottom"/>
            <w:hideMark/>
          </w:tcPr>
          <w:p w14:paraId="21F9286A"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1.61%</w:t>
            </w:r>
          </w:p>
        </w:tc>
      </w:tr>
      <w:tr w:rsidR="009D67D4" w:rsidRPr="009D67D4" w14:paraId="6A56DC0D"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2D9E1E66"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20y yield</w:t>
            </w:r>
          </w:p>
        </w:tc>
        <w:tc>
          <w:tcPr>
            <w:tcW w:w="1300" w:type="dxa"/>
            <w:tcBorders>
              <w:top w:val="nil"/>
              <w:left w:val="nil"/>
              <w:bottom w:val="single" w:sz="4" w:space="0" w:color="auto"/>
              <w:right w:val="single" w:sz="4" w:space="0" w:color="auto"/>
            </w:tcBorders>
            <w:shd w:val="clear" w:color="auto" w:fill="auto"/>
            <w:noWrap/>
            <w:vAlign w:val="bottom"/>
            <w:hideMark/>
          </w:tcPr>
          <w:p w14:paraId="2600F138"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3.97%</w:t>
            </w:r>
          </w:p>
        </w:tc>
        <w:tc>
          <w:tcPr>
            <w:tcW w:w="1300" w:type="dxa"/>
            <w:tcBorders>
              <w:top w:val="nil"/>
              <w:left w:val="nil"/>
              <w:bottom w:val="single" w:sz="4" w:space="0" w:color="auto"/>
              <w:right w:val="single" w:sz="4" w:space="0" w:color="auto"/>
            </w:tcBorders>
            <w:shd w:val="clear" w:color="auto" w:fill="auto"/>
            <w:noWrap/>
            <w:vAlign w:val="bottom"/>
            <w:hideMark/>
          </w:tcPr>
          <w:p w14:paraId="0D32B3B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3.66%</w:t>
            </w:r>
          </w:p>
        </w:tc>
        <w:tc>
          <w:tcPr>
            <w:tcW w:w="1300" w:type="dxa"/>
            <w:tcBorders>
              <w:top w:val="nil"/>
              <w:left w:val="nil"/>
              <w:bottom w:val="single" w:sz="4" w:space="0" w:color="auto"/>
              <w:right w:val="single" w:sz="4" w:space="0" w:color="auto"/>
            </w:tcBorders>
            <w:shd w:val="clear" w:color="auto" w:fill="auto"/>
            <w:noWrap/>
            <w:vAlign w:val="bottom"/>
            <w:hideMark/>
          </w:tcPr>
          <w:p w14:paraId="6D25E439"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4.84%</w:t>
            </w:r>
          </w:p>
        </w:tc>
        <w:tc>
          <w:tcPr>
            <w:tcW w:w="1480" w:type="dxa"/>
            <w:tcBorders>
              <w:top w:val="nil"/>
              <w:left w:val="nil"/>
              <w:bottom w:val="single" w:sz="4" w:space="0" w:color="auto"/>
              <w:right w:val="single" w:sz="4" w:space="0" w:color="auto"/>
            </w:tcBorders>
            <w:shd w:val="clear" w:color="auto" w:fill="auto"/>
            <w:noWrap/>
            <w:vAlign w:val="bottom"/>
            <w:hideMark/>
          </w:tcPr>
          <w:p w14:paraId="61B14FFF"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2.60%</w:t>
            </w:r>
          </w:p>
        </w:tc>
      </w:tr>
      <w:tr w:rsidR="009D67D4" w:rsidRPr="009D67D4" w14:paraId="061771D3"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2144C693"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 xml:space="preserve">10y </w:t>
            </w:r>
            <w:proofErr w:type="spellStart"/>
            <w:r w:rsidRPr="009D67D4">
              <w:rPr>
                <w:rFonts w:asciiTheme="minorHAnsi" w:hAnsiTheme="minorHAnsi" w:cstheme="minorHAnsi"/>
                <w:color w:val="FFFFFF"/>
              </w:rPr>
              <w:t>ois</w:t>
            </w:r>
            <w:proofErr w:type="spellEnd"/>
            <w:r w:rsidRPr="009D67D4">
              <w:rPr>
                <w:rFonts w:asciiTheme="minorHAnsi" w:hAnsiTheme="minorHAnsi" w:cstheme="minorHAnsi"/>
                <w:color w:val="FFFFFF"/>
              </w:rPr>
              <w:t xml:space="preserve"> swap</w:t>
            </w:r>
          </w:p>
        </w:tc>
        <w:tc>
          <w:tcPr>
            <w:tcW w:w="1300" w:type="dxa"/>
            <w:tcBorders>
              <w:top w:val="nil"/>
              <w:left w:val="nil"/>
              <w:bottom w:val="single" w:sz="4" w:space="0" w:color="auto"/>
              <w:right w:val="single" w:sz="4" w:space="0" w:color="auto"/>
            </w:tcBorders>
            <w:shd w:val="clear" w:color="auto" w:fill="auto"/>
            <w:noWrap/>
            <w:vAlign w:val="bottom"/>
            <w:hideMark/>
          </w:tcPr>
          <w:p w14:paraId="6682C5C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2.49%</w:t>
            </w:r>
          </w:p>
        </w:tc>
        <w:tc>
          <w:tcPr>
            <w:tcW w:w="1300" w:type="dxa"/>
            <w:tcBorders>
              <w:top w:val="nil"/>
              <w:left w:val="nil"/>
              <w:bottom w:val="single" w:sz="4" w:space="0" w:color="auto"/>
              <w:right w:val="single" w:sz="4" w:space="0" w:color="auto"/>
            </w:tcBorders>
            <w:shd w:val="clear" w:color="auto" w:fill="auto"/>
            <w:noWrap/>
            <w:vAlign w:val="bottom"/>
            <w:hideMark/>
          </w:tcPr>
          <w:p w14:paraId="41EB1F7E"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2.49%</w:t>
            </w:r>
          </w:p>
        </w:tc>
        <w:tc>
          <w:tcPr>
            <w:tcW w:w="1300" w:type="dxa"/>
            <w:tcBorders>
              <w:top w:val="nil"/>
              <w:left w:val="nil"/>
              <w:bottom w:val="single" w:sz="4" w:space="0" w:color="auto"/>
              <w:right w:val="single" w:sz="4" w:space="0" w:color="auto"/>
            </w:tcBorders>
            <w:shd w:val="clear" w:color="auto" w:fill="auto"/>
            <w:noWrap/>
            <w:vAlign w:val="bottom"/>
            <w:hideMark/>
          </w:tcPr>
          <w:p w14:paraId="7423EC54"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3.73%</w:t>
            </w:r>
          </w:p>
        </w:tc>
        <w:tc>
          <w:tcPr>
            <w:tcW w:w="1480" w:type="dxa"/>
            <w:tcBorders>
              <w:top w:val="nil"/>
              <w:left w:val="nil"/>
              <w:bottom w:val="single" w:sz="4" w:space="0" w:color="auto"/>
              <w:right w:val="single" w:sz="4" w:space="0" w:color="auto"/>
            </w:tcBorders>
            <w:shd w:val="clear" w:color="auto" w:fill="auto"/>
            <w:noWrap/>
            <w:vAlign w:val="bottom"/>
            <w:hideMark/>
          </w:tcPr>
          <w:p w14:paraId="212E3E44"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1.39%</w:t>
            </w:r>
          </w:p>
        </w:tc>
      </w:tr>
      <w:tr w:rsidR="009D67D4" w:rsidRPr="009D67D4" w14:paraId="268C567F"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4C766B31" w14:textId="27FF74F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10y</w:t>
            </w:r>
            <w:r w:rsidR="00C0001F" w:rsidRPr="00F55F96">
              <w:rPr>
                <w:rFonts w:asciiTheme="minorHAnsi" w:hAnsiTheme="minorHAnsi" w:cstheme="minorHAnsi"/>
                <w:color w:val="FFFFFF"/>
              </w:rPr>
              <w:t xml:space="preserve"> </w:t>
            </w:r>
            <w:proofErr w:type="spellStart"/>
            <w:r w:rsidR="00C0001F" w:rsidRPr="00F55F96">
              <w:rPr>
                <w:rFonts w:asciiTheme="minorHAnsi" w:hAnsiTheme="minorHAnsi" w:cstheme="minorHAnsi"/>
                <w:color w:val="FFFFFF"/>
              </w:rPr>
              <w:t>cds</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14:paraId="75FB11D6"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0.65%</w:t>
            </w:r>
          </w:p>
        </w:tc>
        <w:tc>
          <w:tcPr>
            <w:tcW w:w="1300" w:type="dxa"/>
            <w:tcBorders>
              <w:top w:val="nil"/>
              <w:left w:val="nil"/>
              <w:bottom w:val="single" w:sz="4" w:space="0" w:color="auto"/>
              <w:right w:val="single" w:sz="4" w:space="0" w:color="auto"/>
            </w:tcBorders>
            <w:shd w:val="clear" w:color="auto" w:fill="auto"/>
            <w:noWrap/>
            <w:vAlign w:val="bottom"/>
            <w:hideMark/>
          </w:tcPr>
          <w:p w14:paraId="3BE8332E"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0.45%</w:t>
            </w:r>
          </w:p>
        </w:tc>
        <w:tc>
          <w:tcPr>
            <w:tcW w:w="1300" w:type="dxa"/>
            <w:tcBorders>
              <w:top w:val="nil"/>
              <w:left w:val="nil"/>
              <w:bottom w:val="single" w:sz="4" w:space="0" w:color="auto"/>
              <w:right w:val="single" w:sz="4" w:space="0" w:color="auto"/>
            </w:tcBorders>
            <w:shd w:val="clear" w:color="auto" w:fill="auto"/>
            <w:noWrap/>
            <w:vAlign w:val="bottom"/>
            <w:hideMark/>
          </w:tcPr>
          <w:p w14:paraId="56004FE4"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0.45%</w:t>
            </w:r>
          </w:p>
        </w:tc>
        <w:tc>
          <w:tcPr>
            <w:tcW w:w="1480" w:type="dxa"/>
            <w:tcBorders>
              <w:top w:val="nil"/>
              <w:left w:val="nil"/>
              <w:bottom w:val="single" w:sz="4" w:space="0" w:color="auto"/>
              <w:right w:val="single" w:sz="4" w:space="0" w:color="auto"/>
            </w:tcBorders>
            <w:shd w:val="clear" w:color="auto" w:fill="auto"/>
            <w:noWrap/>
            <w:vAlign w:val="bottom"/>
            <w:hideMark/>
          </w:tcPr>
          <w:p w14:paraId="6505B20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0.33%</w:t>
            </w:r>
          </w:p>
        </w:tc>
      </w:tr>
      <w:tr w:rsidR="009D67D4" w:rsidRPr="009D67D4" w14:paraId="254AAA68"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70DEFB55"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10y repo spread</w:t>
            </w:r>
          </w:p>
        </w:tc>
        <w:tc>
          <w:tcPr>
            <w:tcW w:w="1300" w:type="dxa"/>
            <w:tcBorders>
              <w:top w:val="nil"/>
              <w:left w:val="nil"/>
              <w:bottom w:val="single" w:sz="4" w:space="0" w:color="auto"/>
              <w:right w:val="single" w:sz="4" w:space="0" w:color="auto"/>
            </w:tcBorders>
            <w:shd w:val="clear" w:color="auto" w:fill="auto"/>
            <w:noWrap/>
            <w:vAlign w:val="bottom"/>
            <w:hideMark/>
          </w:tcPr>
          <w:p w14:paraId="355CEAB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0.58%</w:t>
            </w:r>
          </w:p>
        </w:tc>
        <w:tc>
          <w:tcPr>
            <w:tcW w:w="1300" w:type="dxa"/>
            <w:tcBorders>
              <w:top w:val="nil"/>
              <w:left w:val="nil"/>
              <w:bottom w:val="single" w:sz="4" w:space="0" w:color="auto"/>
              <w:right w:val="single" w:sz="4" w:space="0" w:color="auto"/>
            </w:tcBorders>
            <w:shd w:val="clear" w:color="auto" w:fill="auto"/>
            <w:noWrap/>
            <w:vAlign w:val="bottom"/>
            <w:hideMark/>
          </w:tcPr>
          <w:p w14:paraId="48A5F5B4"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0.42%</w:t>
            </w:r>
          </w:p>
        </w:tc>
        <w:tc>
          <w:tcPr>
            <w:tcW w:w="1300" w:type="dxa"/>
            <w:tcBorders>
              <w:top w:val="nil"/>
              <w:left w:val="nil"/>
              <w:bottom w:val="single" w:sz="4" w:space="0" w:color="auto"/>
              <w:right w:val="single" w:sz="4" w:space="0" w:color="auto"/>
            </w:tcBorders>
            <w:shd w:val="clear" w:color="auto" w:fill="auto"/>
            <w:noWrap/>
            <w:vAlign w:val="bottom"/>
            <w:hideMark/>
          </w:tcPr>
          <w:p w14:paraId="21CFD834"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0.36%</w:t>
            </w:r>
          </w:p>
        </w:tc>
        <w:tc>
          <w:tcPr>
            <w:tcW w:w="1480" w:type="dxa"/>
            <w:tcBorders>
              <w:top w:val="nil"/>
              <w:left w:val="nil"/>
              <w:bottom w:val="single" w:sz="4" w:space="0" w:color="auto"/>
              <w:right w:val="single" w:sz="4" w:space="0" w:color="auto"/>
            </w:tcBorders>
            <w:shd w:val="clear" w:color="auto" w:fill="auto"/>
            <w:noWrap/>
            <w:vAlign w:val="bottom"/>
            <w:hideMark/>
          </w:tcPr>
          <w:p w14:paraId="3DA60640"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0.09%</w:t>
            </w:r>
          </w:p>
        </w:tc>
      </w:tr>
      <w:tr w:rsidR="009D67D4" w:rsidRPr="009D67D4" w14:paraId="058FAFD2" w14:textId="77777777" w:rsidTr="009D67D4">
        <w:trPr>
          <w:trHeight w:val="395"/>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3C781380" w14:textId="4FCCA2EB"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 xml:space="preserve">10y repo </w:t>
            </w:r>
            <w:r w:rsidR="00C0001F" w:rsidRPr="00F55F96">
              <w:rPr>
                <w:rFonts w:asciiTheme="minorHAnsi" w:hAnsiTheme="minorHAnsi" w:cstheme="minorHAnsi"/>
                <w:color w:val="FFFFFF"/>
              </w:rPr>
              <w:t>rate</w:t>
            </w:r>
          </w:p>
        </w:tc>
        <w:tc>
          <w:tcPr>
            <w:tcW w:w="1300" w:type="dxa"/>
            <w:tcBorders>
              <w:top w:val="nil"/>
              <w:left w:val="nil"/>
              <w:bottom w:val="single" w:sz="4" w:space="0" w:color="auto"/>
              <w:right w:val="single" w:sz="4" w:space="0" w:color="auto"/>
            </w:tcBorders>
            <w:shd w:val="clear" w:color="auto" w:fill="auto"/>
            <w:noWrap/>
            <w:vAlign w:val="bottom"/>
            <w:hideMark/>
          </w:tcPr>
          <w:p w14:paraId="6590E66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3.07%</w:t>
            </w:r>
          </w:p>
        </w:tc>
        <w:tc>
          <w:tcPr>
            <w:tcW w:w="1300" w:type="dxa"/>
            <w:tcBorders>
              <w:top w:val="nil"/>
              <w:left w:val="nil"/>
              <w:bottom w:val="single" w:sz="4" w:space="0" w:color="auto"/>
              <w:right w:val="single" w:sz="4" w:space="0" w:color="auto"/>
            </w:tcBorders>
            <w:shd w:val="clear" w:color="auto" w:fill="auto"/>
            <w:noWrap/>
            <w:vAlign w:val="bottom"/>
            <w:hideMark/>
          </w:tcPr>
          <w:p w14:paraId="02E49DA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2.91%</w:t>
            </w:r>
          </w:p>
        </w:tc>
        <w:tc>
          <w:tcPr>
            <w:tcW w:w="1300" w:type="dxa"/>
            <w:tcBorders>
              <w:top w:val="nil"/>
              <w:left w:val="nil"/>
              <w:bottom w:val="single" w:sz="4" w:space="0" w:color="auto"/>
              <w:right w:val="single" w:sz="4" w:space="0" w:color="auto"/>
            </w:tcBorders>
            <w:shd w:val="clear" w:color="auto" w:fill="auto"/>
            <w:noWrap/>
            <w:vAlign w:val="bottom"/>
            <w:hideMark/>
          </w:tcPr>
          <w:p w14:paraId="17817A32"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4.09%</w:t>
            </w:r>
          </w:p>
        </w:tc>
        <w:tc>
          <w:tcPr>
            <w:tcW w:w="1480" w:type="dxa"/>
            <w:tcBorders>
              <w:top w:val="nil"/>
              <w:left w:val="nil"/>
              <w:bottom w:val="single" w:sz="4" w:space="0" w:color="auto"/>
              <w:right w:val="single" w:sz="4" w:space="0" w:color="auto"/>
            </w:tcBorders>
            <w:shd w:val="clear" w:color="auto" w:fill="auto"/>
            <w:noWrap/>
            <w:vAlign w:val="bottom"/>
            <w:hideMark/>
          </w:tcPr>
          <w:p w14:paraId="5D39982C"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1.48%</w:t>
            </w:r>
          </w:p>
        </w:tc>
      </w:tr>
      <w:tr w:rsidR="009D67D4" w:rsidRPr="009D67D4" w14:paraId="493D6A7C" w14:textId="77777777" w:rsidTr="009D67D4">
        <w:trPr>
          <w:trHeight w:val="35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7458CAFA" w14:textId="6382C8E1"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10y</w:t>
            </w:r>
            <w:r w:rsidR="00C0001F" w:rsidRPr="00F55F96">
              <w:rPr>
                <w:rFonts w:asciiTheme="minorHAnsi" w:hAnsiTheme="minorHAnsi" w:cstheme="minorHAnsi"/>
                <w:color w:val="FFFFFF"/>
              </w:rPr>
              <w:t xml:space="preserve"> level</w:t>
            </w:r>
          </w:p>
        </w:tc>
        <w:tc>
          <w:tcPr>
            <w:tcW w:w="1300" w:type="dxa"/>
            <w:tcBorders>
              <w:top w:val="nil"/>
              <w:left w:val="nil"/>
              <w:bottom w:val="single" w:sz="4" w:space="0" w:color="auto"/>
              <w:right w:val="single" w:sz="4" w:space="0" w:color="auto"/>
            </w:tcBorders>
            <w:shd w:val="clear" w:color="auto" w:fill="auto"/>
            <w:noWrap/>
            <w:vAlign w:val="bottom"/>
            <w:hideMark/>
          </w:tcPr>
          <w:p w14:paraId="0D6FC1CC" w14:textId="15C3A1CF"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8.35</w:t>
            </w:r>
          </w:p>
        </w:tc>
        <w:tc>
          <w:tcPr>
            <w:tcW w:w="1300" w:type="dxa"/>
            <w:tcBorders>
              <w:top w:val="nil"/>
              <w:left w:val="nil"/>
              <w:bottom w:val="single" w:sz="4" w:space="0" w:color="auto"/>
              <w:right w:val="single" w:sz="4" w:space="0" w:color="auto"/>
            </w:tcBorders>
            <w:shd w:val="clear" w:color="auto" w:fill="auto"/>
            <w:noWrap/>
            <w:vAlign w:val="bottom"/>
            <w:hideMark/>
          </w:tcPr>
          <w:p w14:paraId="136A7505" w14:textId="1EB192C6"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8.48</w:t>
            </w:r>
          </w:p>
        </w:tc>
        <w:tc>
          <w:tcPr>
            <w:tcW w:w="1300" w:type="dxa"/>
            <w:tcBorders>
              <w:top w:val="nil"/>
              <w:left w:val="nil"/>
              <w:bottom w:val="single" w:sz="4" w:space="0" w:color="auto"/>
              <w:right w:val="single" w:sz="4" w:space="0" w:color="auto"/>
            </w:tcBorders>
            <w:shd w:val="clear" w:color="auto" w:fill="auto"/>
            <w:noWrap/>
            <w:vAlign w:val="bottom"/>
            <w:hideMark/>
          </w:tcPr>
          <w:p w14:paraId="76180659" w14:textId="6887D622"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8.01</w:t>
            </w:r>
          </w:p>
        </w:tc>
        <w:tc>
          <w:tcPr>
            <w:tcW w:w="1480" w:type="dxa"/>
            <w:tcBorders>
              <w:top w:val="nil"/>
              <w:left w:val="nil"/>
              <w:bottom w:val="single" w:sz="4" w:space="0" w:color="auto"/>
              <w:right w:val="single" w:sz="4" w:space="0" w:color="auto"/>
            </w:tcBorders>
            <w:shd w:val="clear" w:color="auto" w:fill="auto"/>
            <w:noWrap/>
            <w:vAlign w:val="bottom"/>
            <w:hideMark/>
          </w:tcPr>
          <w:p w14:paraId="12B873C1" w14:textId="252C1FCC"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9.17</w:t>
            </w:r>
          </w:p>
        </w:tc>
      </w:tr>
      <w:tr w:rsidR="009D67D4" w:rsidRPr="009D67D4" w14:paraId="56D6C506"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542AF9CD" w14:textId="77777777" w:rsidR="009D67D4" w:rsidRPr="009D67D4" w:rsidRDefault="009D67D4" w:rsidP="00C0001F">
            <w:pPr>
              <w:jc w:val="center"/>
              <w:rPr>
                <w:rFonts w:asciiTheme="minorHAnsi" w:hAnsiTheme="minorHAnsi" w:cstheme="minorHAnsi"/>
                <w:color w:val="FFFFFF"/>
              </w:rPr>
            </w:pPr>
            <w:proofErr w:type="spellStart"/>
            <w:r w:rsidRPr="009D67D4">
              <w:rPr>
                <w:rFonts w:asciiTheme="minorHAnsi" w:hAnsiTheme="minorHAnsi" w:cstheme="minorHAnsi"/>
                <w:color w:val="FFFFFF"/>
              </w:rPr>
              <w:t>Cx</w:t>
            </w:r>
            <w:proofErr w:type="spellEnd"/>
            <w:r w:rsidRPr="009D67D4">
              <w:rPr>
                <w:rFonts w:asciiTheme="minorHAnsi" w:hAnsiTheme="minorHAnsi" w:cstheme="minorHAnsi"/>
                <w:color w:val="FFFFFF"/>
              </w:rPr>
              <w:t xml:space="preserve"> Adj</w:t>
            </w:r>
          </w:p>
        </w:tc>
        <w:tc>
          <w:tcPr>
            <w:tcW w:w="1300" w:type="dxa"/>
            <w:tcBorders>
              <w:top w:val="nil"/>
              <w:left w:val="nil"/>
              <w:bottom w:val="single" w:sz="4" w:space="0" w:color="auto"/>
              <w:right w:val="single" w:sz="4" w:space="0" w:color="auto"/>
            </w:tcBorders>
            <w:shd w:val="clear" w:color="auto" w:fill="auto"/>
            <w:noWrap/>
            <w:vAlign w:val="bottom"/>
            <w:hideMark/>
          </w:tcPr>
          <w:p w14:paraId="0FBE16C0"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0.50%</w:t>
            </w:r>
          </w:p>
        </w:tc>
        <w:tc>
          <w:tcPr>
            <w:tcW w:w="1300" w:type="dxa"/>
            <w:tcBorders>
              <w:top w:val="nil"/>
              <w:left w:val="nil"/>
              <w:bottom w:val="single" w:sz="4" w:space="0" w:color="auto"/>
              <w:right w:val="single" w:sz="4" w:space="0" w:color="auto"/>
            </w:tcBorders>
            <w:shd w:val="clear" w:color="auto" w:fill="auto"/>
            <w:noWrap/>
            <w:vAlign w:val="bottom"/>
            <w:hideMark/>
          </w:tcPr>
          <w:p w14:paraId="0A7B7F19"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0.50%</w:t>
            </w:r>
          </w:p>
        </w:tc>
        <w:tc>
          <w:tcPr>
            <w:tcW w:w="1300" w:type="dxa"/>
            <w:tcBorders>
              <w:top w:val="nil"/>
              <w:left w:val="nil"/>
              <w:bottom w:val="single" w:sz="4" w:space="0" w:color="auto"/>
              <w:right w:val="single" w:sz="4" w:space="0" w:color="auto"/>
            </w:tcBorders>
            <w:shd w:val="clear" w:color="auto" w:fill="auto"/>
            <w:noWrap/>
            <w:vAlign w:val="bottom"/>
            <w:hideMark/>
          </w:tcPr>
          <w:p w14:paraId="3EC7902A"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0.60%</w:t>
            </w:r>
          </w:p>
        </w:tc>
        <w:tc>
          <w:tcPr>
            <w:tcW w:w="1480" w:type="dxa"/>
            <w:tcBorders>
              <w:top w:val="nil"/>
              <w:left w:val="nil"/>
              <w:bottom w:val="single" w:sz="4" w:space="0" w:color="auto"/>
              <w:right w:val="single" w:sz="4" w:space="0" w:color="auto"/>
            </w:tcBorders>
            <w:shd w:val="clear" w:color="auto" w:fill="auto"/>
            <w:noWrap/>
            <w:vAlign w:val="bottom"/>
            <w:hideMark/>
          </w:tcPr>
          <w:p w14:paraId="08F269F0"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0.40%</w:t>
            </w:r>
          </w:p>
        </w:tc>
      </w:tr>
      <w:tr w:rsidR="009D67D4" w:rsidRPr="009D67D4" w14:paraId="4556D9EA" w14:textId="77777777" w:rsidTr="009D67D4">
        <w:trPr>
          <w:trHeight w:val="320"/>
          <w:jc w:val="center"/>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085150CC" w14:textId="77777777" w:rsidR="009D67D4" w:rsidRPr="009D67D4" w:rsidRDefault="009D67D4" w:rsidP="00C0001F">
            <w:pPr>
              <w:jc w:val="center"/>
              <w:rPr>
                <w:rFonts w:asciiTheme="minorHAnsi" w:hAnsiTheme="minorHAnsi" w:cstheme="minorHAnsi"/>
                <w:color w:val="FFFFFF"/>
              </w:rPr>
            </w:pPr>
            <w:r w:rsidRPr="009D67D4">
              <w:rPr>
                <w:rFonts w:asciiTheme="minorHAnsi" w:hAnsiTheme="minorHAnsi" w:cstheme="minorHAnsi"/>
                <w:color w:val="FFFFFF"/>
              </w:rPr>
              <w:t xml:space="preserve">10y10y </w:t>
            </w:r>
            <w:proofErr w:type="spellStart"/>
            <w:r w:rsidRPr="009D67D4">
              <w:rPr>
                <w:rFonts w:asciiTheme="minorHAnsi" w:hAnsiTheme="minorHAnsi" w:cstheme="minorHAnsi"/>
                <w:color w:val="FFFFFF"/>
              </w:rPr>
              <w:t>fwd</w:t>
            </w:r>
            <w:proofErr w:type="spellEnd"/>
            <w:r w:rsidRPr="009D67D4">
              <w:rPr>
                <w:rFonts w:asciiTheme="minorHAnsi" w:hAnsiTheme="minorHAnsi" w:cstheme="minorHAnsi"/>
                <w:color w:val="FFFFFF"/>
              </w:rPr>
              <w:t xml:space="preserve"> yield</w:t>
            </w:r>
          </w:p>
        </w:tc>
        <w:tc>
          <w:tcPr>
            <w:tcW w:w="1300" w:type="dxa"/>
            <w:tcBorders>
              <w:top w:val="nil"/>
              <w:left w:val="nil"/>
              <w:bottom w:val="single" w:sz="4" w:space="0" w:color="auto"/>
              <w:right w:val="single" w:sz="4" w:space="0" w:color="auto"/>
            </w:tcBorders>
            <w:shd w:val="clear" w:color="auto" w:fill="auto"/>
            <w:noWrap/>
            <w:vAlign w:val="bottom"/>
            <w:hideMark/>
          </w:tcPr>
          <w:p w14:paraId="32955EE1"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5.56%</w:t>
            </w:r>
          </w:p>
        </w:tc>
        <w:tc>
          <w:tcPr>
            <w:tcW w:w="1300" w:type="dxa"/>
            <w:tcBorders>
              <w:top w:val="nil"/>
              <w:left w:val="nil"/>
              <w:bottom w:val="single" w:sz="4" w:space="0" w:color="auto"/>
              <w:right w:val="single" w:sz="4" w:space="0" w:color="auto"/>
            </w:tcBorders>
            <w:shd w:val="clear" w:color="auto" w:fill="auto"/>
            <w:noWrap/>
            <w:vAlign w:val="bottom"/>
            <w:hideMark/>
          </w:tcPr>
          <w:p w14:paraId="27659D21"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5.05%</w:t>
            </w:r>
          </w:p>
        </w:tc>
        <w:tc>
          <w:tcPr>
            <w:tcW w:w="1300" w:type="dxa"/>
            <w:tcBorders>
              <w:top w:val="nil"/>
              <w:left w:val="nil"/>
              <w:bottom w:val="single" w:sz="4" w:space="0" w:color="auto"/>
              <w:right w:val="single" w:sz="4" w:space="0" w:color="auto"/>
            </w:tcBorders>
            <w:shd w:val="clear" w:color="auto" w:fill="auto"/>
            <w:noWrap/>
            <w:vAlign w:val="bottom"/>
            <w:hideMark/>
          </w:tcPr>
          <w:p w14:paraId="0049C818"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6.38%</w:t>
            </w:r>
          </w:p>
        </w:tc>
        <w:tc>
          <w:tcPr>
            <w:tcW w:w="1480" w:type="dxa"/>
            <w:tcBorders>
              <w:top w:val="nil"/>
              <w:left w:val="nil"/>
              <w:bottom w:val="single" w:sz="4" w:space="0" w:color="auto"/>
              <w:right w:val="single" w:sz="4" w:space="0" w:color="auto"/>
            </w:tcBorders>
            <w:shd w:val="clear" w:color="auto" w:fill="auto"/>
            <w:noWrap/>
            <w:vAlign w:val="bottom"/>
            <w:hideMark/>
          </w:tcPr>
          <w:p w14:paraId="298DF0AD" w14:textId="77777777" w:rsidR="009D67D4" w:rsidRPr="009D67D4" w:rsidRDefault="009D67D4" w:rsidP="00C0001F">
            <w:pPr>
              <w:jc w:val="center"/>
              <w:rPr>
                <w:rFonts w:asciiTheme="minorHAnsi" w:hAnsiTheme="minorHAnsi" w:cstheme="minorHAnsi"/>
                <w:color w:val="000000"/>
              </w:rPr>
            </w:pPr>
            <w:r w:rsidRPr="009D67D4">
              <w:rPr>
                <w:rFonts w:asciiTheme="minorHAnsi" w:hAnsiTheme="minorHAnsi" w:cstheme="minorHAnsi"/>
                <w:color w:val="000000"/>
              </w:rPr>
              <w:t>4.22%</w:t>
            </w:r>
          </w:p>
        </w:tc>
      </w:tr>
    </w:tbl>
    <w:p w14:paraId="0C41BD60" w14:textId="26FF32FA" w:rsidR="00C0001F" w:rsidRPr="00F55F96" w:rsidRDefault="00C0001F" w:rsidP="001E4DB6">
      <w:pPr>
        <w:pStyle w:val="p1"/>
        <w:rPr>
          <w:rFonts w:asciiTheme="minorHAnsi" w:eastAsia="Times New Roman" w:hAnsiTheme="minorHAnsi" w:cstheme="minorHAnsi"/>
          <w:b/>
          <w:bCs/>
          <w:sz w:val="22"/>
          <w:szCs w:val="22"/>
          <w:lang w:val="en-US" w:eastAsia="en-US"/>
        </w:rPr>
      </w:pPr>
    </w:p>
    <w:p w14:paraId="0E7F4836" w14:textId="73454382" w:rsidR="00C0001F" w:rsidRPr="00F55F96" w:rsidRDefault="00C0001F" w:rsidP="00C0001F">
      <w:pPr>
        <w:spacing w:before="100" w:beforeAutospacing="1" w:after="100" w:afterAutospacing="1"/>
        <w:rPr>
          <w:rFonts w:asciiTheme="minorHAnsi" w:eastAsiaTheme="minorEastAsia" w:hAnsiTheme="minorHAnsi" w:cstheme="minorHAnsi"/>
          <w:sz w:val="22"/>
          <w:szCs w:val="22"/>
        </w:rPr>
      </w:pPr>
      <w:r w:rsidRPr="00C0001F">
        <w:rPr>
          <w:rFonts w:asciiTheme="minorHAnsi" w:eastAsiaTheme="minorEastAsia" w:hAnsiTheme="minorHAnsi" w:cstheme="minorHAnsi"/>
          <w:b/>
          <w:bCs/>
          <w:sz w:val="22"/>
          <w:szCs w:val="22"/>
        </w:rPr>
        <w:t>G7EURO rates</w:t>
      </w:r>
      <w:r w:rsidRPr="00C0001F">
        <w:rPr>
          <w:rFonts w:asciiTheme="minorHAnsi" w:eastAsiaTheme="minorEastAsia" w:hAnsiTheme="minorHAnsi" w:cstheme="minorHAnsi"/>
          <w:sz w:val="22"/>
          <w:szCs w:val="22"/>
        </w:rPr>
        <w:t xml:space="preserve"> represent a synthetic measure of Eurozone sovereign yields, constructed as a GDP-weighted average of the seven largest economies in the currency union. The weights are stable over time and capture approximately 85–90% of total Eurozone GDP, providing a robust and representative benchmark for the region’s core rate dynamics.</w:t>
      </w:r>
    </w:p>
    <w:p w14:paraId="7223BF2C" w14:textId="577C18D2" w:rsidR="00C0001F" w:rsidRPr="00F55F96" w:rsidRDefault="00C0001F" w:rsidP="00C0001F">
      <w:pPr>
        <w:spacing w:before="100" w:beforeAutospacing="1" w:after="100" w:afterAutospacing="1"/>
        <w:rPr>
          <w:rFonts w:asciiTheme="minorHAnsi" w:eastAsiaTheme="minorEastAsia" w:hAnsiTheme="minorHAnsi" w:cstheme="minorHAnsi"/>
          <w:sz w:val="22"/>
          <w:szCs w:val="22"/>
        </w:rPr>
      </w:pPr>
      <w:r w:rsidRPr="00C0001F">
        <w:rPr>
          <w:rFonts w:asciiTheme="minorHAnsi" w:eastAsiaTheme="minorEastAsia" w:hAnsiTheme="minorHAnsi" w:cstheme="minorHAnsi"/>
          <w:sz w:val="22"/>
          <w:szCs w:val="22"/>
        </w:rPr>
        <w:t xml:space="preserve">Long-dated repo spreads are not directly observable. In this framework, they are derived theoretically from the yield–CDS relation, </w:t>
      </w:r>
      <w:proofErr w:type="gramStart"/>
      <w:r w:rsidRPr="00C0001F">
        <w:rPr>
          <w:rFonts w:asciiTheme="minorHAnsi" w:eastAsiaTheme="minorEastAsia" w:hAnsiTheme="minorHAnsi" w:cstheme="minorHAnsi"/>
          <w:sz w:val="22"/>
          <w:szCs w:val="22"/>
        </w:rPr>
        <w:t>assuming that</w:t>
      </w:r>
      <w:proofErr w:type="gramEnd"/>
      <w:r w:rsidRPr="00C0001F">
        <w:rPr>
          <w:rFonts w:asciiTheme="minorHAnsi" w:eastAsiaTheme="minorEastAsia" w:hAnsiTheme="minorHAnsi" w:cstheme="minorHAnsi"/>
          <w:sz w:val="22"/>
          <w:szCs w:val="22"/>
        </w:rPr>
        <w:t xml:space="preserve"> domestic CDS levels correspond to roughly 70% of foreign-currency CDS (to account for the FX jump-to-default component). An additional balance-sheet cost is incorporated, proxied by a leverage ratio of 3.5–5.5%, a 10% cost of capital, and a 50% stickiness factor, which together imply a rental charge of ~10–12 bps. This provides a simple yet transparent methodology for forward yield estimation.</w:t>
      </w:r>
    </w:p>
    <w:p w14:paraId="4A078F9D" w14:textId="696C130D" w:rsidR="00DB4268" w:rsidRPr="00F55F96" w:rsidRDefault="00DB4268" w:rsidP="001E4DB6">
      <w:pPr>
        <w:pStyle w:val="Heading2"/>
        <w:spacing w:before="200" w:after="120"/>
        <w:rPr>
          <w:rFonts w:asciiTheme="minorHAnsi" w:hAnsiTheme="minorHAnsi" w:cstheme="minorHAnsi"/>
          <w:b/>
          <w:bCs/>
          <w:color w:val="4472C4" w:themeColor="accent1"/>
          <w:sz w:val="26"/>
          <w:szCs w:val="26"/>
        </w:rPr>
      </w:pPr>
      <w:r w:rsidRPr="00F55F96">
        <w:rPr>
          <w:rFonts w:asciiTheme="minorHAnsi" w:hAnsiTheme="minorHAnsi" w:cstheme="minorHAnsi"/>
          <w:b/>
          <w:bCs/>
          <w:color w:val="4472C4" w:themeColor="accent1"/>
          <w:sz w:val="26"/>
          <w:szCs w:val="26"/>
        </w:rPr>
        <w:t>The forward yield curve</w:t>
      </w:r>
    </w:p>
    <w:p w14:paraId="45245328" w14:textId="34EDA544" w:rsidR="00DB4268" w:rsidRPr="00F55F96" w:rsidRDefault="00DB4268" w:rsidP="0047068B">
      <w:pPr>
        <w:pStyle w:val="p3"/>
        <w:rPr>
          <w:rFonts w:asciiTheme="minorHAnsi" w:eastAsiaTheme="minorEastAsia" w:hAnsiTheme="minorHAnsi" w:cstheme="minorHAnsi"/>
          <w:sz w:val="22"/>
          <w:szCs w:val="22"/>
        </w:rPr>
      </w:pPr>
      <w:r w:rsidRPr="00F55F96">
        <w:rPr>
          <w:rFonts w:asciiTheme="minorHAnsi" w:eastAsiaTheme="minorEastAsia" w:hAnsiTheme="minorHAnsi" w:cstheme="minorHAnsi"/>
          <w:sz w:val="22"/>
          <w:szCs w:val="22"/>
        </w:rPr>
        <w:t>A standard bond yield curve is constructed from spot bond prices. By contrast, a forward yield curve is derived from the prices of forward-starting bonds. For any given issuer, it is possible to map an entire forward matrix, where each point represents a combination of forward start date (expiry) and tenor (maturity from that start date).</w:t>
      </w:r>
    </w:p>
    <w:p w14:paraId="44AA52DD" w14:textId="50AC0C54" w:rsidR="00DB4268" w:rsidRPr="00F55F96" w:rsidRDefault="00DB4268" w:rsidP="00DB4268">
      <w:pPr>
        <w:pStyle w:val="p3"/>
        <w:rPr>
          <w:rFonts w:asciiTheme="minorHAnsi" w:eastAsiaTheme="minorEastAsia" w:hAnsiTheme="minorHAnsi" w:cstheme="minorHAnsi"/>
          <w:sz w:val="22"/>
          <w:szCs w:val="22"/>
        </w:rPr>
      </w:pPr>
      <w:r w:rsidRPr="00F55F96">
        <w:rPr>
          <w:rFonts w:asciiTheme="minorHAnsi" w:eastAsiaTheme="minorEastAsia" w:hAnsiTheme="minorHAnsi" w:cstheme="minorHAnsi"/>
          <w:sz w:val="22"/>
          <w:szCs w:val="22"/>
        </w:rPr>
        <w:t>Fixing the tenor yields a forward curve for that maturity: a sequence of implied yields beginning at successive forward dates. For example, the U.S. Treasury 10-year forward curve shows the market’s implied yield on a 10-year Treasury starting in one year, two years, and so on — often extending twenty years or more.</w:t>
      </w:r>
    </w:p>
    <w:p w14:paraId="260F5DD2" w14:textId="6273C015" w:rsidR="00DB4268" w:rsidRPr="00F55F96" w:rsidRDefault="00DB4268" w:rsidP="00DB4268">
      <w:pPr>
        <w:pStyle w:val="p3"/>
        <w:rPr>
          <w:rFonts w:asciiTheme="minorHAnsi" w:hAnsiTheme="minorHAnsi" w:cstheme="minorHAnsi"/>
          <w:sz w:val="22"/>
          <w:szCs w:val="22"/>
        </w:rPr>
      </w:pPr>
      <w:r w:rsidRPr="00F55F96">
        <w:rPr>
          <w:rFonts w:asciiTheme="minorHAnsi" w:hAnsiTheme="minorHAnsi" w:cstheme="minorHAnsi"/>
          <w:sz w:val="22"/>
          <w:szCs w:val="22"/>
        </w:rPr>
        <w:t xml:space="preserve">This perspective is natural to derivatives traders, who routinely operate in terms of forward expectations, whereas spot bond traders focus on the yield implied today. The forward yield curve therefore lies at the intersection of these two views, with the secured financing market — </w:t>
      </w:r>
      <w:r w:rsidR="006D7102" w:rsidRPr="00F55F96">
        <w:rPr>
          <w:rFonts w:asciiTheme="minorHAnsi" w:hAnsiTheme="minorHAnsi" w:cstheme="minorHAnsi"/>
          <w:sz w:val="22"/>
          <w:szCs w:val="22"/>
        </w:rPr>
        <w:t>particularly</w:t>
      </w:r>
      <w:r w:rsidRPr="00F55F96">
        <w:rPr>
          <w:rFonts w:asciiTheme="minorHAnsi" w:hAnsiTheme="minorHAnsi" w:cstheme="minorHAnsi"/>
          <w:sz w:val="22"/>
          <w:szCs w:val="22"/>
        </w:rPr>
        <w:t xml:space="preserve"> the term repo market — acting as the bridge between them.</w:t>
      </w:r>
    </w:p>
    <w:p w14:paraId="2A10BE2C" w14:textId="3AA46B10" w:rsidR="00DB4268" w:rsidRPr="00F55F96" w:rsidRDefault="00DB4268" w:rsidP="00DB4268">
      <w:pPr>
        <w:pStyle w:val="p3"/>
        <w:rPr>
          <w:rFonts w:asciiTheme="minorHAnsi" w:hAnsiTheme="minorHAnsi" w:cstheme="minorHAnsi"/>
          <w:sz w:val="22"/>
          <w:szCs w:val="22"/>
        </w:rPr>
      </w:pPr>
      <w:r w:rsidRPr="00F55F96">
        <w:rPr>
          <w:rFonts w:asciiTheme="minorHAnsi" w:hAnsiTheme="minorHAnsi" w:cstheme="minorHAnsi"/>
          <w:sz w:val="22"/>
          <w:szCs w:val="22"/>
        </w:rPr>
        <w:lastRenderedPageBreak/>
        <w:t xml:space="preserve">Beyond five years, spot yield curves are often upward-sloping because they embed a term premium: the longer the horizon, the greater the uncertainty, and the higher the compensation demanded by investors. This contrasts with the </w:t>
      </w:r>
      <w:r w:rsidRPr="00F55F96">
        <w:rPr>
          <w:rFonts w:asciiTheme="minorHAnsi" w:hAnsiTheme="minorHAnsi" w:cstheme="minorHAnsi"/>
          <w:sz w:val="22"/>
          <w:szCs w:val="22"/>
        </w:rPr>
        <w:t>collateralized</w:t>
      </w:r>
      <w:r w:rsidRPr="00F55F96">
        <w:rPr>
          <w:rFonts w:asciiTheme="minorHAnsi" w:hAnsiTheme="minorHAnsi" w:cstheme="minorHAnsi"/>
          <w:sz w:val="22"/>
          <w:szCs w:val="22"/>
        </w:rPr>
        <w:t xml:space="preserve"> swap curve — a benchmark credit risk</w:t>
      </w:r>
      <w:r w:rsidRPr="00F55F96">
        <w:rPr>
          <w:rFonts w:asciiTheme="minorHAnsi" w:hAnsiTheme="minorHAnsi" w:cstheme="minorHAnsi"/>
          <w:sz w:val="22"/>
          <w:szCs w:val="22"/>
        </w:rPr>
        <w:t xml:space="preserve"> free</w:t>
      </w:r>
      <w:r w:rsidRPr="00F55F96">
        <w:rPr>
          <w:rFonts w:asciiTheme="minorHAnsi" w:hAnsiTheme="minorHAnsi" w:cstheme="minorHAnsi"/>
          <w:sz w:val="22"/>
          <w:szCs w:val="22"/>
        </w:rPr>
        <w:t xml:space="preserve"> and primarily used for hedging — where structural demand from pensions and insurers for long-dated duration frequently flattens the far end.</w:t>
      </w:r>
    </w:p>
    <w:p w14:paraId="1314BBA5" w14:textId="77777777" w:rsidR="009D67D4" w:rsidRPr="00F55F96" w:rsidRDefault="00DB4268" w:rsidP="009D67D4">
      <w:pPr>
        <w:pStyle w:val="p3"/>
        <w:rPr>
          <w:rFonts w:asciiTheme="minorHAnsi" w:hAnsiTheme="minorHAnsi" w:cstheme="minorHAnsi"/>
          <w:sz w:val="22"/>
          <w:szCs w:val="22"/>
        </w:rPr>
      </w:pPr>
      <w:r w:rsidRPr="00F55F96">
        <w:rPr>
          <w:rFonts w:asciiTheme="minorHAnsi" w:hAnsiTheme="minorHAnsi" w:cstheme="minorHAnsi"/>
          <w:sz w:val="22"/>
          <w:szCs w:val="22"/>
        </w:rPr>
        <w:t>The forward yield curve, however, often inherits — and in some cases amplifies — the steepness of the spot curve, especially when secured financing rates (term repo) remain well below bond yields. This steepness is not merely a geometric property: it mechanically embeds carry and term premium. Over time, forward yields converge toward spot yields, such that the forward bond buyer (the seller of term premium) is compensated for bearing the risk that the bond underperforms.</w:t>
      </w:r>
    </w:p>
    <w:p w14:paraId="1DA50BE2" w14:textId="220E2100" w:rsidR="00DB4268" w:rsidRPr="00F55F96" w:rsidRDefault="00DB4268" w:rsidP="009D67D4">
      <w:pPr>
        <w:pStyle w:val="p3"/>
        <w:rPr>
          <w:rFonts w:asciiTheme="minorHAnsi" w:hAnsiTheme="minorHAnsi" w:cstheme="minorHAnsi"/>
          <w:sz w:val="22"/>
          <w:szCs w:val="22"/>
        </w:rPr>
      </w:pPr>
      <w:r w:rsidRPr="00F55F96">
        <w:rPr>
          <w:rFonts w:asciiTheme="minorHAnsi" w:hAnsiTheme="minorHAnsi" w:cstheme="minorHAnsi"/>
          <w:sz w:val="22"/>
          <w:szCs w:val="22"/>
        </w:rPr>
        <w:t>When yield curves steepen and financing costs remain anchored, forward carry becomes the purest expression of term premium.</w:t>
      </w:r>
    </w:p>
    <w:p w14:paraId="2B2DE483" w14:textId="77777777" w:rsidR="002827DE" w:rsidRPr="00F55F96" w:rsidRDefault="002827DE" w:rsidP="002827DE">
      <w:pPr>
        <w:pStyle w:val="Heading2"/>
        <w:spacing w:before="200" w:after="120"/>
        <w:rPr>
          <w:rFonts w:asciiTheme="minorHAnsi" w:hAnsiTheme="minorHAnsi" w:cstheme="minorHAnsi"/>
          <w:b/>
          <w:bCs/>
          <w:color w:val="4472C4" w:themeColor="accent1"/>
          <w:sz w:val="26"/>
          <w:szCs w:val="26"/>
        </w:rPr>
      </w:pPr>
      <w:r w:rsidRPr="00F55F96">
        <w:rPr>
          <w:rFonts w:asciiTheme="minorHAnsi" w:hAnsiTheme="minorHAnsi" w:cstheme="minorHAnsi"/>
          <w:b/>
          <w:bCs/>
          <w:color w:val="4472C4" w:themeColor="accent1"/>
          <w:sz w:val="26"/>
          <w:szCs w:val="26"/>
        </w:rPr>
        <w:t>The carry embedded in forward yields</w:t>
      </w:r>
    </w:p>
    <w:p w14:paraId="1AA44B16" w14:textId="77777777" w:rsidR="002827DE" w:rsidRPr="00F55F96" w:rsidRDefault="002827DE" w:rsidP="002827DE">
      <w:pPr>
        <w:rPr>
          <w:rFonts w:asciiTheme="minorHAnsi" w:hAnsiTheme="minorHAnsi" w:cstheme="minorHAnsi"/>
        </w:rPr>
      </w:pPr>
    </w:p>
    <w:p w14:paraId="2BE14823" w14:textId="77777777" w:rsidR="002827DE" w:rsidRPr="00F55F96" w:rsidRDefault="002827DE" w:rsidP="002827DE">
      <w:pPr>
        <w:rPr>
          <w:rFonts w:asciiTheme="minorHAnsi" w:hAnsiTheme="minorHAnsi" w:cstheme="minorHAnsi"/>
        </w:rPr>
      </w:pPr>
      <w:r w:rsidRPr="00F55F96">
        <w:rPr>
          <w:rFonts w:asciiTheme="minorHAnsi" w:hAnsiTheme="minorHAnsi" w:cstheme="minorHAnsi"/>
        </w:rPr>
        <w:t>The carry of a forward yield is defined as the spread between the forward yield and the corresponding spot yield:</w:t>
      </w:r>
    </w:p>
    <w:p w14:paraId="7C992294" w14:textId="77777777" w:rsidR="002827DE" w:rsidRPr="00F55F96" w:rsidRDefault="002827DE" w:rsidP="002827DE">
      <w:pPr>
        <w:rPr>
          <w:rFonts w:asciiTheme="minorHAnsi" w:hAnsiTheme="minorHAnsi" w:cstheme="minorHAnsi"/>
        </w:rPr>
      </w:pPr>
    </w:p>
    <w:p w14:paraId="68E3992A" w14:textId="77777777" w:rsidR="002827DE" w:rsidRPr="00F55F96" w:rsidRDefault="002827DE" w:rsidP="002827DE">
      <w:pPr>
        <w:spacing w:after="120"/>
        <w:rPr>
          <w:rFonts w:asciiTheme="minorHAnsi" w:hAnsiTheme="minorHAnsi" w:cstheme="minorHAnsi"/>
        </w:rPr>
      </w:pPr>
      <m:oMathPara>
        <m:oMath>
          <m:r>
            <w:rPr>
              <w:rFonts w:ascii="Cambria Math" w:hAnsi="Cambria Math" w:cstheme="minorHAnsi"/>
            </w:rPr>
            <m:t>Carry=fwdYiel</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r>
            <w:rPr>
              <w:rFonts w:ascii="Cambria Math" w:hAnsi="Cambria Math" w:cstheme="minorHAnsi"/>
            </w:rPr>
            <m:t>-spotYiel</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0</m:t>
              </m:r>
            </m:sub>
          </m:sSub>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oMath>
      </m:oMathPara>
    </w:p>
    <w:p w14:paraId="081D4776" w14:textId="77777777" w:rsidR="002827DE" w:rsidRPr="00F55F96" w:rsidRDefault="002827DE" w:rsidP="002827DE">
      <w:pPr>
        <w:rPr>
          <w:rFonts w:asciiTheme="minorHAnsi" w:hAnsiTheme="minorHAnsi" w:cstheme="minorHAnsi"/>
        </w:rPr>
      </w:pPr>
      <w:r w:rsidRPr="00F55F96">
        <w:rPr>
          <w:rFonts w:asciiTheme="minorHAnsi" w:hAnsiTheme="minorHAnsi" w:cstheme="minorHAnsi"/>
        </w:rPr>
        <w:t>This spread reflects three main drivers:</w:t>
      </w:r>
    </w:p>
    <w:p w14:paraId="30675B10" w14:textId="77777777" w:rsidR="002827DE" w:rsidRPr="00F55F96" w:rsidRDefault="002827DE" w:rsidP="002827DE">
      <w:pPr>
        <w:spacing w:after="120"/>
        <w:rPr>
          <w:rFonts w:asciiTheme="minorHAnsi" w:hAnsiTheme="minorHAnsi" w:cstheme="minorHAnsi"/>
        </w:rPr>
      </w:pPr>
    </w:p>
    <w:p w14:paraId="70BD9E19" w14:textId="5F2FEA26" w:rsidR="002827DE" w:rsidRPr="00F55F96" w:rsidRDefault="002827DE" w:rsidP="002827DE">
      <w:pPr>
        <w:spacing w:after="120"/>
        <w:rPr>
          <w:rFonts w:asciiTheme="minorHAnsi" w:hAnsiTheme="minorHAnsi" w:cstheme="minorHAnsi"/>
        </w:rPr>
      </w:pPr>
      <m:oMathPara>
        <m:oMath>
          <m:r>
            <w:rPr>
              <w:rFonts w:ascii="Cambria Math" w:hAnsi="Cambria Math" w:cstheme="minorHAnsi"/>
            </w:rPr>
            <m:t>Carry=Slope</m:t>
          </m:r>
          <m:r>
            <w:rPr>
              <w:rFonts w:ascii="Cambria Math" w:hAnsi="Cambria Math" w:cstheme="minorHAnsi"/>
            </w:rPr>
            <m:t>Carry</m:t>
          </m:r>
          <m:r>
            <w:rPr>
              <w:rFonts w:ascii="Cambria Math" w:hAnsi="Cambria Math" w:cstheme="minorHAnsi"/>
            </w:rPr>
            <m:t xml:space="preserve"> </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n</m:t>
                  </m:r>
                </m:sub>
              </m:sSub>
            </m:e>
          </m:d>
          <m:r>
            <w:rPr>
              <w:rFonts w:ascii="Cambria Math" w:hAnsi="Cambria Math" w:cstheme="minorHAnsi"/>
            </w:rPr>
            <m:t>+Financing</m:t>
          </m:r>
          <m:r>
            <w:rPr>
              <w:rFonts w:ascii="Cambria Math" w:hAnsi="Cambria Math" w:cstheme="minorHAnsi"/>
            </w:rPr>
            <m:t>Carry</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e>
          </m:d>
          <m:r>
            <w:rPr>
              <w:rFonts w:ascii="Cambria Math" w:hAnsi="Cambria Math" w:cstheme="minorHAnsi"/>
            </w:rPr>
            <m:t>+Convexity</m:t>
          </m:r>
          <m:r>
            <w:rPr>
              <w:rFonts w:ascii="Cambria Math" w:hAnsi="Cambria Math" w:cstheme="minorHAnsi"/>
            </w:rPr>
            <m:t>Carry</m:t>
          </m:r>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m:t>
              </m:r>
            </m:sub>
          </m:sSub>
          <m:r>
            <w:rPr>
              <w:rFonts w:ascii="Cambria Math" w:hAnsi="Cambria Math" w:cstheme="minorHAnsi"/>
            </w:rPr>
            <m:t>)</m:t>
          </m:r>
        </m:oMath>
      </m:oMathPara>
    </w:p>
    <w:p w14:paraId="4FDAA107" w14:textId="77777777" w:rsidR="002827DE" w:rsidRPr="00F55F96" w:rsidRDefault="002827DE" w:rsidP="002827DE">
      <w:pPr>
        <w:rPr>
          <w:rFonts w:asciiTheme="minorHAnsi" w:hAnsiTheme="minorHAnsi" w:cstheme="minorHAnsi"/>
        </w:rPr>
      </w:pPr>
    </w:p>
    <w:p w14:paraId="009EF279" w14:textId="518CBCF7" w:rsidR="002827DE" w:rsidRPr="00F55F96" w:rsidRDefault="002827DE" w:rsidP="002827DE">
      <w:pPr>
        <w:pStyle w:val="ListParagraph"/>
        <w:numPr>
          <w:ilvl w:val="0"/>
          <w:numId w:val="4"/>
        </w:numPr>
        <w:spacing w:after="0"/>
        <w:rPr>
          <w:rFonts w:cstheme="minorHAnsi"/>
        </w:rPr>
      </w:pPr>
      <w:proofErr w:type="spellStart"/>
      <w:r w:rsidRPr="00F55F96">
        <w:rPr>
          <w:rFonts w:cstheme="minorHAnsi"/>
          <w:b/>
          <w:bCs/>
          <w:i/>
          <w:iCs/>
        </w:rPr>
        <w:t>Slope</w:t>
      </w:r>
      <w:r w:rsidR="001E4DB6" w:rsidRPr="00F55F96">
        <w:rPr>
          <w:rFonts w:cstheme="minorHAnsi"/>
          <w:b/>
          <w:bCs/>
          <w:i/>
          <w:iCs/>
        </w:rPr>
        <w:t>Carry</w:t>
      </w:r>
      <w:proofErr w:type="spellEnd"/>
      <w:r w:rsidRPr="00F55F96">
        <w:rPr>
          <w:rFonts w:cstheme="minorHAnsi"/>
        </w:rPr>
        <w:t xml:space="preserve"> captures the contribution of the spot yield curve’s slope between short and long maturities</w:t>
      </w:r>
    </w:p>
    <w:p w14:paraId="6CC8C87F" w14:textId="1A1AFB80" w:rsidR="002827DE" w:rsidRPr="00F55F96" w:rsidRDefault="002827DE" w:rsidP="002827DE">
      <w:pPr>
        <w:pStyle w:val="ListParagraph"/>
        <w:numPr>
          <w:ilvl w:val="0"/>
          <w:numId w:val="4"/>
        </w:numPr>
        <w:spacing w:after="0"/>
        <w:rPr>
          <w:rFonts w:cstheme="minorHAnsi"/>
        </w:rPr>
      </w:pPr>
      <w:proofErr w:type="spellStart"/>
      <w:r w:rsidRPr="00F55F96">
        <w:rPr>
          <w:rFonts w:cstheme="minorHAnsi"/>
          <w:b/>
          <w:bCs/>
          <w:i/>
          <w:iCs/>
        </w:rPr>
        <w:t>Financing</w:t>
      </w:r>
      <w:r w:rsidR="001E4DB6" w:rsidRPr="00F55F96">
        <w:rPr>
          <w:rFonts w:cstheme="minorHAnsi"/>
          <w:b/>
          <w:bCs/>
          <w:i/>
          <w:iCs/>
        </w:rPr>
        <w:t>Carry</w:t>
      </w:r>
      <w:proofErr w:type="spellEnd"/>
      <w:r w:rsidRPr="00F55F96">
        <w:rPr>
          <w:rFonts w:cstheme="minorHAnsi"/>
        </w:rPr>
        <w:t xml:space="preserve"> reflects the gap between bond yields and secured funding costs (term repo)</w:t>
      </w:r>
    </w:p>
    <w:p w14:paraId="4A71ABD9" w14:textId="182F1C98" w:rsidR="002827DE" w:rsidRPr="00F55F96" w:rsidRDefault="002827DE" w:rsidP="002827DE">
      <w:pPr>
        <w:pStyle w:val="ListParagraph"/>
        <w:numPr>
          <w:ilvl w:val="0"/>
          <w:numId w:val="4"/>
        </w:numPr>
        <w:spacing w:after="0"/>
        <w:rPr>
          <w:rFonts w:cstheme="minorHAnsi"/>
        </w:rPr>
      </w:pPr>
      <w:proofErr w:type="spellStart"/>
      <w:r w:rsidRPr="00F55F96">
        <w:rPr>
          <w:rFonts w:cstheme="minorHAnsi"/>
          <w:b/>
          <w:bCs/>
          <w:i/>
          <w:iCs/>
        </w:rPr>
        <w:t>Convexit</w:t>
      </w:r>
      <w:r w:rsidR="001E4DB6" w:rsidRPr="00F55F96">
        <w:rPr>
          <w:rFonts w:cstheme="minorHAnsi"/>
          <w:b/>
          <w:bCs/>
          <w:i/>
          <w:iCs/>
        </w:rPr>
        <w:t>y</w:t>
      </w:r>
      <w:r w:rsidR="001E4DB6" w:rsidRPr="00F55F96">
        <w:rPr>
          <w:rFonts w:cstheme="minorHAnsi"/>
          <w:b/>
          <w:bCs/>
          <w:i/>
          <w:iCs/>
        </w:rPr>
        <w:t>Carr</w:t>
      </w:r>
      <w:r w:rsidRPr="00F55F96">
        <w:rPr>
          <w:rFonts w:cstheme="minorHAnsi"/>
          <w:b/>
          <w:bCs/>
          <w:i/>
          <w:iCs/>
        </w:rPr>
        <w:t>y</w:t>
      </w:r>
      <w:proofErr w:type="spellEnd"/>
      <w:r w:rsidRPr="00F55F96">
        <w:rPr>
          <w:rFonts w:cstheme="minorHAnsi"/>
          <w:b/>
          <w:bCs/>
        </w:rPr>
        <w:t xml:space="preserve"> </w:t>
      </w:r>
      <w:r w:rsidRPr="00F55F96">
        <w:rPr>
          <w:rFonts w:cstheme="minorHAnsi"/>
        </w:rPr>
        <w:t>incorporates the convexity adjustment arising from the non-linear impact of duration hedging and interest rate volatility.</w:t>
      </w:r>
    </w:p>
    <w:p w14:paraId="5C42CA9A" w14:textId="77777777" w:rsidR="001E4DB6" w:rsidRPr="00F55F96" w:rsidRDefault="001E4DB6" w:rsidP="001E4DB6">
      <w:pPr>
        <w:pStyle w:val="ListParagraph"/>
        <w:spacing w:after="0"/>
        <w:rPr>
          <w:rFonts w:cstheme="minorHAnsi"/>
        </w:rPr>
      </w:pPr>
    </w:p>
    <w:p w14:paraId="6A7F3506" w14:textId="61E25239" w:rsidR="001E4DB6" w:rsidRPr="00F55F96" w:rsidRDefault="001E4DB6" w:rsidP="001E4DB6">
      <w:pPr>
        <w:rPr>
          <w:rFonts w:asciiTheme="minorHAnsi" w:hAnsiTheme="minorHAnsi" w:cstheme="minorHAnsi"/>
          <w:b/>
          <w:bCs/>
        </w:rPr>
      </w:pPr>
      <w:r w:rsidRPr="00F55F96">
        <w:rPr>
          <w:rFonts w:asciiTheme="minorHAnsi" w:hAnsiTheme="minorHAnsi" w:cstheme="minorHAnsi"/>
          <w:b/>
          <w:bCs/>
        </w:rPr>
        <w:t>Intuition</w:t>
      </w:r>
      <w:r w:rsidRPr="00F55F96">
        <w:rPr>
          <w:rFonts w:asciiTheme="minorHAnsi" w:hAnsiTheme="minorHAnsi" w:cstheme="minorHAnsi"/>
          <w:b/>
          <w:bCs/>
        </w:rPr>
        <w:t xml:space="preserve"> behind the formula</w:t>
      </w:r>
    </w:p>
    <w:p w14:paraId="2D2207C4" w14:textId="77777777" w:rsidR="001E4DB6" w:rsidRPr="00F55F96" w:rsidRDefault="001E4DB6" w:rsidP="001E4DB6">
      <w:pPr>
        <w:rPr>
          <w:rFonts w:asciiTheme="minorHAnsi" w:hAnsiTheme="minorHAnsi" w:cstheme="minorHAnsi"/>
        </w:rPr>
      </w:pPr>
    </w:p>
    <w:p w14:paraId="0D90A2DA" w14:textId="77777777" w:rsidR="001E4DB6" w:rsidRPr="00F55F96" w:rsidRDefault="001E4DB6" w:rsidP="001E4DB6">
      <w:pPr>
        <w:rPr>
          <w:rFonts w:asciiTheme="minorHAnsi" w:hAnsiTheme="minorHAnsi" w:cstheme="minorHAnsi"/>
        </w:rPr>
      </w:pPr>
      <w:r w:rsidRPr="00F55F96">
        <w:rPr>
          <w:rFonts w:asciiTheme="minorHAnsi" w:hAnsiTheme="minorHAnsi" w:cstheme="minorHAnsi"/>
        </w:rPr>
        <w:t>This decomposition can be understood through a practical example. Consider the 5-year forward 10-year OAT:</w:t>
      </w:r>
    </w:p>
    <w:p w14:paraId="00C444F7" w14:textId="77777777" w:rsidR="001E4DB6" w:rsidRPr="00F55F96" w:rsidRDefault="001E4DB6" w:rsidP="001E4DB6">
      <w:pPr>
        <w:pStyle w:val="ListParagraph"/>
        <w:numPr>
          <w:ilvl w:val="0"/>
          <w:numId w:val="5"/>
        </w:numPr>
        <w:spacing w:after="0"/>
        <w:rPr>
          <w:rFonts w:cstheme="minorHAnsi"/>
        </w:rPr>
      </w:pPr>
      <w:r w:rsidRPr="00F55F96">
        <w:rPr>
          <w:rFonts w:cstheme="minorHAnsi"/>
        </w:rPr>
        <w:t>The slope effect is reflected in the spread between the 15-year and the 10-year spot yields</w:t>
      </w:r>
    </w:p>
    <w:p w14:paraId="04965AF3" w14:textId="77777777" w:rsidR="001E4DB6" w:rsidRPr="00F55F96" w:rsidRDefault="001E4DB6" w:rsidP="001E4DB6">
      <w:pPr>
        <w:pStyle w:val="ListParagraph"/>
        <w:numPr>
          <w:ilvl w:val="0"/>
          <w:numId w:val="5"/>
        </w:numPr>
        <w:spacing w:after="0"/>
        <w:rPr>
          <w:rFonts w:cstheme="minorHAnsi"/>
        </w:rPr>
      </w:pPr>
      <w:r w:rsidRPr="00F55F96">
        <w:rPr>
          <w:rFonts w:cstheme="minorHAnsi"/>
        </w:rPr>
        <w:t>The financing effect corresponds to the spread between the 15-year yield and the 5-year refinancing rate</w:t>
      </w:r>
    </w:p>
    <w:p w14:paraId="172BDDFE" w14:textId="77777777" w:rsidR="001E4DB6" w:rsidRPr="00F55F96" w:rsidRDefault="001E4DB6" w:rsidP="001E4DB6">
      <w:pPr>
        <w:pStyle w:val="ListParagraph"/>
        <w:numPr>
          <w:ilvl w:val="0"/>
          <w:numId w:val="5"/>
        </w:numPr>
        <w:spacing w:after="0"/>
        <w:rPr>
          <w:rFonts w:cstheme="minorHAnsi"/>
        </w:rPr>
      </w:pPr>
      <w:r w:rsidRPr="00F55F96">
        <w:rPr>
          <w:rFonts w:cstheme="minorHAnsi"/>
        </w:rPr>
        <w:t>The convexity effect depends on 5-year volatility, which determines the cost of adjusting the hedge as rates fluctuate.</w:t>
      </w:r>
    </w:p>
    <w:p w14:paraId="08F023B8" w14:textId="77777777" w:rsidR="001E4DB6" w:rsidRPr="00F55F96" w:rsidRDefault="001E4DB6" w:rsidP="001E4DB6">
      <w:pPr>
        <w:pStyle w:val="ListParagraph"/>
        <w:spacing w:after="0"/>
        <w:rPr>
          <w:rFonts w:cstheme="minorHAnsi"/>
        </w:rPr>
      </w:pPr>
    </w:p>
    <w:p w14:paraId="7F96FBC8" w14:textId="77777777" w:rsidR="001E4DB6" w:rsidRPr="00F55F96" w:rsidRDefault="001E4DB6" w:rsidP="001E4DB6">
      <w:pPr>
        <w:rPr>
          <w:rFonts w:asciiTheme="minorHAnsi" w:hAnsiTheme="minorHAnsi" w:cstheme="minorHAnsi"/>
        </w:rPr>
      </w:pPr>
      <w:r w:rsidRPr="00F55F96">
        <w:rPr>
          <w:rFonts w:asciiTheme="minorHAnsi" w:hAnsiTheme="minorHAnsi" w:cstheme="minorHAnsi"/>
        </w:rPr>
        <w:t>Carry tends to be significant when three conditions coincide:</w:t>
      </w:r>
    </w:p>
    <w:p w14:paraId="5E46171C" w14:textId="77777777" w:rsidR="001E4DB6" w:rsidRPr="00F55F96" w:rsidRDefault="001E4DB6" w:rsidP="001E4DB6">
      <w:pPr>
        <w:rPr>
          <w:rFonts w:asciiTheme="minorHAnsi" w:hAnsiTheme="minorHAnsi" w:cstheme="minorHAnsi"/>
        </w:rPr>
      </w:pPr>
      <w:r w:rsidRPr="00F55F96">
        <w:rPr>
          <w:rFonts w:asciiTheme="minorHAnsi" w:hAnsiTheme="minorHAnsi" w:cstheme="minorHAnsi"/>
        </w:rPr>
        <w:lastRenderedPageBreak/>
        <w:tab/>
        <w:t>1.</w:t>
      </w:r>
      <w:r w:rsidRPr="00F55F96">
        <w:rPr>
          <w:rFonts w:asciiTheme="minorHAnsi" w:hAnsiTheme="minorHAnsi" w:cstheme="minorHAnsi"/>
        </w:rPr>
        <w:tab/>
        <w:t>A steep yield curve, embedding substantial term premium.</w:t>
      </w:r>
    </w:p>
    <w:p w14:paraId="41F18189" w14:textId="77777777" w:rsidR="001E4DB6" w:rsidRPr="00F55F96" w:rsidRDefault="001E4DB6" w:rsidP="001E4DB6">
      <w:pPr>
        <w:rPr>
          <w:rFonts w:asciiTheme="minorHAnsi" w:hAnsiTheme="minorHAnsi" w:cstheme="minorHAnsi"/>
        </w:rPr>
      </w:pPr>
      <w:r w:rsidRPr="00F55F96">
        <w:rPr>
          <w:rFonts w:asciiTheme="minorHAnsi" w:hAnsiTheme="minorHAnsi" w:cstheme="minorHAnsi"/>
        </w:rPr>
        <w:tab/>
        <w:t>2.</w:t>
      </w:r>
      <w:r w:rsidRPr="00F55F96">
        <w:rPr>
          <w:rFonts w:asciiTheme="minorHAnsi" w:hAnsiTheme="minorHAnsi" w:cstheme="minorHAnsi"/>
        </w:rPr>
        <w:tab/>
        <w:t>Accommodative funding conditions, with term repo rates well below bond yields.</w:t>
      </w:r>
    </w:p>
    <w:p w14:paraId="690341FA" w14:textId="77777777" w:rsidR="001E4DB6" w:rsidRPr="00F55F96" w:rsidRDefault="001E4DB6" w:rsidP="001E4DB6">
      <w:pPr>
        <w:rPr>
          <w:rFonts w:asciiTheme="minorHAnsi" w:hAnsiTheme="minorHAnsi" w:cstheme="minorHAnsi"/>
        </w:rPr>
      </w:pPr>
      <w:r w:rsidRPr="00F55F96">
        <w:rPr>
          <w:rFonts w:asciiTheme="minorHAnsi" w:hAnsiTheme="minorHAnsi" w:cstheme="minorHAnsi"/>
        </w:rPr>
        <w:tab/>
        <w:t>3.</w:t>
      </w:r>
      <w:r w:rsidRPr="00F55F96">
        <w:rPr>
          <w:rFonts w:asciiTheme="minorHAnsi" w:hAnsiTheme="minorHAnsi" w:cstheme="minorHAnsi"/>
        </w:rPr>
        <w:tab/>
        <w:t>Elevated volatility, reflecting uncertainty in the path of interest rates.</w:t>
      </w:r>
    </w:p>
    <w:p w14:paraId="29EBC2F8" w14:textId="77777777" w:rsidR="002827DE" w:rsidRPr="00F55F96" w:rsidRDefault="002827DE" w:rsidP="002827DE">
      <w:pPr>
        <w:rPr>
          <w:rFonts w:asciiTheme="minorHAnsi" w:hAnsiTheme="minorHAnsi" w:cstheme="minorHAnsi"/>
        </w:rPr>
      </w:pPr>
    </w:p>
    <w:p w14:paraId="18B7A5BF" w14:textId="77777777" w:rsidR="00F71B90" w:rsidRPr="00F55F96" w:rsidRDefault="00F71B90" w:rsidP="001E4DB6">
      <w:pPr>
        <w:rPr>
          <w:rFonts w:asciiTheme="minorHAnsi" w:hAnsiTheme="minorHAnsi" w:cstheme="minorHAnsi"/>
          <w:b/>
          <w:bCs/>
        </w:rPr>
      </w:pPr>
    </w:p>
    <w:p w14:paraId="44F2F97B" w14:textId="00526460" w:rsidR="001E4DB6" w:rsidRPr="00F55F96" w:rsidRDefault="00E82C89" w:rsidP="001E4DB6">
      <w:pPr>
        <w:rPr>
          <w:rFonts w:asciiTheme="minorHAnsi" w:hAnsiTheme="minorHAnsi" w:cstheme="minorHAnsi"/>
          <w:b/>
          <w:bCs/>
        </w:rPr>
      </w:pPr>
      <w:r w:rsidRPr="00F55F96">
        <w:rPr>
          <w:rFonts w:asciiTheme="minorHAnsi" w:hAnsiTheme="minorHAnsi" w:cstheme="minorHAnsi"/>
          <w:b/>
          <w:bCs/>
        </w:rPr>
        <w:t>Application: theoretical</w:t>
      </w:r>
      <w:r w:rsidR="001E4DB6" w:rsidRPr="00F55F96">
        <w:rPr>
          <w:rFonts w:asciiTheme="minorHAnsi" w:hAnsiTheme="minorHAnsi" w:cstheme="minorHAnsi"/>
          <w:b/>
          <w:bCs/>
        </w:rPr>
        <w:t xml:space="preserve"> carry </w:t>
      </w:r>
      <w:r w:rsidR="009D67D4" w:rsidRPr="00F55F96">
        <w:rPr>
          <w:rFonts w:asciiTheme="minorHAnsi" w:hAnsiTheme="minorHAnsi" w:cstheme="minorHAnsi"/>
          <w:b/>
          <w:bCs/>
          <w:sz w:val="22"/>
          <w:szCs w:val="22"/>
        </w:rPr>
        <w:t>Forward yield 10y10y</w:t>
      </w:r>
    </w:p>
    <w:p w14:paraId="3859B85A" w14:textId="77777777" w:rsidR="001E4DB6" w:rsidRPr="00F55F96" w:rsidRDefault="001E4DB6" w:rsidP="001E4DB6">
      <w:pPr>
        <w:rPr>
          <w:rFonts w:asciiTheme="minorHAnsi" w:hAnsiTheme="minorHAnsi" w:cstheme="minorHAnsi"/>
        </w:rPr>
      </w:pPr>
    </w:p>
    <w:p w14:paraId="14D3E465" w14:textId="77777777" w:rsidR="00F71B90" w:rsidRPr="00F55F96" w:rsidRDefault="00F71B90" w:rsidP="001E4DB6">
      <w:pPr>
        <w:rPr>
          <w:rFonts w:asciiTheme="minorHAnsi" w:hAnsiTheme="minorHAnsi" w:cstheme="minorHAnsi"/>
        </w:rPr>
      </w:pPr>
    </w:p>
    <w:p w14:paraId="7A52D48D" w14:textId="77777777" w:rsidR="00F71B90" w:rsidRPr="00F55F96" w:rsidRDefault="00F71B90" w:rsidP="00C0001F">
      <w:pPr>
        <w:ind w:left="720"/>
        <w:rPr>
          <w:rFonts w:asciiTheme="minorHAnsi" w:hAnsiTheme="minorHAnsi" w:cstheme="minorHAnsi"/>
        </w:rPr>
      </w:pPr>
    </w:p>
    <w:p w14:paraId="63072E96" w14:textId="77777777" w:rsidR="00F71B90" w:rsidRPr="00F55F96" w:rsidRDefault="00F71B90" w:rsidP="00C0001F">
      <w:pPr>
        <w:ind w:left="720"/>
        <w:jc w:val="center"/>
        <w:rPr>
          <w:rFonts w:asciiTheme="minorHAnsi" w:hAnsiTheme="minorHAnsi" w:cstheme="minorHAnsi"/>
        </w:rPr>
      </w:pPr>
    </w:p>
    <w:tbl>
      <w:tblPr>
        <w:tblW w:w="7200" w:type="dxa"/>
        <w:tblInd w:w="720" w:type="dxa"/>
        <w:tblLook w:val="04A0" w:firstRow="1" w:lastRow="0" w:firstColumn="1" w:lastColumn="0" w:noHBand="0" w:noVBand="1"/>
      </w:tblPr>
      <w:tblGrid>
        <w:gridCol w:w="2000"/>
        <w:gridCol w:w="1300"/>
        <w:gridCol w:w="1300"/>
        <w:gridCol w:w="1300"/>
        <w:gridCol w:w="1300"/>
      </w:tblGrid>
      <w:tr w:rsidR="009D67D4" w:rsidRPr="00F55F96" w14:paraId="79F91584" w14:textId="77777777" w:rsidTr="00C0001F">
        <w:trPr>
          <w:trHeight w:val="320"/>
        </w:trPr>
        <w:tc>
          <w:tcPr>
            <w:tcW w:w="2000" w:type="dxa"/>
            <w:tcBorders>
              <w:top w:val="nil"/>
              <w:left w:val="nil"/>
              <w:bottom w:val="nil"/>
              <w:right w:val="nil"/>
            </w:tcBorders>
            <w:shd w:val="clear" w:color="auto" w:fill="auto"/>
            <w:noWrap/>
            <w:vAlign w:val="bottom"/>
            <w:hideMark/>
          </w:tcPr>
          <w:p w14:paraId="34621614" w14:textId="77777777" w:rsidR="009D67D4" w:rsidRPr="00F55F96" w:rsidRDefault="009D67D4" w:rsidP="00C0001F">
            <w:pPr>
              <w:jc w:val="center"/>
              <w:rPr>
                <w:rFonts w:asciiTheme="minorHAnsi" w:hAnsiTheme="minorHAnsi" w:cstheme="minorHAnsi"/>
                <w:sz w:val="20"/>
                <w:szCs w:val="20"/>
              </w:rPr>
            </w:pPr>
          </w:p>
        </w:tc>
        <w:tc>
          <w:tcPr>
            <w:tcW w:w="1300" w:type="dxa"/>
            <w:tcBorders>
              <w:top w:val="single" w:sz="4" w:space="0" w:color="auto"/>
              <w:left w:val="single" w:sz="4" w:space="0" w:color="auto"/>
              <w:bottom w:val="single" w:sz="4" w:space="0" w:color="auto"/>
              <w:right w:val="single" w:sz="4" w:space="0" w:color="auto"/>
            </w:tcBorders>
            <w:shd w:val="clear" w:color="000000" w:fill="747474"/>
            <w:noWrap/>
            <w:vAlign w:val="bottom"/>
            <w:hideMark/>
          </w:tcPr>
          <w:p w14:paraId="31F5CEF0" w14:textId="4ED10B8D"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OAT</w:t>
            </w:r>
          </w:p>
        </w:tc>
        <w:tc>
          <w:tcPr>
            <w:tcW w:w="1300" w:type="dxa"/>
            <w:tcBorders>
              <w:top w:val="single" w:sz="4" w:space="0" w:color="auto"/>
              <w:left w:val="nil"/>
              <w:bottom w:val="single" w:sz="4" w:space="0" w:color="auto"/>
              <w:right w:val="single" w:sz="4" w:space="0" w:color="auto"/>
            </w:tcBorders>
            <w:shd w:val="clear" w:color="000000" w:fill="747474"/>
            <w:noWrap/>
            <w:vAlign w:val="bottom"/>
            <w:hideMark/>
          </w:tcPr>
          <w:p w14:paraId="3E10A694"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G7EURO</w:t>
            </w:r>
          </w:p>
        </w:tc>
        <w:tc>
          <w:tcPr>
            <w:tcW w:w="1300" w:type="dxa"/>
            <w:tcBorders>
              <w:top w:val="single" w:sz="4" w:space="0" w:color="auto"/>
              <w:left w:val="nil"/>
              <w:bottom w:val="single" w:sz="4" w:space="0" w:color="auto"/>
              <w:right w:val="single" w:sz="4" w:space="0" w:color="auto"/>
            </w:tcBorders>
            <w:shd w:val="clear" w:color="000000" w:fill="747474"/>
            <w:noWrap/>
            <w:vAlign w:val="bottom"/>
            <w:hideMark/>
          </w:tcPr>
          <w:p w14:paraId="1FD349FE"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UST</w:t>
            </w:r>
          </w:p>
        </w:tc>
        <w:tc>
          <w:tcPr>
            <w:tcW w:w="1300" w:type="dxa"/>
            <w:tcBorders>
              <w:top w:val="single" w:sz="4" w:space="0" w:color="auto"/>
              <w:left w:val="nil"/>
              <w:bottom w:val="single" w:sz="4" w:space="0" w:color="auto"/>
              <w:right w:val="single" w:sz="4" w:space="0" w:color="auto"/>
            </w:tcBorders>
            <w:shd w:val="clear" w:color="000000" w:fill="747474"/>
            <w:noWrap/>
            <w:vAlign w:val="bottom"/>
            <w:hideMark/>
          </w:tcPr>
          <w:p w14:paraId="07CA6108"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JPY</w:t>
            </w:r>
          </w:p>
        </w:tc>
      </w:tr>
      <w:tr w:rsidR="009D67D4" w:rsidRPr="00F55F96" w14:paraId="1073179D" w14:textId="77777777" w:rsidTr="00C0001F">
        <w:trPr>
          <w:trHeight w:val="320"/>
        </w:trPr>
        <w:tc>
          <w:tcPr>
            <w:tcW w:w="2000" w:type="dxa"/>
            <w:tcBorders>
              <w:top w:val="single" w:sz="4" w:space="0" w:color="auto"/>
              <w:left w:val="single" w:sz="4" w:space="0" w:color="auto"/>
              <w:bottom w:val="single" w:sz="4" w:space="0" w:color="auto"/>
              <w:right w:val="single" w:sz="4" w:space="0" w:color="auto"/>
            </w:tcBorders>
            <w:shd w:val="clear" w:color="000000" w:fill="747474"/>
            <w:noWrap/>
            <w:vAlign w:val="bottom"/>
            <w:hideMark/>
          </w:tcPr>
          <w:p w14:paraId="63BB7032" w14:textId="1EEA38CC"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Gross</w:t>
            </w:r>
            <w:r w:rsidRPr="00F55F96">
              <w:rPr>
                <w:rFonts w:asciiTheme="minorHAnsi" w:hAnsiTheme="minorHAnsi" w:cstheme="minorHAnsi"/>
                <w:color w:val="FFFFFF"/>
              </w:rPr>
              <w:t xml:space="preserve"> </w:t>
            </w:r>
            <w:r w:rsidRPr="00F55F96">
              <w:rPr>
                <w:rFonts w:asciiTheme="minorHAnsi" w:hAnsiTheme="minorHAnsi" w:cstheme="minorHAnsi"/>
                <w:color w:val="FFFFFF"/>
              </w:rPr>
              <w:t>Carry</w:t>
            </w:r>
          </w:p>
        </w:tc>
        <w:tc>
          <w:tcPr>
            <w:tcW w:w="1300" w:type="dxa"/>
            <w:tcBorders>
              <w:top w:val="nil"/>
              <w:left w:val="nil"/>
              <w:bottom w:val="single" w:sz="4" w:space="0" w:color="auto"/>
              <w:right w:val="single" w:sz="4" w:space="0" w:color="auto"/>
            </w:tcBorders>
            <w:shd w:val="clear" w:color="auto" w:fill="auto"/>
            <w:noWrap/>
            <w:vAlign w:val="bottom"/>
            <w:hideMark/>
          </w:tcPr>
          <w:p w14:paraId="28CC2920"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2.14%</w:t>
            </w:r>
          </w:p>
        </w:tc>
        <w:tc>
          <w:tcPr>
            <w:tcW w:w="1300" w:type="dxa"/>
            <w:tcBorders>
              <w:top w:val="nil"/>
              <w:left w:val="nil"/>
              <w:bottom w:val="single" w:sz="4" w:space="0" w:color="auto"/>
              <w:right w:val="single" w:sz="4" w:space="0" w:color="auto"/>
            </w:tcBorders>
            <w:shd w:val="clear" w:color="auto" w:fill="auto"/>
            <w:noWrap/>
            <w:vAlign w:val="bottom"/>
            <w:hideMark/>
          </w:tcPr>
          <w:p w14:paraId="3B5266E0"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1.93%</w:t>
            </w:r>
          </w:p>
        </w:tc>
        <w:tc>
          <w:tcPr>
            <w:tcW w:w="1300" w:type="dxa"/>
            <w:tcBorders>
              <w:top w:val="nil"/>
              <w:left w:val="nil"/>
              <w:bottom w:val="single" w:sz="4" w:space="0" w:color="auto"/>
              <w:right w:val="single" w:sz="4" w:space="0" w:color="auto"/>
            </w:tcBorders>
            <w:shd w:val="clear" w:color="auto" w:fill="auto"/>
            <w:noWrap/>
            <w:vAlign w:val="bottom"/>
            <w:hideMark/>
          </w:tcPr>
          <w:p w14:paraId="63416655"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2.13%</w:t>
            </w:r>
          </w:p>
        </w:tc>
        <w:tc>
          <w:tcPr>
            <w:tcW w:w="1300" w:type="dxa"/>
            <w:tcBorders>
              <w:top w:val="nil"/>
              <w:left w:val="nil"/>
              <w:bottom w:val="single" w:sz="4" w:space="0" w:color="auto"/>
              <w:right w:val="single" w:sz="4" w:space="0" w:color="auto"/>
            </w:tcBorders>
            <w:shd w:val="clear" w:color="auto" w:fill="auto"/>
            <w:noWrap/>
            <w:vAlign w:val="bottom"/>
            <w:hideMark/>
          </w:tcPr>
          <w:p w14:paraId="5EFFA53E"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2.61%</w:t>
            </w:r>
          </w:p>
        </w:tc>
      </w:tr>
      <w:tr w:rsidR="009D67D4" w:rsidRPr="00F55F96" w14:paraId="6A2E12D4" w14:textId="77777777" w:rsidTr="00C0001F">
        <w:trPr>
          <w:trHeight w:val="320"/>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2A5D9E94"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Slope Carry</w:t>
            </w:r>
          </w:p>
        </w:tc>
        <w:tc>
          <w:tcPr>
            <w:tcW w:w="1300" w:type="dxa"/>
            <w:tcBorders>
              <w:top w:val="nil"/>
              <w:left w:val="nil"/>
              <w:bottom w:val="single" w:sz="4" w:space="0" w:color="auto"/>
              <w:right w:val="single" w:sz="4" w:space="0" w:color="auto"/>
            </w:tcBorders>
            <w:shd w:val="clear" w:color="auto" w:fill="auto"/>
            <w:noWrap/>
            <w:vAlign w:val="bottom"/>
            <w:hideMark/>
          </w:tcPr>
          <w:p w14:paraId="6499649D"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0.55%</w:t>
            </w:r>
          </w:p>
        </w:tc>
        <w:tc>
          <w:tcPr>
            <w:tcW w:w="1300" w:type="dxa"/>
            <w:tcBorders>
              <w:top w:val="nil"/>
              <w:left w:val="nil"/>
              <w:bottom w:val="single" w:sz="4" w:space="0" w:color="auto"/>
              <w:right w:val="single" w:sz="4" w:space="0" w:color="auto"/>
            </w:tcBorders>
            <w:shd w:val="clear" w:color="auto" w:fill="auto"/>
            <w:noWrap/>
            <w:vAlign w:val="bottom"/>
            <w:hideMark/>
          </w:tcPr>
          <w:p w14:paraId="6BB5B47F"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0.54%</w:t>
            </w:r>
          </w:p>
        </w:tc>
        <w:tc>
          <w:tcPr>
            <w:tcW w:w="1300" w:type="dxa"/>
            <w:tcBorders>
              <w:top w:val="nil"/>
              <w:left w:val="nil"/>
              <w:bottom w:val="single" w:sz="4" w:space="0" w:color="auto"/>
              <w:right w:val="single" w:sz="4" w:space="0" w:color="auto"/>
            </w:tcBorders>
            <w:shd w:val="clear" w:color="auto" w:fill="auto"/>
            <w:noWrap/>
            <w:vAlign w:val="bottom"/>
            <w:hideMark/>
          </w:tcPr>
          <w:p w14:paraId="34DA67B2"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0.59%</w:t>
            </w:r>
          </w:p>
        </w:tc>
        <w:tc>
          <w:tcPr>
            <w:tcW w:w="1300" w:type="dxa"/>
            <w:tcBorders>
              <w:top w:val="nil"/>
              <w:left w:val="nil"/>
              <w:bottom w:val="single" w:sz="4" w:space="0" w:color="auto"/>
              <w:right w:val="single" w:sz="4" w:space="0" w:color="auto"/>
            </w:tcBorders>
            <w:shd w:val="clear" w:color="auto" w:fill="auto"/>
            <w:noWrap/>
            <w:vAlign w:val="bottom"/>
            <w:hideMark/>
          </w:tcPr>
          <w:p w14:paraId="39C8DF5F"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0.99%</w:t>
            </w:r>
          </w:p>
        </w:tc>
      </w:tr>
      <w:tr w:rsidR="009D67D4" w:rsidRPr="00F55F96" w14:paraId="7CEA9E5B" w14:textId="77777777" w:rsidTr="00C0001F">
        <w:trPr>
          <w:trHeight w:val="320"/>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04954E9F"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Financing Carry</w:t>
            </w:r>
          </w:p>
        </w:tc>
        <w:tc>
          <w:tcPr>
            <w:tcW w:w="1300" w:type="dxa"/>
            <w:tcBorders>
              <w:top w:val="nil"/>
              <w:left w:val="nil"/>
              <w:bottom w:val="single" w:sz="4" w:space="0" w:color="auto"/>
              <w:right w:val="single" w:sz="4" w:space="0" w:color="auto"/>
            </w:tcBorders>
            <w:shd w:val="clear" w:color="auto" w:fill="auto"/>
            <w:noWrap/>
            <w:vAlign w:val="bottom"/>
            <w:hideMark/>
          </w:tcPr>
          <w:p w14:paraId="6EF5EA0C"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1.09%</w:t>
            </w:r>
          </w:p>
        </w:tc>
        <w:tc>
          <w:tcPr>
            <w:tcW w:w="1300" w:type="dxa"/>
            <w:tcBorders>
              <w:top w:val="nil"/>
              <w:left w:val="nil"/>
              <w:bottom w:val="single" w:sz="4" w:space="0" w:color="auto"/>
              <w:right w:val="single" w:sz="4" w:space="0" w:color="auto"/>
            </w:tcBorders>
            <w:shd w:val="clear" w:color="auto" w:fill="auto"/>
            <w:noWrap/>
            <w:vAlign w:val="bottom"/>
            <w:hideMark/>
          </w:tcPr>
          <w:p w14:paraId="6B20C8B7"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0.89%</w:t>
            </w:r>
          </w:p>
        </w:tc>
        <w:tc>
          <w:tcPr>
            <w:tcW w:w="1300" w:type="dxa"/>
            <w:tcBorders>
              <w:top w:val="nil"/>
              <w:left w:val="nil"/>
              <w:bottom w:val="single" w:sz="4" w:space="0" w:color="auto"/>
              <w:right w:val="single" w:sz="4" w:space="0" w:color="auto"/>
            </w:tcBorders>
            <w:shd w:val="clear" w:color="auto" w:fill="auto"/>
            <w:noWrap/>
            <w:vAlign w:val="bottom"/>
            <w:hideMark/>
          </w:tcPr>
          <w:p w14:paraId="63C10625"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0.94%</w:t>
            </w:r>
          </w:p>
        </w:tc>
        <w:tc>
          <w:tcPr>
            <w:tcW w:w="1300" w:type="dxa"/>
            <w:tcBorders>
              <w:top w:val="nil"/>
              <w:left w:val="nil"/>
              <w:bottom w:val="single" w:sz="4" w:space="0" w:color="auto"/>
              <w:right w:val="single" w:sz="4" w:space="0" w:color="auto"/>
            </w:tcBorders>
            <w:shd w:val="clear" w:color="auto" w:fill="auto"/>
            <w:noWrap/>
            <w:vAlign w:val="bottom"/>
            <w:hideMark/>
          </w:tcPr>
          <w:p w14:paraId="7F15A868"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1.22%</w:t>
            </w:r>
          </w:p>
        </w:tc>
      </w:tr>
      <w:tr w:rsidR="009D67D4" w:rsidRPr="00F55F96" w14:paraId="510DCDFF" w14:textId="77777777" w:rsidTr="00C0001F">
        <w:trPr>
          <w:trHeight w:val="320"/>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4FC9FD92"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Convexity Carry</w:t>
            </w:r>
          </w:p>
        </w:tc>
        <w:tc>
          <w:tcPr>
            <w:tcW w:w="1300" w:type="dxa"/>
            <w:tcBorders>
              <w:top w:val="nil"/>
              <w:left w:val="nil"/>
              <w:bottom w:val="single" w:sz="4" w:space="0" w:color="auto"/>
              <w:right w:val="single" w:sz="4" w:space="0" w:color="auto"/>
            </w:tcBorders>
            <w:shd w:val="clear" w:color="auto" w:fill="auto"/>
            <w:noWrap/>
            <w:vAlign w:val="bottom"/>
            <w:hideMark/>
          </w:tcPr>
          <w:p w14:paraId="1311B544"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0.50%</w:t>
            </w:r>
          </w:p>
        </w:tc>
        <w:tc>
          <w:tcPr>
            <w:tcW w:w="1300" w:type="dxa"/>
            <w:tcBorders>
              <w:top w:val="nil"/>
              <w:left w:val="nil"/>
              <w:bottom w:val="single" w:sz="4" w:space="0" w:color="auto"/>
              <w:right w:val="single" w:sz="4" w:space="0" w:color="auto"/>
            </w:tcBorders>
            <w:shd w:val="clear" w:color="auto" w:fill="auto"/>
            <w:noWrap/>
            <w:vAlign w:val="bottom"/>
            <w:hideMark/>
          </w:tcPr>
          <w:p w14:paraId="2963A269"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0.50%</w:t>
            </w:r>
          </w:p>
        </w:tc>
        <w:tc>
          <w:tcPr>
            <w:tcW w:w="1300" w:type="dxa"/>
            <w:tcBorders>
              <w:top w:val="nil"/>
              <w:left w:val="nil"/>
              <w:bottom w:val="single" w:sz="4" w:space="0" w:color="auto"/>
              <w:right w:val="single" w:sz="4" w:space="0" w:color="auto"/>
            </w:tcBorders>
            <w:shd w:val="clear" w:color="auto" w:fill="auto"/>
            <w:noWrap/>
            <w:vAlign w:val="bottom"/>
            <w:hideMark/>
          </w:tcPr>
          <w:p w14:paraId="6E5A4C2A"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0.60%</w:t>
            </w:r>
          </w:p>
        </w:tc>
        <w:tc>
          <w:tcPr>
            <w:tcW w:w="1300" w:type="dxa"/>
            <w:tcBorders>
              <w:top w:val="nil"/>
              <w:left w:val="nil"/>
              <w:bottom w:val="single" w:sz="4" w:space="0" w:color="auto"/>
              <w:right w:val="single" w:sz="4" w:space="0" w:color="auto"/>
            </w:tcBorders>
            <w:shd w:val="clear" w:color="auto" w:fill="auto"/>
            <w:noWrap/>
            <w:vAlign w:val="bottom"/>
            <w:hideMark/>
          </w:tcPr>
          <w:p w14:paraId="1928E60A" w14:textId="77777777"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0.40%</w:t>
            </w:r>
          </w:p>
        </w:tc>
      </w:tr>
      <w:tr w:rsidR="009D67D4" w:rsidRPr="00F55F96" w14:paraId="188EBE8D" w14:textId="77777777" w:rsidTr="00C0001F">
        <w:trPr>
          <w:trHeight w:val="320"/>
        </w:trPr>
        <w:tc>
          <w:tcPr>
            <w:tcW w:w="2000" w:type="dxa"/>
            <w:tcBorders>
              <w:top w:val="nil"/>
              <w:left w:val="single" w:sz="4" w:space="0" w:color="auto"/>
              <w:bottom w:val="single" w:sz="4" w:space="0" w:color="auto"/>
              <w:right w:val="single" w:sz="4" w:space="0" w:color="auto"/>
            </w:tcBorders>
            <w:shd w:val="clear" w:color="000000" w:fill="747474"/>
            <w:noWrap/>
            <w:vAlign w:val="bottom"/>
            <w:hideMark/>
          </w:tcPr>
          <w:p w14:paraId="19A48A9A" w14:textId="77777777" w:rsidR="009D67D4" w:rsidRPr="00F55F96" w:rsidRDefault="009D67D4" w:rsidP="00C0001F">
            <w:pPr>
              <w:jc w:val="center"/>
              <w:rPr>
                <w:rFonts w:asciiTheme="minorHAnsi" w:hAnsiTheme="minorHAnsi" w:cstheme="minorHAnsi"/>
                <w:color w:val="FFFFFF"/>
              </w:rPr>
            </w:pPr>
            <w:r w:rsidRPr="00F55F96">
              <w:rPr>
                <w:rFonts w:asciiTheme="minorHAnsi" w:hAnsiTheme="minorHAnsi" w:cstheme="minorHAnsi"/>
                <w:color w:val="FFFFFF"/>
              </w:rPr>
              <w:t>Carry vol Adjusted</w:t>
            </w:r>
          </w:p>
        </w:tc>
        <w:tc>
          <w:tcPr>
            <w:tcW w:w="1300" w:type="dxa"/>
            <w:tcBorders>
              <w:top w:val="nil"/>
              <w:left w:val="nil"/>
              <w:bottom w:val="single" w:sz="4" w:space="0" w:color="auto"/>
              <w:right w:val="single" w:sz="4" w:space="0" w:color="auto"/>
            </w:tcBorders>
            <w:shd w:val="clear" w:color="auto" w:fill="auto"/>
            <w:noWrap/>
            <w:vAlign w:val="bottom"/>
            <w:hideMark/>
          </w:tcPr>
          <w:p w14:paraId="5865FD0D" w14:textId="776CAC31"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1.13</w:t>
            </w:r>
          </w:p>
        </w:tc>
        <w:tc>
          <w:tcPr>
            <w:tcW w:w="1300" w:type="dxa"/>
            <w:tcBorders>
              <w:top w:val="nil"/>
              <w:left w:val="nil"/>
              <w:bottom w:val="single" w:sz="4" w:space="0" w:color="auto"/>
              <w:right w:val="single" w:sz="4" w:space="0" w:color="auto"/>
            </w:tcBorders>
            <w:shd w:val="clear" w:color="auto" w:fill="auto"/>
            <w:noWrap/>
            <w:vAlign w:val="bottom"/>
            <w:hideMark/>
          </w:tcPr>
          <w:p w14:paraId="5BA9C405" w14:textId="498DDF02"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1.02</w:t>
            </w:r>
          </w:p>
        </w:tc>
        <w:tc>
          <w:tcPr>
            <w:tcW w:w="1300" w:type="dxa"/>
            <w:tcBorders>
              <w:top w:val="nil"/>
              <w:left w:val="nil"/>
              <w:bottom w:val="single" w:sz="4" w:space="0" w:color="auto"/>
              <w:right w:val="single" w:sz="4" w:space="0" w:color="auto"/>
            </w:tcBorders>
            <w:shd w:val="clear" w:color="auto" w:fill="auto"/>
            <w:noWrap/>
            <w:vAlign w:val="bottom"/>
            <w:hideMark/>
          </w:tcPr>
          <w:p w14:paraId="1AD1EE07" w14:textId="4437F2F5"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1.12</w:t>
            </w:r>
          </w:p>
        </w:tc>
        <w:tc>
          <w:tcPr>
            <w:tcW w:w="1300" w:type="dxa"/>
            <w:tcBorders>
              <w:top w:val="nil"/>
              <w:left w:val="nil"/>
              <w:bottom w:val="single" w:sz="4" w:space="0" w:color="auto"/>
              <w:right w:val="single" w:sz="4" w:space="0" w:color="auto"/>
            </w:tcBorders>
            <w:shd w:val="clear" w:color="auto" w:fill="auto"/>
            <w:noWrap/>
            <w:vAlign w:val="bottom"/>
            <w:hideMark/>
          </w:tcPr>
          <w:p w14:paraId="02A53FD7" w14:textId="41ACF315" w:rsidR="009D67D4" w:rsidRPr="00F55F96" w:rsidRDefault="009D67D4" w:rsidP="00C0001F">
            <w:pPr>
              <w:jc w:val="center"/>
              <w:rPr>
                <w:rFonts w:asciiTheme="minorHAnsi" w:hAnsiTheme="minorHAnsi" w:cstheme="minorHAnsi"/>
                <w:color w:val="000000"/>
              </w:rPr>
            </w:pPr>
            <w:r w:rsidRPr="00F55F96">
              <w:rPr>
                <w:rFonts w:asciiTheme="minorHAnsi" w:hAnsiTheme="minorHAnsi" w:cstheme="minorHAnsi"/>
                <w:color w:val="000000"/>
              </w:rPr>
              <w:t>1.38</w:t>
            </w:r>
          </w:p>
        </w:tc>
      </w:tr>
    </w:tbl>
    <w:p w14:paraId="74D98BF2" w14:textId="77777777" w:rsidR="009D67D4" w:rsidRPr="00F55F96" w:rsidRDefault="009D67D4" w:rsidP="001E4DB6">
      <w:pPr>
        <w:rPr>
          <w:rFonts w:asciiTheme="minorHAnsi" w:hAnsiTheme="minorHAnsi" w:cstheme="minorHAnsi"/>
        </w:rPr>
      </w:pPr>
    </w:p>
    <w:p w14:paraId="474705C8" w14:textId="77777777" w:rsidR="002827DE" w:rsidRPr="00F55F96" w:rsidRDefault="002827DE" w:rsidP="002827DE">
      <w:pPr>
        <w:rPr>
          <w:rFonts w:asciiTheme="minorHAnsi" w:hAnsiTheme="minorHAnsi" w:cstheme="minorHAnsi"/>
        </w:rPr>
      </w:pPr>
    </w:p>
    <w:p w14:paraId="3158BE94" w14:textId="77777777" w:rsidR="00031D46" w:rsidRPr="00031D46" w:rsidRDefault="00031D46" w:rsidP="00031D46">
      <w:pPr>
        <w:spacing w:before="100" w:beforeAutospacing="1" w:after="100" w:afterAutospacing="1"/>
        <w:rPr>
          <w:rFonts w:asciiTheme="minorHAnsi" w:hAnsiTheme="minorHAnsi" w:cstheme="minorHAnsi"/>
        </w:rPr>
      </w:pPr>
      <w:r w:rsidRPr="00031D46">
        <w:rPr>
          <w:rFonts w:asciiTheme="minorHAnsi" w:hAnsiTheme="minorHAnsi" w:cstheme="minorHAnsi"/>
        </w:rPr>
        <w:t>The decomposition shows that gross carry is relatively well balanced across slope, financing, and convexity components, with the volatility adjustment providing a normalized measure of efficiency.</w:t>
      </w:r>
    </w:p>
    <w:p w14:paraId="5DFFD816" w14:textId="77777777" w:rsidR="00031D46" w:rsidRPr="00F55F96" w:rsidRDefault="00031D46" w:rsidP="002827DE">
      <w:pPr>
        <w:rPr>
          <w:rFonts w:asciiTheme="minorHAnsi" w:hAnsiTheme="minorHAnsi" w:cstheme="minorHAnsi"/>
        </w:rPr>
      </w:pPr>
    </w:p>
    <w:p w14:paraId="0AB5B6D5" w14:textId="77777777" w:rsidR="002827DE" w:rsidRPr="00F55F96" w:rsidRDefault="002827DE" w:rsidP="002827DE">
      <w:pPr>
        <w:rPr>
          <w:rFonts w:asciiTheme="minorHAnsi" w:hAnsiTheme="minorHAnsi" w:cstheme="minorHAnsi"/>
          <w:b/>
          <w:bCs/>
        </w:rPr>
      </w:pPr>
      <w:r w:rsidRPr="00F55F96">
        <w:rPr>
          <w:rFonts w:asciiTheme="minorHAnsi" w:hAnsiTheme="minorHAnsi" w:cstheme="minorHAnsi"/>
          <w:b/>
          <w:bCs/>
        </w:rPr>
        <w:t>Market context</w:t>
      </w:r>
    </w:p>
    <w:p w14:paraId="7833AF70" w14:textId="77777777" w:rsidR="002827DE" w:rsidRPr="00F55F96" w:rsidRDefault="002827DE" w:rsidP="002827DE">
      <w:pPr>
        <w:rPr>
          <w:rFonts w:asciiTheme="minorHAnsi" w:hAnsiTheme="minorHAnsi" w:cstheme="minorHAnsi"/>
        </w:rPr>
      </w:pPr>
    </w:p>
    <w:p w14:paraId="32453497" w14:textId="77777777" w:rsidR="002827DE" w:rsidRPr="00F55F96" w:rsidRDefault="002827DE" w:rsidP="002827DE">
      <w:pPr>
        <w:rPr>
          <w:rFonts w:asciiTheme="minorHAnsi" w:hAnsiTheme="minorHAnsi" w:cstheme="minorHAnsi"/>
        </w:rPr>
      </w:pPr>
      <w:r w:rsidRPr="00F55F96">
        <w:rPr>
          <w:rFonts w:asciiTheme="minorHAnsi" w:hAnsiTheme="minorHAnsi" w:cstheme="minorHAnsi"/>
        </w:rPr>
        <w:t>In the years of historically low rates, pension funds and insurers absorbed long-dated bonds to meet duration targets and hedge liabilities. As rates rose, those structural needs diminished, and investors began to demand a larger premium for holding long-dated risk. At the same time, persistent inflation pressures led central banks to embark on quantitative tightening, even as governments faced sharply higher funding requirements driven by widening fiscal deficits.</w:t>
      </w:r>
    </w:p>
    <w:p w14:paraId="23FF4C44" w14:textId="77777777" w:rsidR="002827DE" w:rsidRPr="00F55F96" w:rsidRDefault="002827DE" w:rsidP="002827DE">
      <w:pPr>
        <w:rPr>
          <w:rFonts w:asciiTheme="minorHAnsi" w:hAnsiTheme="minorHAnsi" w:cstheme="minorHAnsi"/>
        </w:rPr>
      </w:pPr>
    </w:p>
    <w:p w14:paraId="141D8427" w14:textId="76E533FD" w:rsidR="002827DE" w:rsidRPr="00F55F96" w:rsidRDefault="002827DE" w:rsidP="002827DE">
      <w:pPr>
        <w:rPr>
          <w:rFonts w:asciiTheme="minorHAnsi" w:hAnsiTheme="minorHAnsi" w:cstheme="minorHAnsi"/>
        </w:rPr>
      </w:pPr>
      <w:r w:rsidRPr="00F55F96">
        <w:rPr>
          <w:rFonts w:asciiTheme="minorHAnsi" w:hAnsiTheme="minorHAnsi" w:cstheme="minorHAnsi"/>
        </w:rPr>
        <w:t xml:space="preserve">Today, although sovereign issuance remains elevated, forward inflation expectations have </w:t>
      </w:r>
      <w:r w:rsidR="004E2BEC" w:rsidRPr="00F55F96">
        <w:rPr>
          <w:rFonts w:asciiTheme="minorHAnsi" w:hAnsiTheme="minorHAnsi" w:cstheme="minorHAnsi"/>
        </w:rPr>
        <w:t>stabilized</w:t>
      </w:r>
      <w:r w:rsidRPr="00F55F96">
        <w:rPr>
          <w:rFonts w:asciiTheme="minorHAnsi" w:hAnsiTheme="minorHAnsi" w:cstheme="minorHAnsi"/>
        </w:rPr>
        <w:t xml:space="preserve"> slightly above central bank targets. This anchoring has exerted downward pressure on swap rates indexed to overnight risk-free rates, compressing secured financing costs. As a result, the spread between government bond yields and funding costs has widened, reintroducing a meaningful term premium into yield curves and </w:t>
      </w:r>
      <w:r w:rsidR="006272A2" w:rsidRPr="00F55F96">
        <w:rPr>
          <w:rFonts w:asciiTheme="minorHAnsi" w:hAnsiTheme="minorHAnsi" w:cstheme="minorHAnsi"/>
        </w:rPr>
        <w:t>enabling the monetization of forward carry</w:t>
      </w:r>
      <w:r w:rsidRPr="00F55F96">
        <w:rPr>
          <w:rFonts w:asciiTheme="minorHAnsi" w:hAnsiTheme="minorHAnsi" w:cstheme="minorHAnsi"/>
        </w:rPr>
        <w:t>.</w:t>
      </w:r>
    </w:p>
    <w:p w14:paraId="4B638F87" w14:textId="77777777" w:rsidR="002827DE" w:rsidRPr="00F55F96" w:rsidRDefault="002827DE" w:rsidP="002827DE">
      <w:pPr>
        <w:rPr>
          <w:rFonts w:asciiTheme="minorHAnsi" w:hAnsiTheme="minorHAnsi" w:cstheme="minorHAnsi"/>
        </w:rPr>
      </w:pPr>
    </w:p>
    <w:p w14:paraId="45861332" w14:textId="77777777" w:rsidR="002827DE" w:rsidRPr="00F55F96" w:rsidRDefault="002827DE" w:rsidP="002827DE">
      <w:pPr>
        <w:rPr>
          <w:rFonts w:asciiTheme="minorHAnsi" w:hAnsiTheme="minorHAnsi" w:cstheme="minorHAnsi"/>
        </w:rPr>
      </w:pPr>
      <w:r w:rsidRPr="00F55F96">
        <w:rPr>
          <w:rFonts w:asciiTheme="minorHAnsi" w:hAnsiTheme="minorHAnsi" w:cstheme="minorHAnsi"/>
        </w:rPr>
        <w:t xml:space="preserve">A paradox emerges: central banks, by simultaneously pursuing balance-sheet reduction (QT) and initiating rate cuts, are reinforcing the very conditions that increase forward carry. Lower </w:t>
      </w:r>
      <w:r w:rsidRPr="00F55F96">
        <w:rPr>
          <w:rFonts w:asciiTheme="minorHAnsi" w:hAnsiTheme="minorHAnsi" w:cstheme="minorHAnsi"/>
        </w:rPr>
        <w:lastRenderedPageBreak/>
        <w:t>policy rates reduce OIS-linked financing costs, while QT sustains upward pressure on government bond yields. The combined effect widens the yield–funding spread, embedding greater carry in forward structures.</w:t>
      </w:r>
    </w:p>
    <w:p w14:paraId="439B473F" w14:textId="77777777" w:rsidR="002827DE" w:rsidRPr="00F55F96" w:rsidRDefault="002827DE" w:rsidP="002827DE">
      <w:pPr>
        <w:rPr>
          <w:rFonts w:asciiTheme="minorHAnsi" w:hAnsiTheme="minorHAnsi" w:cstheme="minorHAnsi"/>
        </w:rPr>
      </w:pPr>
    </w:p>
    <w:p w14:paraId="7C0A7977" w14:textId="25F8C4A4" w:rsidR="002827DE" w:rsidRPr="00F55F96" w:rsidRDefault="002827DE" w:rsidP="002827DE">
      <w:pPr>
        <w:rPr>
          <w:rFonts w:asciiTheme="minorHAnsi" w:hAnsiTheme="minorHAnsi" w:cstheme="minorHAnsi"/>
        </w:rPr>
      </w:pPr>
      <w:r w:rsidRPr="00F55F96">
        <w:rPr>
          <w:rFonts w:asciiTheme="minorHAnsi" w:hAnsiTheme="minorHAnsi" w:cstheme="minorHAnsi"/>
        </w:rPr>
        <w:t xml:space="preserve">As with all term-premium strategies, however, </w:t>
      </w:r>
      <w:r w:rsidRPr="00F55F96">
        <w:rPr>
          <w:rFonts w:asciiTheme="minorHAnsi" w:hAnsiTheme="minorHAnsi" w:cstheme="minorHAnsi"/>
        </w:rPr>
        <w:t>realized</w:t>
      </w:r>
      <w:r w:rsidRPr="00F55F96">
        <w:rPr>
          <w:rFonts w:asciiTheme="minorHAnsi" w:hAnsiTheme="minorHAnsi" w:cstheme="minorHAnsi"/>
        </w:rPr>
        <w:t xml:space="preserve"> outcomes remain path-dependent: unexpected shifts in inflation dynamics, fiscal trajectories, or monetary policy can quickly erode the expected carry.</w:t>
      </w:r>
    </w:p>
    <w:p w14:paraId="19573560" w14:textId="77777777" w:rsidR="007D4E65" w:rsidRPr="00F55F96" w:rsidRDefault="007D4E65" w:rsidP="002827DE">
      <w:pPr>
        <w:rPr>
          <w:rFonts w:asciiTheme="minorHAnsi" w:hAnsiTheme="minorHAnsi" w:cstheme="minorHAnsi"/>
        </w:rPr>
      </w:pPr>
    </w:p>
    <w:p w14:paraId="5B55BB8C" w14:textId="29AF5FEE" w:rsidR="007D4E65" w:rsidRPr="00F55F96" w:rsidRDefault="007D4E65" w:rsidP="007D4E65">
      <w:pPr>
        <w:pStyle w:val="Heading2"/>
        <w:spacing w:before="200" w:after="120"/>
        <w:rPr>
          <w:rFonts w:asciiTheme="minorHAnsi" w:hAnsiTheme="minorHAnsi" w:cstheme="minorHAnsi"/>
          <w:b/>
          <w:bCs/>
          <w:color w:val="4472C4" w:themeColor="accent1"/>
          <w:sz w:val="26"/>
          <w:szCs w:val="26"/>
        </w:rPr>
      </w:pPr>
      <w:r w:rsidRPr="00F55F96">
        <w:rPr>
          <w:rFonts w:asciiTheme="minorHAnsi" w:hAnsiTheme="minorHAnsi" w:cstheme="minorHAnsi"/>
          <w:b/>
          <w:bCs/>
          <w:color w:val="4472C4" w:themeColor="accent1"/>
          <w:sz w:val="26"/>
          <w:szCs w:val="26"/>
        </w:rPr>
        <w:t xml:space="preserve">CMT </w:t>
      </w:r>
      <w:proofErr w:type="spellStart"/>
      <w:r w:rsidRPr="00F55F96">
        <w:rPr>
          <w:rFonts w:asciiTheme="minorHAnsi" w:hAnsiTheme="minorHAnsi" w:cstheme="minorHAnsi"/>
          <w:b/>
          <w:bCs/>
          <w:color w:val="4472C4" w:themeColor="accent1"/>
          <w:sz w:val="26"/>
          <w:szCs w:val="26"/>
        </w:rPr>
        <w:t>A</w:t>
      </w:r>
      <w:r w:rsidRPr="00F55F96">
        <w:rPr>
          <w:rFonts w:asciiTheme="minorHAnsi" w:hAnsiTheme="minorHAnsi" w:cstheme="minorHAnsi"/>
          <w:b/>
          <w:bCs/>
          <w:color w:val="4472C4" w:themeColor="accent1"/>
          <w:sz w:val="26"/>
          <w:szCs w:val="26"/>
        </w:rPr>
        <w:t>utocalls</w:t>
      </w:r>
      <w:proofErr w:type="spellEnd"/>
      <w:r w:rsidRPr="00F55F96">
        <w:rPr>
          <w:rFonts w:asciiTheme="minorHAnsi" w:hAnsiTheme="minorHAnsi" w:cstheme="minorHAnsi"/>
          <w:b/>
          <w:bCs/>
          <w:color w:val="4472C4" w:themeColor="accent1"/>
          <w:sz w:val="26"/>
          <w:szCs w:val="26"/>
        </w:rPr>
        <w:t xml:space="preserve"> – </w:t>
      </w:r>
      <w:r w:rsidR="005175C5" w:rsidRPr="00F55F96">
        <w:rPr>
          <w:rFonts w:asciiTheme="minorHAnsi" w:hAnsiTheme="minorHAnsi" w:cstheme="minorHAnsi"/>
          <w:b/>
          <w:bCs/>
          <w:i/>
          <w:iCs/>
          <w:color w:val="4472C4" w:themeColor="accent1"/>
          <w:sz w:val="26"/>
          <w:szCs w:val="26"/>
        </w:rPr>
        <w:t>new exposure to term premium</w:t>
      </w:r>
    </w:p>
    <w:p w14:paraId="0308D5FC" w14:textId="77777777" w:rsidR="007D4E65" w:rsidRPr="00F55F96" w:rsidRDefault="007D4E65" w:rsidP="007D4E65">
      <w:pPr>
        <w:rPr>
          <w:rFonts w:asciiTheme="minorHAnsi" w:hAnsiTheme="minorHAnsi" w:cstheme="minorHAnsi"/>
        </w:rPr>
      </w:pPr>
    </w:p>
    <w:p w14:paraId="3E880E48" w14:textId="7CFC8452" w:rsidR="007D4E65" w:rsidRPr="00F55F96" w:rsidRDefault="007D4E65" w:rsidP="007D4E65">
      <w:pPr>
        <w:rPr>
          <w:rFonts w:asciiTheme="minorHAnsi" w:hAnsiTheme="minorHAnsi" w:cstheme="minorHAnsi"/>
        </w:rPr>
      </w:pPr>
      <w:r w:rsidRPr="00F55F96">
        <w:rPr>
          <w:rFonts w:asciiTheme="minorHAnsi" w:hAnsiTheme="minorHAnsi" w:cstheme="minorHAnsi"/>
        </w:rPr>
        <w:t xml:space="preserve">The Constant Maturity Treasury (CMT) is the sovereign bond market’s counterpart to the Constant Maturity Swap (CMS). Like CMS, it provides a transparent and observable fixing. The difference is that CMT is anchored directly in government yield curves rather than in swap markets, making it a direct measure of sovereign duration risk instead of bank credit or </w:t>
      </w:r>
      <w:r w:rsidR="00E82C89" w:rsidRPr="00F55F96">
        <w:rPr>
          <w:rFonts w:asciiTheme="minorHAnsi" w:hAnsiTheme="minorHAnsi" w:cstheme="minorHAnsi"/>
        </w:rPr>
        <w:t>collateralized</w:t>
      </w:r>
      <w:r w:rsidRPr="00F55F96">
        <w:rPr>
          <w:rFonts w:asciiTheme="minorHAnsi" w:hAnsiTheme="minorHAnsi" w:cstheme="minorHAnsi"/>
        </w:rPr>
        <w:t xml:space="preserve"> swap risk.</w:t>
      </w:r>
    </w:p>
    <w:p w14:paraId="0498C34A" w14:textId="77777777" w:rsidR="007D4E65" w:rsidRPr="00F55F96" w:rsidRDefault="007D4E65" w:rsidP="007D4E65">
      <w:pPr>
        <w:rPr>
          <w:rFonts w:asciiTheme="minorHAnsi" w:hAnsiTheme="minorHAnsi" w:cstheme="minorHAnsi"/>
        </w:rPr>
      </w:pPr>
    </w:p>
    <w:p w14:paraId="7388AD45" w14:textId="41E71450" w:rsidR="007D4E65" w:rsidRPr="00F55F96" w:rsidRDefault="007D4E65" w:rsidP="007D4E65">
      <w:pPr>
        <w:rPr>
          <w:rFonts w:asciiTheme="minorHAnsi" w:hAnsiTheme="minorHAnsi" w:cstheme="minorHAnsi"/>
        </w:rPr>
      </w:pPr>
      <w:r w:rsidRPr="00F55F96">
        <w:rPr>
          <w:rFonts w:asciiTheme="minorHAnsi" w:hAnsiTheme="minorHAnsi" w:cstheme="minorHAnsi"/>
        </w:rPr>
        <w:t>For example, the USD CMT 20-year represents the spot 20-year yield on the U.S. Treasury curve, calculated by linear interpolation between the two closest benchmark bonds. France’s equivalent, the TEC (</w:t>
      </w:r>
      <w:proofErr w:type="spellStart"/>
      <w:r w:rsidRPr="00F55F96">
        <w:rPr>
          <w:rFonts w:asciiTheme="minorHAnsi" w:hAnsiTheme="minorHAnsi" w:cstheme="minorHAnsi"/>
          <w:i/>
          <w:iCs/>
        </w:rPr>
        <w:t>Taux</w:t>
      </w:r>
      <w:proofErr w:type="spellEnd"/>
      <w:r w:rsidRPr="00F55F96">
        <w:rPr>
          <w:rFonts w:asciiTheme="minorHAnsi" w:hAnsiTheme="minorHAnsi" w:cstheme="minorHAnsi"/>
          <w:i/>
          <w:iCs/>
        </w:rPr>
        <w:t xml:space="preserve"> de </w:t>
      </w:r>
      <w:proofErr w:type="spellStart"/>
      <w:r w:rsidRPr="00F55F96">
        <w:rPr>
          <w:rFonts w:asciiTheme="minorHAnsi" w:hAnsiTheme="minorHAnsi" w:cstheme="minorHAnsi"/>
          <w:i/>
          <w:iCs/>
        </w:rPr>
        <w:t>l’Échéance</w:t>
      </w:r>
      <w:proofErr w:type="spellEnd"/>
      <w:r w:rsidRPr="00F55F96">
        <w:rPr>
          <w:rFonts w:asciiTheme="minorHAnsi" w:hAnsiTheme="minorHAnsi" w:cstheme="minorHAnsi"/>
          <w:i/>
          <w:iCs/>
        </w:rPr>
        <w:t xml:space="preserve"> Constante</w:t>
      </w:r>
      <w:r w:rsidRPr="00F55F96">
        <w:rPr>
          <w:rFonts w:asciiTheme="minorHAnsi" w:hAnsiTheme="minorHAnsi" w:cstheme="minorHAnsi"/>
        </w:rPr>
        <w:t xml:space="preserve">), is published by the Banque de France using the same principle. Forward-starting CMTs extend this framework further — such as the JPY 3y CMT10y, which represents the three-year forward of the 10-year Japanese CMT. This </w:t>
      </w:r>
      <w:r w:rsidR="00E82C89" w:rsidRPr="00F55F96">
        <w:rPr>
          <w:rFonts w:asciiTheme="minorHAnsi" w:hAnsiTheme="minorHAnsi" w:cstheme="minorHAnsi"/>
        </w:rPr>
        <w:t>standardization</w:t>
      </w:r>
      <w:r w:rsidRPr="00F55F96">
        <w:rPr>
          <w:rFonts w:asciiTheme="minorHAnsi" w:hAnsiTheme="minorHAnsi" w:cstheme="minorHAnsi"/>
        </w:rPr>
        <w:t xml:space="preserve"> enables the construction of options and structured payoffs indexed directly to sovereign term structures.</w:t>
      </w:r>
    </w:p>
    <w:p w14:paraId="5D6C2388" w14:textId="77777777" w:rsidR="007D4E65" w:rsidRPr="00F55F96" w:rsidRDefault="007D4E65" w:rsidP="007D4E65">
      <w:pPr>
        <w:rPr>
          <w:rFonts w:asciiTheme="minorHAnsi" w:hAnsiTheme="minorHAnsi" w:cstheme="minorHAnsi"/>
        </w:rPr>
      </w:pPr>
    </w:p>
    <w:p w14:paraId="189BEECD" w14:textId="25973F5B" w:rsidR="007D4E65" w:rsidRPr="00F55F96" w:rsidRDefault="007D4E65" w:rsidP="007D4E65">
      <w:pPr>
        <w:rPr>
          <w:rFonts w:asciiTheme="minorHAnsi" w:hAnsiTheme="minorHAnsi" w:cstheme="minorHAnsi"/>
        </w:rPr>
      </w:pPr>
      <w:r w:rsidRPr="00F55F96">
        <w:rPr>
          <w:rFonts w:asciiTheme="minorHAnsi" w:hAnsiTheme="minorHAnsi" w:cstheme="minorHAnsi"/>
        </w:rPr>
        <w:t xml:space="preserve">Since mid-2024, CMT-linked </w:t>
      </w:r>
      <w:proofErr w:type="spellStart"/>
      <w:r w:rsidRPr="00F55F96">
        <w:rPr>
          <w:rFonts w:asciiTheme="minorHAnsi" w:hAnsiTheme="minorHAnsi" w:cstheme="minorHAnsi"/>
        </w:rPr>
        <w:t>Autocalls</w:t>
      </w:r>
      <w:proofErr w:type="spellEnd"/>
      <w:r w:rsidRPr="00F55F96">
        <w:rPr>
          <w:rFonts w:asciiTheme="minorHAnsi" w:hAnsiTheme="minorHAnsi" w:cstheme="minorHAnsi"/>
        </w:rPr>
        <w:t xml:space="preserve"> — notably those referencing the French 10-year CMT (TEC10) — have been issued across multiple distribution channels. Typical structures include EMTNs with long maturities, conditional coupons tied to the level of the reference CMT, and </w:t>
      </w:r>
      <w:proofErr w:type="spellStart"/>
      <w:r w:rsidRPr="00F55F96">
        <w:rPr>
          <w:rFonts w:asciiTheme="minorHAnsi" w:hAnsiTheme="minorHAnsi" w:cstheme="minorHAnsi"/>
        </w:rPr>
        <w:t>autocallability</w:t>
      </w:r>
      <w:proofErr w:type="spellEnd"/>
      <w:r w:rsidRPr="00F55F96">
        <w:rPr>
          <w:rFonts w:asciiTheme="minorHAnsi" w:hAnsiTheme="minorHAnsi" w:cstheme="minorHAnsi"/>
        </w:rPr>
        <w:t xml:space="preserve"> features. Variants well established in equity structured products, such as Athena, Memory, or Airbag, have been adapted to interest rate </w:t>
      </w:r>
      <w:r w:rsidR="006D7102" w:rsidRPr="00F55F96">
        <w:rPr>
          <w:rFonts w:asciiTheme="minorHAnsi" w:hAnsiTheme="minorHAnsi" w:cstheme="minorHAnsi"/>
        </w:rPr>
        <w:t>underlying</w:t>
      </w:r>
      <w:r w:rsidRPr="00F55F96">
        <w:rPr>
          <w:rFonts w:asciiTheme="minorHAnsi" w:hAnsiTheme="minorHAnsi" w:cstheme="minorHAnsi"/>
        </w:rPr>
        <w:t xml:space="preserve"> including TEC10, UST10, JGB10, G7EURO10, and ITALY10.</w:t>
      </w:r>
    </w:p>
    <w:p w14:paraId="3124F282" w14:textId="77777777" w:rsidR="007D4E65" w:rsidRPr="00F55F96" w:rsidRDefault="007D4E65" w:rsidP="007D4E65">
      <w:pPr>
        <w:rPr>
          <w:rFonts w:asciiTheme="minorHAnsi" w:hAnsiTheme="minorHAnsi" w:cstheme="minorHAnsi"/>
        </w:rPr>
      </w:pPr>
    </w:p>
    <w:p w14:paraId="71783C5E" w14:textId="77777777" w:rsidR="007D4E65" w:rsidRPr="00F55F96" w:rsidRDefault="007D4E65" w:rsidP="007D4E65">
      <w:pPr>
        <w:rPr>
          <w:rFonts w:asciiTheme="minorHAnsi" w:hAnsiTheme="minorHAnsi" w:cstheme="minorHAnsi"/>
        </w:rPr>
      </w:pPr>
      <w:r w:rsidRPr="00F55F96">
        <w:rPr>
          <w:rFonts w:asciiTheme="minorHAnsi" w:hAnsiTheme="minorHAnsi" w:cstheme="minorHAnsi"/>
        </w:rPr>
        <w:t xml:space="preserve">The underlying mechanics follow directly from the geometry of the forward yield curve. When the forward curve is steep, the relative cost of embedding digital features (floors or barriers) is reduced compared to the carry available. The </w:t>
      </w:r>
      <w:proofErr w:type="spellStart"/>
      <w:r w:rsidRPr="00F55F96">
        <w:rPr>
          <w:rFonts w:asciiTheme="minorHAnsi" w:hAnsiTheme="minorHAnsi" w:cstheme="minorHAnsi"/>
        </w:rPr>
        <w:t>autocallability</w:t>
      </w:r>
      <w:proofErr w:type="spellEnd"/>
      <w:r w:rsidRPr="00F55F96">
        <w:rPr>
          <w:rFonts w:asciiTheme="minorHAnsi" w:hAnsiTheme="minorHAnsi" w:cstheme="minorHAnsi"/>
        </w:rPr>
        <w:t xml:space="preserve"> feature introduces optionality comparable to that of callable bonds, linking redemption profiles explicitly to the evolution of sovereign yields.</w:t>
      </w:r>
    </w:p>
    <w:p w14:paraId="2CB0C581" w14:textId="77777777" w:rsidR="007D4E65" w:rsidRPr="00F55F96" w:rsidRDefault="007D4E65" w:rsidP="007D4E65">
      <w:pPr>
        <w:rPr>
          <w:rFonts w:asciiTheme="minorHAnsi" w:hAnsiTheme="minorHAnsi" w:cstheme="minorHAnsi"/>
        </w:rPr>
      </w:pPr>
    </w:p>
    <w:p w14:paraId="1495BA29" w14:textId="77777777" w:rsidR="007D4E65" w:rsidRPr="00F55F96" w:rsidRDefault="007D4E65" w:rsidP="007D4E65">
      <w:pPr>
        <w:rPr>
          <w:rFonts w:asciiTheme="minorHAnsi" w:hAnsiTheme="minorHAnsi" w:cstheme="minorHAnsi"/>
        </w:rPr>
      </w:pPr>
      <w:r w:rsidRPr="00F55F96">
        <w:rPr>
          <w:rFonts w:asciiTheme="minorHAnsi" w:hAnsiTheme="minorHAnsi" w:cstheme="minorHAnsi"/>
        </w:rPr>
        <w:t>An additional technical point is that today’s elevated sovereign yield levels allow barriers and thresholds to be set at historically high quantiles of the yield distribution. This increases the statistical distance to activation events without altering the structural mechanics of the payoff.</w:t>
      </w:r>
    </w:p>
    <w:p w14:paraId="4F1377A2" w14:textId="77777777" w:rsidR="007D4E65" w:rsidRPr="00F55F96" w:rsidRDefault="007D4E65" w:rsidP="007D4E65">
      <w:pPr>
        <w:rPr>
          <w:rFonts w:asciiTheme="minorHAnsi" w:hAnsiTheme="minorHAnsi" w:cstheme="minorHAnsi"/>
        </w:rPr>
      </w:pPr>
    </w:p>
    <w:p w14:paraId="2668057D" w14:textId="684594EA" w:rsidR="00DA6E05" w:rsidRPr="00F55F96" w:rsidRDefault="007D4E65" w:rsidP="00DA6E05">
      <w:pPr>
        <w:rPr>
          <w:rFonts w:asciiTheme="minorHAnsi" w:hAnsiTheme="minorHAnsi" w:cstheme="minorHAnsi"/>
        </w:rPr>
      </w:pPr>
      <w:r w:rsidRPr="00F55F96">
        <w:rPr>
          <w:rFonts w:asciiTheme="minorHAnsi" w:hAnsiTheme="minorHAnsi" w:cstheme="minorHAnsi"/>
        </w:rPr>
        <w:lastRenderedPageBreak/>
        <w:t xml:space="preserve">In this sense, CMT </w:t>
      </w:r>
      <w:proofErr w:type="spellStart"/>
      <w:r w:rsidR="00E82C89" w:rsidRPr="00F55F96">
        <w:rPr>
          <w:rFonts w:asciiTheme="minorHAnsi" w:hAnsiTheme="minorHAnsi" w:cstheme="minorHAnsi"/>
        </w:rPr>
        <w:t>A</w:t>
      </w:r>
      <w:r w:rsidRPr="00F55F96">
        <w:rPr>
          <w:rFonts w:asciiTheme="minorHAnsi" w:hAnsiTheme="minorHAnsi" w:cstheme="minorHAnsi"/>
        </w:rPr>
        <w:t>utocalls</w:t>
      </w:r>
      <w:proofErr w:type="spellEnd"/>
      <w:r w:rsidRPr="00F55F96">
        <w:rPr>
          <w:rFonts w:asciiTheme="minorHAnsi" w:hAnsiTheme="minorHAnsi" w:cstheme="minorHAnsi"/>
        </w:rPr>
        <w:t xml:space="preserve"> illustrate how structured formats can redistribute sovereign duration risk across investor bases. More broadly, they show how the re-emergence of term premium in sovereign curves is being translated into new, </w:t>
      </w:r>
      <w:r w:rsidR="006D7102" w:rsidRPr="00F55F96">
        <w:rPr>
          <w:rFonts w:asciiTheme="minorHAnsi" w:hAnsiTheme="minorHAnsi" w:cstheme="minorHAnsi"/>
        </w:rPr>
        <w:t>standardized</w:t>
      </w:r>
      <w:r w:rsidRPr="00F55F96">
        <w:rPr>
          <w:rFonts w:asciiTheme="minorHAnsi" w:hAnsiTheme="minorHAnsi" w:cstheme="minorHAnsi"/>
        </w:rPr>
        <w:t xml:space="preserve"> instruments directly linked to government bond yields rather than swap benchmarks.</w:t>
      </w:r>
      <w:r w:rsidR="00DA6E05" w:rsidRPr="00F55F96">
        <w:rPr>
          <w:rFonts w:asciiTheme="minorHAnsi" w:hAnsiTheme="minorHAnsi" w:cstheme="minorHAnsi"/>
        </w:rPr>
        <w:br/>
      </w:r>
      <w:r w:rsidR="00DA6E05" w:rsidRPr="00F55F96">
        <w:rPr>
          <w:rFonts w:asciiTheme="minorHAnsi" w:hAnsiTheme="minorHAnsi" w:cstheme="minorHAnsi"/>
        </w:rPr>
        <w:br/>
      </w:r>
      <w:r w:rsidR="00DA6E05" w:rsidRPr="00F55F96">
        <w:rPr>
          <w:rFonts w:asciiTheme="minorHAnsi" w:eastAsiaTheme="majorEastAsia" w:hAnsiTheme="minorHAnsi" w:cstheme="minorHAnsi"/>
          <w:b/>
          <w:bCs/>
          <w:color w:val="4472C4" w:themeColor="accent1"/>
          <w:sz w:val="26"/>
          <w:szCs w:val="26"/>
        </w:rPr>
        <w:t>Asset swap spread trades – digital plays on yield vs swap</w:t>
      </w:r>
    </w:p>
    <w:p w14:paraId="7FA751CA" w14:textId="77777777" w:rsidR="00DA6E05" w:rsidRPr="00F55F96" w:rsidRDefault="00DA6E05" w:rsidP="00DA6E05">
      <w:pPr>
        <w:rPr>
          <w:rFonts w:asciiTheme="minorHAnsi" w:hAnsiTheme="minorHAnsi" w:cstheme="minorHAnsi"/>
        </w:rPr>
      </w:pPr>
    </w:p>
    <w:p w14:paraId="50F9BA3A"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 xml:space="preserve">Another area of activity among traditional </w:t>
      </w:r>
      <w:proofErr w:type="spellStart"/>
      <w:r w:rsidRPr="00F55F96">
        <w:rPr>
          <w:rFonts w:asciiTheme="minorHAnsi" w:hAnsiTheme="minorHAnsi" w:cstheme="minorHAnsi"/>
        </w:rPr>
        <w:t>steepener</w:t>
      </w:r>
      <w:proofErr w:type="spellEnd"/>
      <w:r w:rsidRPr="00F55F96">
        <w:rPr>
          <w:rFonts w:asciiTheme="minorHAnsi" w:hAnsiTheme="minorHAnsi" w:cstheme="minorHAnsi"/>
        </w:rPr>
        <w:t xml:space="preserve"> participants (e.g. CMS10y – CMS2y) has been digital-style positions on the asset swap spread between CMT and CMS. In these structures, the payoff reflects the relative performance of sovereign yields versus swap rates for the same maturity.</w:t>
      </w:r>
    </w:p>
    <w:p w14:paraId="176A290D" w14:textId="77777777" w:rsidR="00DA6E05" w:rsidRPr="00F55F96" w:rsidRDefault="00DA6E05" w:rsidP="00DA6E05">
      <w:pPr>
        <w:rPr>
          <w:rFonts w:asciiTheme="minorHAnsi" w:hAnsiTheme="minorHAnsi" w:cstheme="minorHAnsi"/>
        </w:rPr>
      </w:pPr>
    </w:p>
    <w:p w14:paraId="5EB5935D"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The asset swap spread curve — defined as the difference between government bond yields and swap rates of identical tenor — typically slopes upward. This shape reflects two structural forces:</w:t>
      </w:r>
    </w:p>
    <w:p w14:paraId="76E3471A" w14:textId="545FB16C" w:rsidR="00DA6E05" w:rsidRPr="00F55F96" w:rsidRDefault="00DA6E05" w:rsidP="00DA6E05">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t xml:space="preserve">the term premium embedded in government yield </w:t>
      </w:r>
      <w:r w:rsidRPr="00F55F96">
        <w:rPr>
          <w:rFonts w:asciiTheme="minorHAnsi" w:hAnsiTheme="minorHAnsi" w:cstheme="minorHAnsi"/>
        </w:rPr>
        <w:t>curves.</w:t>
      </w:r>
    </w:p>
    <w:p w14:paraId="082B9501"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ab/>
        <w:t>•</w:t>
      </w:r>
      <w:r w:rsidRPr="00F55F96">
        <w:rPr>
          <w:rFonts w:asciiTheme="minorHAnsi" w:hAnsiTheme="minorHAnsi" w:cstheme="minorHAnsi"/>
        </w:rPr>
        <w:tab/>
        <w:t>the hedging premium in swap curves, driven by persistent demand for long-dated duration from pension funds and insurers.</w:t>
      </w:r>
    </w:p>
    <w:p w14:paraId="0AFFF1B4" w14:textId="77777777" w:rsidR="00DA6E05" w:rsidRPr="00F55F96" w:rsidRDefault="00DA6E05" w:rsidP="00DA6E05">
      <w:pPr>
        <w:rPr>
          <w:rFonts w:asciiTheme="minorHAnsi" w:hAnsiTheme="minorHAnsi" w:cstheme="minorHAnsi"/>
        </w:rPr>
      </w:pPr>
    </w:p>
    <w:p w14:paraId="17E82B8F"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In practice, while sovereign yield curves often steepen with maturity, swap curves tend to flatten at the long end. This divergence creates scope for strategies — particularly in digital format — that isolate the structural gap between the two curves.</w:t>
      </w:r>
    </w:p>
    <w:p w14:paraId="40DBC406" w14:textId="77777777" w:rsidR="00DA6E05" w:rsidRPr="00F55F96" w:rsidRDefault="00DA6E05" w:rsidP="00DA6E05">
      <w:pPr>
        <w:rPr>
          <w:rFonts w:asciiTheme="minorHAnsi" w:hAnsiTheme="minorHAnsi" w:cstheme="minorHAnsi"/>
        </w:rPr>
      </w:pPr>
    </w:p>
    <w:p w14:paraId="49FBE110"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The interest of these trades can be understood in terms of volatility-adjusted carry. Forward swap rates generally deliver lower carry than forward sovereign yields, and in inverted curve environments may even imply negative carry. Yet, the correlation between sovereign yields and swap rates is high, and their volatility levels are broadly comparable. This implies that, depending on market conditions and issuers, the volatility-adjusted carry of such trades can range between 0.5 and 1, offering a quantifiable way to capture relative term premia across curves.</w:t>
      </w:r>
    </w:p>
    <w:p w14:paraId="5B1BB72F" w14:textId="77777777" w:rsidR="00C33A36" w:rsidRPr="00F55F96" w:rsidRDefault="00C33A36" w:rsidP="00DA6E05">
      <w:pPr>
        <w:rPr>
          <w:rFonts w:asciiTheme="minorHAnsi" w:hAnsiTheme="minorHAnsi" w:cstheme="minorHAnsi"/>
        </w:rPr>
      </w:pPr>
    </w:p>
    <w:p w14:paraId="5EF5F635" w14:textId="77777777" w:rsidR="00DA6E05" w:rsidRPr="00F55F96" w:rsidRDefault="00DA6E05" w:rsidP="00DA6E05">
      <w:pPr>
        <w:rPr>
          <w:rFonts w:asciiTheme="minorHAnsi" w:hAnsiTheme="minorHAnsi" w:cstheme="minorHAnsi"/>
        </w:rPr>
      </w:pPr>
    </w:p>
    <w:p w14:paraId="4C812159" w14:textId="09249202" w:rsidR="007D4E65" w:rsidRPr="00F55F96" w:rsidRDefault="00DA6E05" w:rsidP="00DA6E05">
      <w:pPr>
        <w:rPr>
          <w:rFonts w:asciiTheme="minorHAnsi" w:hAnsiTheme="minorHAnsi" w:cstheme="minorHAnsi"/>
        </w:rPr>
      </w:pPr>
      <w:r w:rsidRPr="00F55F96">
        <w:rPr>
          <w:rFonts w:asciiTheme="minorHAnsi" w:hAnsiTheme="minorHAnsi" w:cstheme="minorHAnsi"/>
        </w:rPr>
        <w:t xml:space="preserve">In essence, the trade isolates a structural shape in the rates market: one curve steepening under the weight of sovereign risk premia, the other flattening under hedging flows. Expressed in a binary, option-like format, it </w:t>
      </w:r>
      <w:r w:rsidR="006D7102" w:rsidRPr="00F55F96">
        <w:rPr>
          <w:rFonts w:asciiTheme="minorHAnsi" w:hAnsiTheme="minorHAnsi" w:cstheme="minorHAnsi"/>
        </w:rPr>
        <w:t>crystallizes</w:t>
      </w:r>
      <w:r w:rsidRPr="00F55F96">
        <w:rPr>
          <w:rFonts w:asciiTheme="minorHAnsi" w:hAnsiTheme="minorHAnsi" w:cstheme="minorHAnsi"/>
        </w:rPr>
        <w:t xml:space="preserve"> a view on the persistence — or mean reversion — of that spread.</w:t>
      </w:r>
    </w:p>
    <w:p w14:paraId="68BDE161" w14:textId="77777777" w:rsidR="00DA6E05" w:rsidRPr="00F55F96" w:rsidRDefault="00DA6E05" w:rsidP="00DA6E05">
      <w:pPr>
        <w:rPr>
          <w:rFonts w:asciiTheme="minorHAnsi" w:hAnsiTheme="minorHAnsi" w:cstheme="minorHAnsi"/>
        </w:rPr>
      </w:pPr>
    </w:p>
    <w:p w14:paraId="15AAAC9A" w14:textId="77777777" w:rsidR="00DA6E05" w:rsidRPr="00F55F96" w:rsidRDefault="00DA6E05" w:rsidP="00DA6E05">
      <w:pPr>
        <w:rPr>
          <w:rFonts w:asciiTheme="minorHAnsi" w:eastAsiaTheme="majorEastAsia" w:hAnsiTheme="minorHAnsi" w:cstheme="minorHAnsi"/>
          <w:b/>
          <w:bCs/>
          <w:color w:val="4472C4" w:themeColor="accent1"/>
          <w:sz w:val="26"/>
          <w:szCs w:val="26"/>
        </w:rPr>
      </w:pPr>
      <w:r w:rsidRPr="00F55F96">
        <w:rPr>
          <w:rFonts w:asciiTheme="minorHAnsi" w:eastAsiaTheme="majorEastAsia" w:hAnsiTheme="minorHAnsi" w:cstheme="minorHAnsi"/>
          <w:b/>
          <w:bCs/>
          <w:color w:val="4472C4" w:themeColor="accent1"/>
          <w:sz w:val="26"/>
          <w:szCs w:val="26"/>
        </w:rPr>
        <w:t>Yield volatility – beyond the traditional swaption playbook</w:t>
      </w:r>
    </w:p>
    <w:p w14:paraId="4FAC43B8" w14:textId="77777777" w:rsidR="00DA6E05" w:rsidRPr="00F55F96" w:rsidRDefault="00DA6E05" w:rsidP="00DA6E05">
      <w:pPr>
        <w:rPr>
          <w:rFonts w:asciiTheme="minorHAnsi" w:hAnsiTheme="minorHAnsi" w:cstheme="minorHAnsi"/>
        </w:rPr>
      </w:pPr>
    </w:p>
    <w:p w14:paraId="1EAED764"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In interest rate markets, swaption volatility has long been the reference measure of uncertainty. Anchored in deep and liquid swap markets, it functions as a consistent proxy for bond market volatility — particularly when the spread between swap rates and government bond yields remains narrow and stable.</w:t>
      </w:r>
    </w:p>
    <w:p w14:paraId="3489E03C" w14:textId="77777777" w:rsidR="00DA6E05" w:rsidRPr="00F55F96" w:rsidRDefault="00DA6E05" w:rsidP="00DA6E05">
      <w:pPr>
        <w:rPr>
          <w:rFonts w:asciiTheme="minorHAnsi" w:hAnsiTheme="minorHAnsi" w:cstheme="minorHAnsi"/>
        </w:rPr>
      </w:pPr>
    </w:p>
    <w:p w14:paraId="286C2D86"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lastRenderedPageBreak/>
        <w:t>That stability, however, is not guaranteed. In periods of stress — when sovereign risk premia widen or repo markets tighten — bonds and swaps may diverge significantly, reducing the precision of swaption-based measures. In such contexts, a complementary approach consists of indexing volatility directly to government bond yields.</w:t>
      </w:r>
    </w:p>
    <w:p w14:paraId="591B2B58" w14:textId="77777777" w:rsidR="00DA6E05" w:rsidRPr="00F55F96" w:rsidRDefault="00DA6E05" w:rsidP="00DA6E05">
      <w:pPr>
        <w:rPr>
          <w:rFonts w:asciiTheme="minorHAnsi" w:hAnsiTheme="minorHAnsi" w:cstheme="minorHAnsi"/>
        </w:rPr>
      </w:pPr>
    </w:p>
    <w:p w14:paraId="025ABB9E"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The principle is straightforward: instead of inferring bond market turbulence indirectly from swap instruments, volatility can be measured and transferred through bond option contracts linked to CMT fixings. This does not substitute for swaptions — which continue to provide liquidity and established modelling infrastructure — but rather introduces a direct representation of sovereign yield volatility.</w:t>
      </w:r>
    </w:p>
    <w:p w14:paraId="6DDC5E68" w14:textId="77777777" w:rsidR="00DA6E05" w:rsidRPr="00F55F96" w:rsidRDefault="00DA6E05" w:rsidP="00DA6E05">
      <w:pPr>
        <w:rPr>
          <w:rFonts w:asciiTheme="minorHAnsi" w:hAnsiTheme="minorHAnsi" w:cstheme="minorHAnsi"/>
        </w:rPr>
      </w:pPr>
    </w:p>
    <w:p w14:paraId="3A1EBCF6"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From a practical perspective, a scalable design is to adapt the existing cap/floor architecture of euro cash-settled swaptions and anchor it to CMT fixings. The mechanics remain identical — same Greeks, same hedging principles — with the underlying replaced by sovereign yield curves.</w:t>
      </w:r>
    </w:p>
    <w:p w14:paraId="4843F977" w14:textId="77777777" w:rsidR="00DA6E05" w:rsidRPr="00F55F96" w:rsidRDefault="00DA6E05" w:rsidP="00DA6E05">
      <w:pPr>
        <w:rPr>
          <w:rFonts w:asciiTheme="minorHAnsi" w:hAnsiTheme="minorHAnsi" w:cstheme="minorHAnsi"/>
        </w:rPr>
      </w:pPr>
    </w:p>
    <w:p w14:paraId="005773EB"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This framework bridges two domains: the analytical and liquidity infrastructure of the swaption market, and the direct exposure to government term structures. It provides a neutral means of isolating volatility in sovereign yields, complementing swap-based instruments in environments where term premia and funding dynamics become more variable.</w:t>
      </w:r>
      <w:r w:rsidRPr="00F55F96">
        <w:rPr>
          <w:rFonts w:asciiTheme="minorHAnsi" w:hAnsiTheme="minorHAnsi" w:cstheme="minorHAnsi"/>
        </w:rPr>
        <w:br/>
      </w:r>
      <w:r w:rsidRPr="00F55F96">
        <w:rPr>
          <w:rFonts w:asciiTheme="minorHAnsi" w:hAnsiTheme="minorHAnsi" w:cstheme="minorHAnsi"/>
        </w:rPr>
        <w:br/>
      </w:r>
      <w:r w:rsidRPr="00F55F96">
        <w:rPr>
          <w:rFonts w:asciiTheme="minorHAnsi" w:eastAsiaTheme="majorEastAsia" w:hAnsiTheme="minorHAnsi" w:cstheme="minorHAnsi"/>
          <w:b/>
          <w:bCs/>
          <w:color w:val="4472C4" w:themeColor="accent1"/>
          <w:sz w:val="26"/>
          <w:szCs w:val="26"/>
        </w:rPr>
        <w:t>The role of term repo – financing as the hidden driver</w:t>
      </w:r>
    </w:p>
    <w:p w14:paraId="3606B30C" w14:textId="77777777" w:rsidR="00DA6E05" w:rsidRPr="00F55F96" w:rsidRDefault="00DA6E05" w:rsidP="00DA6E05">
      <w:pPr>
        <w:rPr>
          <w:rFonts w:asciiTheme="minorHAnsi" w:hAnsiTheme="minorHAnsi" w:cstheme="minorHAnsi"/>
        </w:rPr>
      </w:pPr>
    </w:p>
    <w:p w14:paraId="04B111E5" w14:textId="59C32386" w:rsidR="00DA6E05" w:rsidRPr="00F55F96" w:rsidRDefault="00004FDE" w:rsidP="00DA6E05">
      <w:pPr>
        <w:rPr>
          <w:rFonts w:asciiTheme="minorHAnsi" w:hAnsiTheme="minorHAnsi" w:cstheme="minorHAnsi"/>
        </w:rPr>
      </w:pPr>
      <w:r w:rsidRPr="00F55F96">
        <w:rPr>
          <w:rFonts w:asciiTheme="minorHAnsi" w:hAnsiTheme="minorHAnsi" w:cstheme="minorHAnsi"/>
        </w:rPr>
        <w:t>As Duffie (2020) notes, “The Treasury repo market is central to the transmission of monetary policy and to the liquidity of the Treasury market</w:t>
      </w:r>
      <w:r w:rsidR="003A75F0" w:rsidRPr="00F55F96">
        <w:rPr>
          <w:rFonts w:asciiTheme="minorHAnsi" w:hAnsiTheme="minorHAnsi" w:cstheme="minorHAnsi"/>
        </w:rPr>
        <w:t>”</w:t>
      </w:r>
      <w:r w:rsidRPr="00F55F96">
        <w:rPr>
          <w:rFonts w:asciiTheme="minorHAnsi" w:hAnsiTheme="minorHAnsi" w:cstheme="minorHAnsi"/>
        </w:rPr>
        <w:t>.</w:t>
      </w:r>
    </w:p>
    <w:p w14:paraId="1016000A" w14:textId="77777777" w:rsidR="00004FDE" w:rsidRPr="00F55F96" w:rsidRDefault="00004FDE" w:rsidP="00DA6E05">
      <w:pPr>
        <w:rPr>
          <w:rFonts w:asciiTheme="minorHAnsi" w:hAnsiTheme="minorHAnsi" w:cstheme="minorHAnsi"/>
        </w:rPr>
      </w:pPr>
    </w:p>
    <w:p w14:paraId="49C1A0EB" w14:textId="77777777" w:rsidR="00004FDE" w:rsidRPr="00F55F96" w:rsidRDefault="00004FDE" w:rsidP="00004FDE">
      <w:pPr>
        <w:rPr>
          <w:rFonts w:asciiTheme="minorHAnsi" w:hAnsiTheme="minorHAnsi" w:cstheme="minorHAnsi"/>
        </w:rPr>
      </w:pPr>
      <w:r w:rsidRPr="00F55F96">
        <w:rPr>
          <w:rFonts w:asciiTheme="minorHAnsi" w:hAnsiTheme="minorHAnsi" w:cstheme="minorHAnsi"/>
        </w:rPr>
        <w:t>Every CMT- or yield-linked structure embeds a direct exposure to term repo and, crucially, to its evolution over time.</w:t>
      </w:r>
    </w:p>
    <w:p w14:paraId="24472B25" w14:textId="77777777" w:rsidR="00004FDE" w:rsidRPr="00F55F96" w:rsidRDefault="00004FDE" w:rsidP="00004FDE">
      <w:pPr>
        <w:rPr>
          <w:rFonts w:asciiTheme="minorHAnsi" w:hAnsiTheme="minorHAnsi" w:cstheme="minorHAnsi"/>
        </w:rPr>
      </w:pPr>
    </w:p>
    <w:p w14:paraId="594EE0C3" w14:textId="77777777" w:rsidR="00004FDE" w:rsidRPr="00F55F96" w:rsidRDefault="00004FDE" w:rsidP="00004FDE">
      <w:pPr>
        <w:rPr>
          <w:rFonts w:asciiTheme="minorHAnsi" w:hAnsiTheme="minorHAnsi" w:cstheme="minorHAnsi"/>
        </w:rPr>
      </w:pPr>
      <w:r w:rsidRPr="00F55F96">
        <w:rPr>
          <w:rFonts w:asciiTheme="minorHAnsi" w:hAnsiTheme="minorHAnsi" w:cstheme="minorHAnsi"/>
        </w:rPr>
        <w:t>From a dealer’s perspective, replicating the payoff requires financing the bond position in the repo market and actively managing that financing as conditions change. The key reference point for this process is provided by RFR (Repo Funding Rate) overnight benchmarks — such as those published by CME — which track cleared repo levels on an overnight basis.</w:t>
      </w:r>
    </w:p>
    <w:p w14:paraId="42118D21" w14:textId="77777777" w:rsidR="00004FDE" w:rsidRPr="00F55F96" w:rsidRDefault="00004FDE" w:rsidP="00004FDE">
      <w:pPr>
        <w:rPr>
          <w:rFonts w:asciiTheme="minorHAnsi" w:hAnsiTheme="minorHAnsi" w:cstheme="minorHAnsi"/>
        </w:rPr>
      </w:pPr>
    </w:p>
    <w:p w14:paraId="3660013B" w14:textId="77777777" w:rsidR="00004FDE" w:rsidRPr="00F55F96" w:rsidRDefault="00004FDE" w:rsidP="00004FDE">
      <w:pPr>
        <w:rPr>
          <w:rFonts w:asciiTheme="minorHAnsi" w:hAnsiTheme="minorHAnsi" w:cstheme="minorHAnsi"/>
        </w:rPr>
      </w:pPr>
      <w:r w:rsidRPr="00F55F96">
        <w:rPr>
          <w:rFonts w:asciiTheme="minorHAnsi" w:hAnsiTheme="minorHAnsi" w:cstheme="minorHAnsi"/>
        </w:rPr>
        <w:t>The spread between RFR and OIS represents the relative remuneration of cash versus collateral at the overnight horizon. Extending this logic, the RFR–OIS basis at a given maturity reflects the expected path of this cash–collateral differential over time.</w:t>
      </w:r>
    </w:p>
    <w:p w14:paraId="1C1C10E6" w14:textId="77777777" w:rsidR="00004FDE" w:rsidRPr="00F55F96" w:rsidRDefault="00004FDE" w:rsidP="00004FDE">
      <w:pPr>
        <w:rPr>
          <w:rFonts w:asciiTheme="minorHAnsi" w:hAnsiTheme="minorHAnsi" w:cstheme="minorHAnsi"/>
        </w:rPr>
      </w:pPr>
    </w:p>
    <w:p w14:paraId="7BC10092" w14:textId="77777777" w:rsidR="00004FDE" w:rsidRPr="00F55F96" w:rsidRDefault="00004FDE" w:rsidP="00004FDE">
      <w:pPr>
        <w:rPr>
          <w:rFonts w:asciiTheme="minorHAnsi" w:hAnsiTheme="minorHAnsi" w:cstheme="minorHAnsi"/>
        </w:rPr>
      </w:pPr>
      <w:r w:rsidRPr="00F55F96">
        <w:rPr>
          <w:rFonts w:asciiTheme="minorHAnsi" w:hAnsiTheme="minorHAnsi" w:cstheme="minorHAnsi"/>
        </w:rPr>
        <w:t>To manage the financing component of forward yield payoffs, dealers may either:</w:t>
      </w:r>
    </w:p>
    <w:p w14:paraId="363FEA02" w14:textId="1517B4B4" w:rsidR="00004FDE" w:rsidRPr="00F55F96" w:rsidRDefault="00004FDE" w:rsidP="005175C5">
      <w:pPr>
        <w:pStyle w:val="ListParagraph"/>
        <w:numPr>
          <w:ilvl w:val="0"/>
          <w:numId w:val="9"/>
        </w:numPr>
        <w:spacing w:after="0"/>
        <w:rPr>
          <w:rFonts w:eastAsia="Times New Roman" w:cstheme="minorHAnsi"/>
          <w:sz w:val="24"/>
          <w:szCs w:val="24"/>
        </w:rPr>
      </w:pPr>
      <w:r w:rsidRPr="00F55F96">
        <w:rPr>
          <w:rFonts w:eastAsia="Times New Roman" w:cstheme="minorHAnsi"/>
          <w:sz w:val="24"/>
          <w:szCs w:val="24"/>
        </w:rPr>
        <w:t>use forward bonds or total return swaps on bonds, thereby replicating financing implicitly; or</w:t>
      </w:r>
    </w:p>
    <w:p w14:paraId="4D012A10" w14:textId="604C6671" w:rsidR="00004FDE" w:rsidRPr="00F55F96" w:rsidRDefault="00004FDE" w:rsidP="005175C5">
      <w:pPr>
        <w:pStyle w:val="ListParagraph"/>
        <w:numPr>
          <w:ilvl w:val="0"/>
          <w:numId w:val="9"/>
        </w:numPr>
        <w:spacing w:after="0"/>
        <w:rPr>
          <w:rFonts w:eastAsia="Times New Roman" w:cstheme="minorHAnsi"/>
          <w:sz w:val="24"/>
          <w:szCs w:val="24"/>
        </w:rPr>
      </w:pPr>
      <w:r w:rsidRPr="00F55F96">
        <w:rPr>
          <w:rFonts w:eastAsia="Times New Roman" w:cstheme="minorHAnsi"/>
          <w:sz w:val="24"/>
          <w:szCs w:val="24"/>
        </w:rPr>
        <w:lastRenderedPageBreak/>
        <w:t xml:space="preserve">address it directly through RFR–OIS basis swaps (Ester, Sonia, Tonar, SOFR, etc.) at the appropriate maturity, while </w:t>
      </w:r>
      <w:r w:rsidR="00C33A36" w:rsidRPr="00F55F96">
        <w:rPr>
          <w:rFonts w:eastAsia="Times New Roman" w:cstheme="minorHAnsi"/>
          <w:sz w:val="24"/>
          <w:szCs w:val="24"/>
        </w:rPr>
        <w:t>optimizing</w:t>
      </w:r>
      <w:r w:rsidRPr="00F55F96">
        <w:rPr>
          <w:rFonts w:eastAsia="Times New Roman" w:cstheme="minorHAnsi"/>
          <w:sz w:val="24"/>
          <w:szCs w:val="24"/>
        </w:rPr>
        <w:t xml:space="preserve"> balance-sheet usage </w:t>
      </w:r>
      <w:proofErr w:type="gramStart"/>
      <w:r w:rsidR="00022CB7" w:rsidRPr="00F55F96">
        <w:rPr>
          <w:rFonts w:eastAsia="Times New Roman" w:cstheme="minorHAnsi"/>
          <w:sz w:val="24"/>
          <w:szCs w:val="24"/>
        </w:rPr>
        <w:t xml:space="preserve">with </w:t>
      </w:r>
      <w:r w:rsidR="00022CB7" w:rsidRPr="00F55F96">
        <w:rPr>
          <w:rFonts w:eastAsia="Times New Roman" w:cstheme="minorHAnsi"/>
          <w:sz w:val="24"/>
          <w:szCs w:val="24"/>
        </w:rPr>
        <w:t xml:space="preserve"> total</w:t>
      </w:r>
      <w:proofErr w:type="gramEnd"/>
      <w:r w:rsidR="00022CB7" w:rsidRPr="00F55F96">
        <w:rPr>
          <w:rFonts w:eastAsia="Times New Roman" w:cstheme="minorHAnsi"/>
          <w:sz w:val="24"/>
          <w:szCs w:val="24"/>
        </w:rPr>
        <w:t xml:space="preserve"> return swaps on bonds</w:t>
      </w:r>
      <w:r w:rsidR="00022CB7" w:rsidRPr="00F55F96">
        <w:rPr>
          <w:rFonts w:eastAsia="Times New Roman" w:cstheme="minorHAnsi"/>
          <w:sz w:val="24"/>
          <w:szCs w:val="24"/>
        </w:rPr>
        <w:t xml:space="preserve"> embedding RFR leg or </w:t>
      </w:r>
      <w:r w:rsidRPr="00F55F96">
        <w:rPr>
          <w:rFonts w:eastAsia="Times New Roman" w:cstheme="minorHAnsi"/>
          <w:sz w:val="24"/>
          <w:szCs w:val="24"/>
        </w:rPr>
        <w:t>at the short end.</w:t>
      </w:r>
    </w:p>
    <w:p w14:paraId="40B791C3" w14:textId="77777777" w:rsidR="00004FDE" w:rsidRPr="00F55F96" w:rsidRDefault="00004FDE" w:rsidP="00004FDE">
      <w:pPr>
        <w:rPr>
          <w:rFonts w:asciiTheme="minorHAnsi" w:hAnsiTheme="minorHAnsi" w:cstheme="minorHAnsi"/>
        </w:rPr>
      </w:pPr>
    </w:p>
    <w:p w14:paraId="5D5FB989" w14:textId="77777777" w:rsidR="00004FDE" w:rsidRPr="00F55F96" w:rsidRDefault="00004FDE" w:rsidP="00004FDE">
      <w:pPr>
        <w:rPr>
          <w:rFonts w:asciiTheme="minorHAnsi" w:hAnsiTheme="minorHAnsi" w:cstheme="minorHAnsi"/>
        </w:rPr>
      </w:pPr>
      <w:r w:rsidRPr="00F55F96">
        <w:rPr>
          <w:rFonts w:asciiTheme="minorHAnsi" w:hAnsiTheme="minorHAnsi" w:cstheme="minorHAnsi"/>
        </w:rPr>
        <w:t>Conceptually, the RFR–OIS basis functions as a derivative analogue of equity index total return futures: it isolates the economics of holding the asset relative to the cost of financing it, but without the same balance-sheet intensity.</w:t>
      </w:r>
    </w:p>
    <w:p w14:paraId="3C5D927D" w14:textId="77777777" w:rsidR="00004FDE" w:rsidRPr="00F55F96" w:rsidRDefault="00004FDE" w:rsidP="00004FDE">
      <w:pPr>
        <w:rPr>
          <w:rFonts w:asciiTheme="minorHAnsi" w:hAnsiTheme="minorHAnsi" w:cstheme="minorHAnsi"/>
        </w:rPr>
      </w:pPr>
    </w:p>
    <w:p w14:paraId="44DD1717" w14:textId="6CC99774" w:rsidR="00DA6E05" w:rsidRPr="00F55F96" w:rsidRDefault="00004FDE" w:rsidP="00004FDE">
      <w:pPr>
        <w:rPr>
          <w:rFonts w:asciiTheme="minorHAnsi" w:hAnsiTheme="minorHAnsi" w:cstheme="minorHAnsi"/>
        </w:rPr>
      </w:pPr>
      <w:r w:rsidRPr="00F55F96">
        <w:rPr>
          <w:rFonts w:asciiTheme="minorHAnsi" w:hAnsiTheme="minorHAnsi" w:cstheme="minorHAnsi"/>
        </w:rPr>
        <w:t>Importantly, when demand rises for forward bonds, CMT-linked notes, or other products indexed to forward yields, this demand exerts upward pressure on term repo. The term repo curve then incorporates a premium that reflects both the cost of maturity transformation and the mark-to-market (</w:t>
      </w:r>
      <w:proofErr w:type="spellStart"/>
      <w:r w:rsidRPr="00F55F96">
        <w:rPr>
          <w:rFonts w:asciiTheme="minorHAnsi" w:hAnsiTheme="minorHAnsi" w:cstheme="minorHAnsi"/>
        </w:rPr>
        <w:t>MtM</w:t>
      </w:r>
      <w:proofErr w:type="spellEnd"/>
      <w:r w:rsidRPr="00F55F96">
        <w:rPr>
          <w:rFonts w:asciiTheme="minorHAnsi" w:hAnsiTheme="minorHAnsi" w:cstheme="minorHAnsi"/>
        </w:rPr>
        <w:t>) risk embedded in financing. This premium can be approximated by comparing the difference between the spot RFR–OIS overnight basis and its forward value.</w:t>
      </w:r>
    </w:p>
    <w:p w14:paraId="5ED9D17E" w14:textId="77777777" w:rsidR="00004FDE" w:rsidRPr="00F55F96" w:rsidRDefault="00004FDE" w:rsidP="00004FDE">
      <w:pPr>
        <w:rPr>
          <w:rFonts w:asciiTheme="minorHAnsi" w:hAnsiTheme="minorHAnsi" w:cstheme="minorHAnsi"/>
        </w:rPr>
      </w:pPr>
    </w:p>
    <w:p w14:paraId="70CBA71E" w14:textId="77777777" w:rsidR="00DA6E05" w:rsidRPr="00F55F96" w:rsidRDefault="00DA6E05" w:rsidP="00DA6E05">
      <w:pPr>
        <w:rPr>
          <w:rFonts w:asciiTheme="minorHAnsi" w:hAnsiTheme="minorHAnsi" w:cstheme="minorHAnsi"/>
        </w:rPr>
      </w:pPr>
      <w:r w:rsidRPr="00F55F96">
        <w:rPr>
          <w:rFonts w:asciiTheme="minorHAnsi" w:hAnsiTheme="minorHAnsi" w:cstheme="minorHAnsi"/>
        </w:rPr>
        <w:t>It is therefore useful to decompose financing carry into three components:</w:t>
      </w:r>
    </w:p>
    <w:p w14:paraId="2DD74B9B" w14:textId="77777777" w:rsidR="006F251E" w:rsidRPr="00F55F96" w:rsidRDefault="006F251E" w:rsidP="00DA6E05">
      <w:pPr>
        <w:rPr>
          <w:rFonts w:asciiTheme="minorHAnsi" w:hAnsiTheme="minorHAnsi" w:cstheme="minorHAnsi"/>
        </w:rPr>
      </w:pPr>
    </w:p>
    <w:p w14:paraId="4FD71AF7" w14:textId="5407C8DE" w:rsidR="00DA6E05" w:rsidRPr="00F55F96" w:rsidRDefault="00DA6E05" w:rsidP="00DA6E05">
      <w:pPr>
        <w:rPr>
          <w:rFonts w:asciiTheme="minorHAnsi" w:hAnsiTheme="minorHAnsi" w:cstheme="minorHAnsi"/>
        </w:rPr>
      </w:pPr>
      <m:oMathPara>
        <m:oMath>
          <m:r>
            <w:rPr>
              <w:rFonts w:ascii="Cambria Math" w:hAnsi="Cambria Math" w:cstheme="minorHAnsi"/>
            </w:rPr>
            <m:t>C</m:t>
          </m:r>
          <m:r>
            <w:rPr>
              <w:rFonts w:ascii="Cambria Math" w:hAnsi="Cambria Math" w:cstheme="minorHAnsi"/>
            </w:rPr>
            <m:t>arryFinancing</m:t>
          </m:r>
          <m:r>
            <w:rPr>
              <w:rFonts w:ascii="Cambria Math" w:hAnsi="Cambria Math" w:cstheme="minorHAnsi"/>
            </w:rPr>
            <m:t>=GrossCarry-Transformation</m:t>
          </m:r>
          <m:r>
            <w:rPr>
              <w:rFonts w:ascii="Cambria Math" w:hAnsi="Cambria Math" w:cstheme="minorHAnsi"/>
            </w:rPr>
            <m:t>Premium</m:t>
          </m:r>
          <m:r>
            <w:rPr>
              <w:rFonts w:ascii="Cambria Math" w:hAnsi="Cambria Math" w:cstheme="minorHAnsi"/>
            </w:rPr>
            <m:t>-BalanceSheetCost</m:t>
          </m:r>
        </m:oMath>
      </m:oMathPara>
    </w:p>
    <w:p w14:paraId="79EAD10B" w14:textId="77777777" w:rsidR="00022CB7" w:rsidRPr="00F55F96" w:rsidRDefault="00022CB7" w:rsidP="00DA6E05">
      <w:pPr>
        <w:rPr>
          <w:rFonts w:asciiTheme="minorHAnsi" w:hAnsiTheme="minorHAnsi" w:cstheme="minorHAnsi"/>
        </w:rPr>
      </w:pPr>
    </w:p>
    <w:p w14:paraId="43554EBC" w14:textId="77777777" w:rsidR="00DA6E05" w:rsidRPr="00F55F96" w:rsidRDefault="00DA6E05" w:rsidP="00DA6E05">
      <w:pPr>
        <w:rPr>
          <w:rFonts w:asciiTheme="minorHAnsi" w:hAnsiTheme="minorHAnsi" w:cstheme="minorHAnsi"/>
        </w:rPr>
      </w:pPr>
    </w:p>
    <w:p w14:paraId="47B31F3F" w14:textId="5F143C6E" w:rsidR="00DA6E05" w:rsidRPr="00F55F96" w:rsidRDefault="00DA6E05" w:rsidP="005175C5">
      <w:pPr>
        <w:pStyle w:val="ListParagraph"/>
        <w:numPr>
          <w:ilvl w:val="0"/>
          <w:numId w:val="10"/>
        </w:numPr>
        <w:spacing w:after="0"/>
        <w:rPr>
          <w:rFonts w:eastAsia="Times New Roman" w:cstheme="minorHAnsi"/>
          <w:sz w:val="24"/>
          <w:szCs w:val="24"/>
        </w:rPr>
      </w:pPr>
      <w:r w:rsidRPr="00F55F96">
        <w:rPr>
          <w:rFonts w:eastAsia="Times New Roman" w:cstheme="minorHAnsi"/>
          <w:sz w:val="24"/>
          <w:szCs w:val="24"/>
        </w:rPr>
        <w:t>Gross Carry: the yield–OIS spread, representing the baseline differential absent balance-sheet or transformation effects</w:t>
      </w:r>
      <w:r w:rsidRPr="00F55F96">
        <w:rPr>
          <w:rFonts w:eastAsia="Times New Roman" w:cstheme="minorHAnsi"/>
          <w:sz w:val="24"/>
          <w:szCs w:val="24"/>
        </w:rPr>
        <w:t>.</w:t>
      </w:r>
    </w:p>
    <w:p w14:paraId="3DC27F0A" w14:textId="1EB9EBB4" w:rsidR="00DA6E05" w:rsidRPr="00F55F96" w:rsidRDefault="00DA6E05" w:rsidP="005175C5">
      <w:pPr>
        <w:pStyle w:val="ListParagraph"/>
        <w:numPr>
          <w:ilvl w:val="0"/>
          <w:numId w:val="10"/>
        </w:numPr>
        <w:spacing w:after="0"/>
        <w:rPr>
          <w:rFonts w:eastAsia="Times New Roman" w:cstheme="minorHAnsi"/>
          <w:sz w:val="24"/>
          <w:szCs w:val="24"/>
        </w:rPr>
      </w:pPr>
      <w:r w:rsidRPr="00F55F96">
        <w:rPr>
          <w:rFonts w:eastAsia="Times New Roman" w:cstheme="minorHAnsi"/>
          <w:sz w:val="24"/>
          <w:szCs w:val="24"/>
        </w:rPr>
        <w:t xml:space="preserve">Transformation </w:t>
      </w:r>
      <w:r w:rsidR="006F251E" w:rsidRPr="00F55F96">
        <w:rPr>
          <w:rFonts w:eastAsia="Times New Roman" w:cstheme="minorHAnsi"/>
          <w:sz w:val="24"/>
          <w:szCs w:val="24"/>
        </w:rPr>
        <w:t>Premium</w:t>
      </w:r>
      <w:r w:rsidRPr="00F55F96">
        <w:rPr>
          <w:rFonts w:eastAsia="Times New Roman" w:cstheme="minorHAnsi"/>
          <w:sz w:val="24"/>
          <w:szCs w:val="24"/>
        </w:rPr>
        <w:t>: the RFR–OIS basis, measuring the premium required for extending secured financing over time</w:t>
      </w:r>
      <w:r w:rsidRPr="00F55F96">
        <w:rPr>
          <w:rFonts w:eastAsia="Times New Roman" w:cstheme="minorHAnsi"/>
          <w:sz w:val="24"/>
          <w:szCs w:val="24"/>
        </w:rPr>
        <w:t>.</w:t>
      </w:r>
    </w:p>
    <w:p w14:paraId="69908396" w14:textId="01444339" w:rsidR="00DA6E05" w:rsidRPr="00F55F96" w:rsidRDefault="00DA6E05" w:rsidP="005175C5">
      <w:pPr>
        <w:pStyle w:val="ListParagraph"/>
        <w:numPr>
          <w:ilvl w:val="0"/>
          <w:numId w:val="10"/>
        </w:numPr>
        <w:spacing w:after="0"/>
        <w:rPr>
          <w:rFonts w:eastAsia="Times New Roman" w:cstheme="minorHAnsi"/>
          <w:sz w:val="24"/>
          <w:szCs w:val="24"/>
        </w:rPr>
      </w:pPr>
      <w:r w:rsidRPr="00F55F96">
        <w:rPr>
          <w:rFonts w:eastAsia="Times New Roman" w:cstheme="minorHAnsi"/>
          <w:sz w:val="24"/>
          <w:szCs w:val="24"/>
        </w:rPr>
        <w:t>Balance-Sheet Cost: the incremental charge reflecting stickiness and limited availability of dealer balance sheets.</w:t>
      </w:r>
    </w:p>
    <w:p w14:paraId="68151357" w14:textId="77777777" w:rsidR="00DA6E05" w:rsidRPr="00F55F96" w:rsidRDefault="00DA6E05" w:rsidP="00DA6E05">
      <w:pPr>
        <w:rPr>
          <w:rFonts w:asciiTheme="minorHAnsi" w:hAnsiTheme="minorHAnsi" w:cstheme="minorHAnsi"/>
        </w:rPr>
      </w:pPr>
    </w:p>
    <w:p w14:paraId="4FBDA00C" w14:textId="5D2DDB9E" w:rsidR="00022CB7" w:rsidRPr="00022CB7" w:rsidRDefault="00022CB7" w:rsidP="00022CB7">
      <w:pPr>
        <w:spacing w:before="100" w:beforeAutospacing="1" w:after="100" w:afterAutospacing="1"/>
        <w:rPr>
          <w:rFonts w:asciiTheme="minorHAnsi" w:hAnsiTheme="minorHAnsi" w:cstheme="minorHAnsi"/>
        </w:rPr>
      </w:pPr>
      <w:r w:rsidRPr="00022CB7">
        <w:rPr>
          <w:rFonts w:asciiTheme="minorHAnsi" w:hAnsiTheme="minorHAnsi" w:cstheme="minorHAnsi"/>
        </w:rPr>
        <w:t>This market — still at an early stage — provides, for the first time, a scalable and observable format to trade the relative value of cash versus government bond collateral at term. A 5-year basis swap (RFR OAT vs €STR + spread), for example, reflects the expected average daily spread between the overnight government bond refinancing rate and the remuneration of overnight cash.</w:t>
      </w:r>
    </w:p>
    <w:p w14:paraId="38B1CAC5" w14:textId="77777777" w:rsidR="00022CB7" w:rsidRPr="00F55F96" w:rsidRDefault="00022CB7" w:rsidP="00022CB7">
      <w:pPr>
        <w:spacing w:before="100" w:beforeAutospacing="1" w:after="100" w:afterAutospacing="1"/>
        <w:rPr>
          <w:rFonts w:asciiTheme="minorHAnsi" w:hAnsiTheme="minorHAnsi" w:cstheme="minorHAnsi"/>
        </w:rPr>
      </w:pPr>
      <w:r w:rsidRPr="00022CB7">
        <w:rPr>
          <w:rFonts w:asciiTheme="minorHAnsi" w:hAnsiTheme="minorHAnsi" w:cstheme="minorHAnsi"/>
        </w:rPr>
        <w:t>Balance-sheet cost depends on the availability of capacity and the ability to transfer it. It can be hedged at customized maturities through a bond total return swap (TRS) with an RFR leg, which broadly immunizes financing over the life of the transaction.</w:t>
      </w:r>
    </w:p>
    <w:p w14:paraId="0B5AD181" w14:textId="30F00D44" w:rsidR="00022CB7" w:rsidRPr="00022CB7" w:rsidRDefault="00022CB7" w:rsidP="00022CB7">
      <w:pPr>
        <w:spacing w:before="100" w:beforeAutospacing="1" w:after="100" w:afterAutospacing="1"/>
        <w:rPr>
          <w:rFonts w:asciiTheme="minorHAnsi" w:hAnsiTheme="minorHAnsi" w:cstheme="minorHAnsi"/>
        </w:rPr>
      </w:pPr>
      <m:oMathPara>
        <m:oMath>
          <m:r>
            <w:rPr>
              <w:rFonts w:ascii="Cambria Math" w:hAnsi="Cambria Math" w:cstheme="minorHAnsi"/>
            </w:rPr>
            <m:t xml:space="preserve">TRS vs </m:t>
          </m:r>
          <m:d>
            <m:dPr>
              <m:ctrlPr>
                <w:rPr>
                  <w:rFonts w:ascii="Cambria Math" w:hAnsi="Cambria Math" w:cstheme="minorHAnsi"/>
                  <w:i/>
                </w:rPr>
              </m:ctrlPr>
            </m:dPr>
            <m:e>
              <m:r>
                <w:rPr>
                  <w:rFonts w:ascii="Cambria Math" w:hAnsi="Cambria Math" w:cstheme="minorHAnsi"/>
                </w:rPr>
                <m:t xml:space="preserve"> OIS+spread</m:t>
              </m:r>
            </m:e>
          </m:d>
          <m:r>
            <w:rPr>
              <w:rFonts w:ascii="Cambria Math" w:hAnsi="Cambria Math" w:cstheme="minorHAnsi"/>
            </w:rPr>
            <m:t>:=</m:t>
          </m:r>
          <m:r>
            <w:rPr>
              <w:rFonts w:ascii="Cambria Math" w:hAnsi="Cambria Math" w:cstheme="minorHAnsi"/>
            </w:rPr>
            <m:t xml:space="preserve">TRS vs </m:t>
          </m:r>
          <m:d>
            <m:dPr>
              <m:ctrlPr>
                <w:rPr>
                  <w:rFonts w:ascii="Cambria Math" w:hAnsi="Cambria Math" w:cstheme="minorHAnsi"/>
                  <w:i/>
                </w:rPr>
              </m:ctrlPr>
            </m:dPr>
            <m:e>
              <m:r>
                <w:rPr>
                  <w:rFonts w:ascii="Cambria Math" w:hAnsi="Cambria Math" w:cstheme="minorHAnsi"/>
                </w:rPr>
                <m:t xml:space="preserve"> </m:t>
              </m:r>
              <m:r>
                <w:rPr>
                  <w:rFonts w:ascii="Cambria Math" w:hAnsi="Cambria Math" w:cstheme="minorHAnsi"/>
                </w:rPr>
                <m:t>RFR</m:t>
              </m:r>
              <m:r>
                <w:rPr>
                  <w:rFonts w:ascii="Cambria Math" w:hAnsi="Cambria Math" w:cstheme="minorHAnsi"/>
                </w:rPr>
                <m:t>+</m:t>
              </m:r>
              <m:r>
                <w:rPr>
                  <w:rFonts w:ascii="Cambria Math" w:hAnsi="Cambria Math" w:cstheme="minorHAnsi"/>
                </w:rPr>
                <m:t>B/S  cost</m:t>
              </m:r>
            </m:e>
          </m:d>
          <m:r>
            <w:rPr>
              <w:rFonts w:ascii="Cambria Math" w:hAnsi="Cambria Math" w:cstheme="minorHAnsi"/>
            </w:rPr>
            <m:t>+RFR vs (OIS+TF)</m:t>
          </m:r>
        </m:oMath>
      </m:oMathPara>
    </w:p>
    <w:p w14:paraId="595ED19A" w14:textId="77777777" w:rsidR="00EE7126" w:rsidRPr="00EE7126" w:rsidRDefault="00EE7126" w:rsidP="00EE7126">
      <w:pPr>
        <w:spacing w:before="100" w:beforeAutospacing="1" w:after="100" w:afterAutospacing="1"/>
        <w:rPr>
          <w:rFonts w:asciiTheme="minorHAnsi" w:hAnsiTheme="minorHAnsi" w:cstheme="minorHAnsi"/>
        </w:rPr>
      </w:pPr>
      <w:r w:rsidRPr="00EE7126">
        <w:rPr>
          <w:rFonts w:asciiTheme="minorHAnsi" w:hAnsiTheme="minorHAnsi" w:cstheme="minorHAnsi"/>
        </w:rPr>
        <w:t xml:space="preserve">In fixed income markets, basis products have long been used to transfer risk across investor bases: Euribor–€STR or Libor–OIS in rates, and cross-currency basis in FX. The RFR–OIS basis extends this logic to term repo, embedding the market’s collective view of the relative value of cash and sovereign collateral at maturities relevant to both traders and issuers. A natural </w:t>
      </w:r>
      <w:r w:rsidRPr="00EE7126">
        <w:rPr>
          <w:rFonts w:asciiTheme="minorHAnsi" w:hAnsiTheme="minorHAnsi" w:cstheme="minorHAnsi"/>
        </w:rPr>
        <w:lastRenderedPageBreak/>
        <w:t>implementation is through a bond total return swap (TRS) versus RFR, which isolates the financing component and allows balance-sheet cost to be traded explicitly.</w:t>
      </w:r>
    </w:p>
    <w:p w14:paraId="5D346290" w14:textId="77777777" w:rsidR="00EE7126" w:rsidRPr="00F55F96" w:rsidRDefault="00EE7126" w:rsidP="00DA6E05">
      <w:pPr>
        <w:rPr>
          <w:rFonts w:asciiTheme="minorHAnsi" w:hAnsiTheme="minorHAnsi" w:cstheme="minorHAnsi"/>
        </w:rPr>
      </w:pPr>
    </w:p>
    <w:p w14:paraId="17CA7D11" w14:textId="77777777" w:rsidR="00510A73" w:rsidRPr="00F55F96" w:rsidRDefault="00510A73" w:rsidP="00DA6E05">
      <w:pPr>
        <w:rPr>
          <w:rFonts w:asciiTheme="minorHAnsi" w:hAnsiTheme="minorHAnsi" w:cstheme="minorHAnsi"/>
        </w:rPr>
      </w:pPr>
    </w:p>
    <w:p w14:paraId="1BECF601" w14:textId="77777777" w:rsidR="00510A73" w:rsidRPr="00F55F96" w:rsidRDefault="00510A73" w:rsidP="00510A73">
      <w:pPr>
        <w:rPr>
          <w:rFonts w:asciiTheme="minorHAnsi" w:eastAsiaTheme="majorEastAsia" w:hAnsiTheme="minorHAnsi" w:cstheme="minorHAnsi"/>
          <w:b/>
          <w:bCs/>
          <w:color w:val="4472C4" w:themeColor="accent1"/>
          <w:sz w:val="26"/>
          <w:szCs w:val="26"/>
        </w:rPr>
      </w:pPr>
      <w:r w:rsidRPr="00F55F96">
        <w:rPr>
          <w:rFonts w:asciiTheme="minorHAnsi" w:eastAsiaTheme="majorEastAsia" w:hAnsiTheme="minorHAnsi" w:cstheme="minorHAnsi"/>
          <w:b/>
          <w:bCs/>
          <w:color w:val="4472C4" w:themeColor="accent1"/>
          <w:sz w:val="26"/>
          <w:szCs w:val="26"/>
        </w:rPr>
        <w:t>Conclusion – Term premium as the new frontier</w:t>
      </w:r>
    </w:p>
    <w:p w14:paraId="6CA63A9C" w14:textId="77777777" w:rsidR="00510A73" w:rsidRPr="00F55F96" w:rsidRDefault="00510A73" w:rsidP="00510A73">
      <w:pPr>
        <w:rPr>
          <w:rFonts w:asciiTheme="minorHAnsi" w:hAnsiTheme="minorHAnsi" w:cstheme="minorHAnsi"/>
        </w:rPr>
      </w:pPr>
    </w:p>
    <w:p w14:paraId="40235FFE" w14:textId="77777777" w:rsidR="00510A73" w:rsidRPr="00F55F96" w:rsidRDefault="00510A73" w:rsidP="00510A73">
      <w:pPr>
        <w:rPr>
          <w:rFonts w:asciiTheme="minorHAnsi" w:hAnsiTheme="minorHAnsi" w:cstheme="minorHAnsi"/>
        </w:rPr>
      </w:pPr>
      <w:r w:rsidRPr="00F55F96">
        <w:rPr>
          <w:rFonts w:asciiTheme="minorHAnsi" w:hAnsiTheme="minorHAnsi" w:cstheme="minorHAnsi"/>
        </w:rPr>
        <w:t>The re-emergence of term premium marks a structural shift in fixed income markets. After years of compressed yields, sovereign curves once again embed risk compensation at longer maturities. This has direct implications for debt management, portfolio construction, and the design of derivative structures.</w:t>
      </w:r>
    </w:p>
    <w:p w14:paraId="28266DB7" w14:textId="77777777" w:rsidR="00510A73" w:rsidRPr="00F55F96" w:rsidRDefault="00510A73" w:rsidP="00510A73">
      <w:pPr>
        <w:rPr>
          <w:rFonts w:asciiTheme="minorHAnsi" w:hAnsiTheme="minorHAnsi" w:cstheme="minorHAnsi"/>
        </w:rPr>
      </w:pPr>
    </w:p>
    <w:p w14:paraId="654BC22C" w14:textId="338837A4" w:rsidR="00510A73" w:rsidRPr="00F55F96" w:rsidRDefault="00510A73" w:rsidP="00510A73">
      <w:pPr>
        <w:rPr>
          <w:rFonts w:asciiTheme="minorHAnsi" w:hAnsiTheme="minorHAnsi" w:cstheme="minorHAnsi"/>
        </w:rPr>
      </w:pPr>
      <w:r w:rsidRPr="00F55F96">
        <w:rPr>
          <w:rFonts w:asciiTheme="minorHAnsi" w:hAnsiTheme="minorHAnsi" w:cstheme="minorHAnsi"/>
        </w:rPr>
        <w:t xml:space="preserve">In equities, the </w:t>
      </w:r>
      <w:r w:rsidRPr="00F55F96">
        <w:rPr>
          <w:rFonts w:asciiTheme="minorHAnsi" w:hAnsiTheme="minorHAnsi" w:cstheme="minorHAnsi"/>
        </w:rPr>
        <w:t>democratization</w:t>
      </w:r>
      <w:r w:rsidRPr="00F55F96">
        <w:rPr>
          <w:rFonts w:asciiTheme="minorHAnsi" w:hAnsiTheme="minorHAnsi" w:cstheme="minorHAnsi"/>
        </w:rPr>
        <w:t xml:space="preserve"> of derivatives transformed market functioning. Fixed income is now undergoing a similar inflection point: the bridge between cash bonds, repo financing, and derivatives is becoming a defining feature of the market architecture rather than a peripheral activity.</w:t>
      </w:r>
    </w:p>
    <w:p w14:paraId="2664F0C5" w14:textId="77777777" w:rsidR="00510A73" w:rsidRPr="00F55F96" w:rsidRDefault="00510A73" w:rsidP="00510A73">
      <w:pPr>
        <w:rPr>
          <w:rFonts w:asciiTheme="minorHAnsi" w:hAnsiTheme="minorHAnsi" w:cstheme="minorHAnsi"/>
        </w:rPr>
      </w:pPr>
    </w:p>
    <w:p w14:paraId="097586CB" w14:textId="1233D32E" w:rsidR="00510A73" w:rsidRPr="00F55F96" w:rsidRDefault="00510A73" w:rsidP="00510A73">
      <w:pPr>
        <w:rPr>
          <w:rFonts w:asciiTheme="minorHAnsi" w:hAnsiTheme="minorHAnsi" w:cstheme="minorHAnsi"/>
        </w:rPr>
      </w:pPr>
      <w:r w:rsidRPr="00F55F96">
        <w:rPr>
          <w:rFonts w:asciiTheme="minorHAnsi" w:hAnsiTheme="minorHAnsi" w:cstheme="minorHAnsi"/>
        </w:rPr>
        <w:t xml:space="preserve">The development of instruments such as CMT-linked structures, asset swap spread digitals, and RFR–OIS basis swaps </w:t>
      </w:r>
      <w:r w:rsidRPr="00F55F96">
        <w:rPr>
          <w:rFonts w:asciiTheme="minorHAnsi" w:hAnsiTheme="minorHAnsi" w:cstheme="minorHAnsi"/>
        </w:rPr>
        <w:t>reflect</w:t>
      </w:r>
      <w:r w:rsidRPr="00F55F96">
        <w:rPr>
          <w:rFonts w:asciiTheme="minorHAnsi" w:hAnsiTheme="minorHAnsi" w:cstheme="minorHAnsi"/>
        </w:rPr>
        <w:t xml:space="preserve"> this convergence. They illustrate how term premium, financing costs, and volatility can be transferred and reallocated across investor bases in </w:t>
      </w:r>
      <w:r w:rsidRPr="00F55F96">
        <w:rPr>
          <w:rFonts w:asciiTheme="minorHAnsi" w:hAnsiTheme="minorHAnsi" w:cstheme="minorHAnsi"/>
        </w:rPr>
        <w:t>standardized</w:t>
      </w:r>
      <w:r w:rsidRPr="00F55F96">
        <w:rPr>
          <w:rFonts w:asciiTheme="minorHAnsi" w:hAnsiTheme="minorHAnsi" w:cstheme="minorHAnsi"/>
        </w:rPr>
        <w:t xml:space="preserve"> formats.</w:t>
      </w:r>
    </w:p>
    <w:p w14:paraId="7CC0C952" w14:textId="77777777" w:rsidR="00510A73" w:rsidRPr="00F55F96" w:rsidRDefault="00510A73" w:rsidP="00510A73">
      <w:pPr>
        <w:rPr>
          <w:rFonts w:asciiTheme="minorHAnsi" w:hAnsiTheme="minorHAnsi" w:cstheme="minorHAnsi"/>
        </w:rPr>
      </w:pPr>
    </w:p>
    <w:p w14:paraId="0AF85C1B" w14:textId="5460A317" w:rsidR="00510A73" w:rsidRPr="00F55F96" w:rsidRDefault="00510A73" w:rsidP="00510A73">
      <w:pPr>
        <w:rPr>
          <w:rFonts w:asciiTheme="minorHAnsi" w:hAnsiTheme="minorHAnsi" w:cstheme="minorHAnsi"/>
        </w:rPr>
      </w:pPr>
      <w:r w:rsidRPr="00F55F96">
        <w:rPr>
          <w:rFonts w:asciiTheme="minorHAnsi" w:hAnsiTheme="minorHAnsi" w:cstheme="minorHAnsi"/>
        </w:rPr>
        <w:t xml:space="preserve">The integration of technology, more sophisticated financing tools, and the </w:t>
      </w:r>
      <w:r w:rsidRPr="00F55F96">
        <w:rPr>
          <w:rFonts w:asciiTheme="minorHAnsi" w:hAnsiTheme="minorHAnsi" w:cstheme="minorHAnsi"/>
        </w:rPr>
        <w:t>formalization</w:t>
      </w:r>
      <w:r w:rsidRPr="00F55F96">
        <w:rPr>
          <w:rFonts w:asciiTheme="minorHAnsi" w:hAnsiTheme="minorHAnsi" w:cstheme="minorHAnsi"/>
        </w:rPr>
        <w:t xml:space="preserve"> of term repo dynamics may accelerate this process. What was once the preserve of </w:t>
      </w:r>
      <w:r w:rsidRPr="00F55F96">
        <w:rPr>
          <w:rFonts w:asciiTheme="minorHAnsi" w:hAnsiTheme="minorHAnsi" w:cstheme="minorHAnsi"/>
        </w:rPr>
        <w:t>specialized</w:t>
      </w:r>
      <w:r w:rsidRPr="00F55F96">
        <w:rPr>
          <w:rFonts w:asciiTheme="minorHAnsi" w:hAnsiTheme="minorHAnsi" w:cstheme="minorHAnsi"/>
        </w:rPr>
        <w:t xml:space="preserve"> desks is evolving into a broader market mechanism, embedding term premium as an explicit asset class within fixed income.</w:t>
      </w:r>
    </w:p>
    <w:p w14:paraId="74F2414F" w14:textId="77777777" w:rsidR="00510A73" w:rsidRPr="00F55F96" w:rsidRDefault="00510A73" w:rsidP="00510A73">
      <w:pPr>
        <w:rPr>
          <w:rFonts w:asciiTheme="minorHAnsi" w:hAnsiTheme="minorHAnsi" w:cstheme="minorHAnsi"/>
        </w:rPr>
      </w:pPr>
    </w:p>
    <w:p w14:paraId="21210DEC" w14:textId="0CC07B2C" w:rsidR="00510A73" w:rsidRPr="00F55F96" w:rsidRDefault="00510A73" w:rsidP="00510A73">
      <w:pPr>
        <w:rPr>
          <w:rFonts w:asciiTheme="minorHAnsi" w:hAnsiTheme="minorHAnsi" w:cstheme="minorHAnsi"/>
        </w:rPr>
      </w:pPr>
      <w:r w:rsidRPr="00F55F96">
        <w:rPr>
          <w:rFonts w:asciiTheme="minorHAnsi" w:hAnsiTheme="minorHAnsi" w:cstheme="minorHAnsi"/>
        </w:rPr>
        <w:t>The return of term premium marks not just a change in yields, but a reconfiguration of how cash, repo, and derivatives interact — a structural realignment in the architecture of fixed income markets.</w:t>
      </w:r>
    </w:p>
    <w:sectPr w:rsidR="00510A73" w:rsidRPr="00F55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401"/>
    <w:multiLevelType w:val="hybridMultilevel"/>
    <w:tmpl w:val="D0FCE870"/>
    <w:lvl w:ilvl="0" w:tplc="930253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90F92"/>
    <w:multiLevelType w:val="hybridMultilevel"/>
    <w:tmpl w:val="F876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C2263"/>
    <w:multiLevelType w:val="hybridMultilevel"/>
    <w:tmpl w:val="C450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F0F19"/>
    <w:multiLevelType w:val="hybridMultilevel"/>
    <w:tmpl w:val="DF58CDCA"/>
    <w:lvl w:ilvl="0" w:tplc="930253EE">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A24E87"/>
    <w:multiLevelType w:val="hybridMultilevel"/>
    <w:tmpl w:val="5CA21594"/>
    <w:lvl w:ilvl="0" w:tplc="930253EE">
      <w:numFmt w:val="bullet"/>
      <w:lvlText w:val="•"/>
      <w:lvlJc w:val="left"/>
      <w:pPr>
        <w:ind w:left="1440" w:hanging="72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8373FA"/>
    <w:multiLevelType w:val="hybridMultilevel"/>
    <w:tmpl w:val="FFFAE67A"/>
    <w:lvl w:ilvl="0" w:tplc="930253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49361B"/>
    <w:multiLevelType w:val="hybridMultilevel"/>
    <w:tmpl w:val="C198892E"/>
    <w:lvl w:ilvl="0" w:tplc="A288A5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216AB9"/>
    <w:multiLevelType w:val="hybridMultilevel"/>
    <w:tmpl w:val="F47A956A"/>
    <w:lvl w:ilvl="0" w:tplc="930253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A229AA"/>
    <w:multiLevelType w:val="hybridMultilevel"/>
    <w:tmpl w:val="2738E7F6"/>
    <w:lvl w:ilvl="0" w:tplc="930253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307BE"/>
    <w:multiLevelType w:val="hybridMultilevel"/>
    <w:tmpl w:val="74FA036A"/>
    <w:lvl w:ilvl="0" w:tplc="A288A57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094389">
    <w:abstractNumId w:val="1"/>
  </w:num>
  <w:num w:numId="2" w16cid:durableId="1473326347">
    <w:abstractNumId w:val="4"/>
  </w:num>
  <w:num w:numId="3" w16cid:durableId="147481047">
    <w:abstractNumId w:val="2"/>
  </w:num>
  <w:num w:numId="4" w16cid:durableId="1216428741">
    <w:abstractNumId w:val="9"/>
  </w:num>
  <w:num w:numId="5" w16cid:durableId="1151822704">
    <w:abstractNumId w:val="6"/>
  </w:num>
  <w:num w:numId="6" w16cid:durableId="1227646008">
    <w:abstractNumId w:val="7"/>
  </w:num>
  <w:num w:numId="7" w16cid:durableId="735320173">
    <w:abstractNumId w:val="5"/>
  </w:num>
  <w:num w:numId="8" w16cid:durableId="464008726">
    <w:abstractNumId w:val="0"/>
  </w:num>
  <w:num w:numId="9" w16cid:durableId="191039197">
    <w:abstractNumId w:val="8"/>
  </w:num>
  <w:num w:numId="10" w16cid:durableId="1441796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62"/>
    <w:rsid w:val="00004FDE"/>
    <w:rsid w:val="00022CB7"/>
    <w:rsid w:val="00031D46"/>
    <w:rsid w:val="000B7FD4"/>
    <w:rsid w:val="000C1D70"/>
    <w:rsid w:val="001E4DB6"/>
    <w:rsid w:val="001F0F23"/>
    <w:rsid w:val="002827DE"/>
    <w:rsid w:val="002E32D6"/>
    <w:rsid w:val="003108D4"/>
    <w:rsid w:val="00364E45"/>
    <w:rsid w:val="00375C4A"/>
    <w:rsid w:val="003A75F0"/>
    <w:rsid w:val="0047068B"/>
    <w:rsid w:val="0047691D"/>
    <w:rsid w:val="004E2BEC"/>
    <w:rsid w:val="00510A73"/>
    <w:rsid w:val="005175C5"/>
    <w:rsid w:val="00537F5F"/>
    <w:rsid w:val="005F2542"/>
    <w:rsid w:val="006272A2"/>
    <w:rsid w:val="00670FB1"/>
    <w:rsid w:val="006D7102"/>
    <w:rsid w:val="006F251E"/>
    <w:rsid w:val="007D4E65"/>
    <w:rsid w:val="0086542B"/>
    <w:rsid w:val="008C2762"/>
    <w:rsid w:val="009D67D4"/>
    <w:rsid w:val="00AA0120"/>
    <w:rsid w:val="00B175E1"/>
    <w:rsid w:val="00B94C04"/>
    <w:rsid w:val="00C0001F"/>
    <w:rsid w:val="00C33A36"/>
    <w:rsid w:val="00CA64E9"/>
    <w:rsid w:val="00D474CF"/>
    <w:rsid w:val="00DA6E05"/>
    <w:rsid w:val="00DB4268"/>
    <w:rsid w:val="00E82C89"/>
    <w:rsid w:val="00EE7126"/>
    <w:rsid w:val="00F55F96"/>
    <w:rsid w:val="00F71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BA506"/>
  <w15:chartTrackingRefBased/>
  <w15:docId w15:val="{7139F03C-B374-1E43-8AEA-BD7803AC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7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C2762"/>
    <w:pPr>
      <w:keepNext/>
      <w:keepLines/>
      <w:spacing w:before="360" w:after="80" w:line="276"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2762"/>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762"/>
    <w:pPr>
      <w:keepNext/>
      <w:keepLines/>
      <w:spacing w:before="160" w:after="80" w:line="276"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762"/>
    <w:pPr>
      <w:keepNext/>
      <w:keepLines/>
      <w:spacing w:before="80" w:after="40" w:line="276" w:lineRule="auto"/>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C2762"/>
    <w:pPr>
      <w:keepNext/>
      <w:keepLines/>
      <w:spacing w:before="80" w:after="40" w:line="276" w:lineRule="auto"/>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C2762"/>
    <w:pPr>
      <w:keepNext/>
      <w:keepLines/>
      <w:spacing w:before="40" w:line="276" w:lineRule="auto"/>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C2762"/>
    <w:pPr>
      <w:keepNext/>
      <w:keepLines/>
      <w:spacing w:before="40" w:line="276" w:lineRule="auto"/>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C2762"/>
    <w:pPr>
      <w:keepNext/>
      <w:keepLines/>
      <w:spacing w:line="276" w:lineRule="auto"/>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C2762"/>
    <w:pPr>
      <w:keepNext/>
      <w:keepLines/>
      <w:spacing w:line="276" w:lineRule="auto"/>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2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62"/>
    <w:rPr>
      <w:rFonts w:eastAsiaTheme="majorEastAsia" w:cstheme="majorBidi"/>
      <w:color w:val="272727" w:themeColor="text1" w:themeTint="D8"/>
    </w:rPr>
  </w:style>
  <w:style w:type="paragraph" w:styleId="Title">
    <w:name w:val="Title"/>
    <w:basedOn w:val="Normal"/>
    <w:next w:val="Normal"/>
    <w:link w:val="TitleChar"/>
    <w:uiPriority w:val="10"/>
    <w:qFormat/>
    <w:rsid w:val="008C27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62"/>
    <w:pPr>
      <w:numPr>
        <w:ilvl w:val="1"/>
      </w:numPr>
      <w:spacing w:after="200" w:line="276"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62"/>
    <w:pPr>
      <w:spacing w:before="160" w:after="200" w:line="276" w:lineRule="auto"/>
      <w:jc w:val="center"/>
    </w:pPr>
    <w:rPr>
      <w:rFonts w:asciiTheme="minorHAnsi" w:eastAsiaTheme="minorEastAsia"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8C2762"/>
    <w:rPr>
      <w:i/>
      <w:iCs/>
      <w:color w:val="404040" w:themeColor="text1" w:themeTint="BF"/>
    </w:rPr>
  </w:style>
  <w:style w:type="paragraph" w:styleId="ListParagraph">
    <w:name w:val="List Paragraph"/>
    <w:basedOn w:val="Normal"/>
    <w:uiPriority w:val="34"/>
    <w:qFormat/>
    <w:rsid w:val="008C2762"/>
    <w:pPr>
      <w:spacing w:after="200" w:line="276" w:lineRule="auto"/>
      <w:ind w:left="720"/>
      <w:contextualSpacing/>
    </w:pPr>
    <w:rPr>
      <w:rFonts w:asciiTheme="minorHAnsi" w:eastAsiaTheme="minorEastAsia" w:hAnsiTheme="minorHAnsi" w:cstheme="minorBidi"/>
      <w:sz w:val="22"/>
      <w:szCs w:val="22"/>
    </w:rPr>
  </w:style>
  <w:style w:type="character" w:styleId="IntenseEmphasis">
    <w:name w:val="Intense Emphasis"/>
    <w:basedOn w:val="DefaultParagraphFont"/>
    <w:uiPriority w:val="21"/>
    <w:qFormat/>
    <w:rsid w:val="008C2762"/>
    <w:rPr>
      <w:i/>
      <w:iCs/>
      <w:color w:val="2F5496" w:themeColor="accent1" w:themeShade="BF"/>
    </w:rPr>
  </w:style>
  <w:style w:type="paragraph" w:styleId="IntenseQuote">
    <w:name w:val="Intense Quote"/>
    <w:basedOn w:val="Normal"/>
    <w:next w:val="Normal"/>
    <w:link w:val="IntenseQuoteChar"/>
    <w:uiPriority w:val="30"/>
    <w:qFormat/>
    <w:rsid w:val="008C2762"/>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asciiTheme="minorHAnsi" w:eastAsiaTheme="minorEastAsia"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8C2762"/>
    <w:rPr>
      <w:i/>
      <w:iCs/>
      <w:color w:val="2F5496" w:themeColor="accent1" w:themeShade="BF"/>
    </w:rPr>
  </w:style>
  <w:style w:type="character" w:styleId="IntenseReference">
    <w:name w:val="Intense Reference"/>
    <w:basedOn w:val="DefaultParagraphFont"/>
    <w:uiPriority w:val="32"/>
    <w:qFormat/>
    <w:rsid w:val="008C2762"/>
    <w:rPr>
      <w:b/>
      <w:bCs/>
      <w:smallCaps/>
      <w:color w:val="2F5496" w:themeColor="accent1" w:themeShade="BF"/>
      <w:spacing w:val="5"/>
    </w:rPr>
  </w:style>
  <w:style w:type="paragraph" w:customStyle="1" w:styleId="p1">
    <w:name w:val="p1"/>
    <w:basedOn w:val="Normal"/>
    <w:rsid w:val="002E32D6"/>
    <w:pPr>
      <w:spacing w:before="100" w:beforeAutospacing="1" w:after="100" w:afterAutospacing="1"/>
    </w:pPr>
    <w:rPr>
      <w:rFonts w:eastAsiaTheme="minorEastAsia"/>
      <w:lang w:val="fr-FR" w:eastAsia="fr-FR"/>
    </w:rPr>
  </w:style>
  <w:style w:type="character" w:customStyle="1" w:styleId="s1">
    <w:name w:val="s1"/>
    <w:basedOn w:val="DefaultParagraphFont"/>
    <w:rsid w:val="00AA0120"/>
  </w:style>
  <w:style w:type="paragraph" w:customStyle="1" w:styleId="p2">
    <w:name w:val="p2"/>
    <w:basedOn w:val="Normal"/>
    <w:rsid w:val="00DB4268"/>
    <w:pPr>
      <w:spacing w:before="100" w:beforeAutospacing="1" w:after="100" w:afterAutospacing="1"/>
    </w:pPr>
  </w:style>
  <w:style w:type="paragraph" w:customStyle="1" w:styleId="p3">
    <w:name w:val="p3"/>
    <w:basedOn w:val="Normal"/>
    <w:rsid w:val="00DB4268"/>
    <w:pPr>
      <w:spacing w:before="100" w:beforeAutospacing="1" w:after="100" w:afterAutospacing="1"/>
    </w:pPr>
  </w:style>
  <w:style w:type="paragraph" w:customStyle="1" w:styleId="p4">
    <w:name w:val="p4"/>
    <w:basedOn w:val="Normal"/>
    <w:rsid w:val="00DB4268"/>
    <w:pPr>
      <w:spacing w:before="100" w:beforeAutospacing="1" w:after="100" w:afterAutospacing="1"/>
    </w:pPr>
  </w:style>
  <w:style w:type="character" w:styleId="Emphasis">
    <w:name w:val="Emphasis"/>
    <w:basedOn w:val="DefaultParagraphFont"/>
    <w:uiPriority w:val="20"/>
    <w:qFormat/>
    <w:rsid w:val="005175C5"/>
    <w:rPr>
      <w:i/>
      <w:iCs/>
    </w:rPr>
  </w:style>
  <w:style w:type="character" w:styleId="PlaceholderText">
    <w:name w:val="Placeholder Text"/>
    <w:basedOn w:val="DefaultParagraphFont"/>
    <w:uiPriority w:val="99"/>
    <w:semiHidden/>
    <w:rsid w:val="00022C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24999">
      <w:bodyDiv w:val="1"/>
      <w:marLeft w:val="0"/>
      <w:marRight w:val="0"/>
      <w:marTop w:val="0"/>
      <w:marBottom w:val="0"/>
      <w:divBdr>
        <w:top w:val="none" w:sz="0" w:space="0" w:color="auto"/>
        <w:left w:val="none" w:sz="0" w:space="0" w:color="auto"/>
        <w:bottom w:val="none" w:sz="0" w:space="0" w:color="auto"/>
        <w:right w:val="none" w:sz="0" w:space="0" w:color="auto"/>
      </w:divBdr>
    </w:div>
    <w:div w:id="260725809">
      <w:bodyDiv w:val="1"/>
      <w:marLeft w:val="0"/>
      <w:marRight w:val="0"/>
      <w:marTop w:val="0"/>
      <w:marBottom w:val="0"/>
      <w:divBdr>
        <w:top w:val="none" w:sz="0" w:space="0" w:color="auto"/>
        <w:left w:val="none" w:sz="0" w:space="0" w:color="auto"/>
        <w:bottom w:val="none" w:sz="0" w:space="0" w:color="auto"/>
        <w:right w:val="none" w:sz="0" w:space="0" w:color="auto"/>
      </w:divBdr>
    </w:div>
    <w:div w:id="273245069">
      <w:bodyDiv w:val="1"/>
      <w:marLeft w:val="0"/>
      <w:marRight w:val="0"/>
      <w:marTop w:val="0"/>
      <w:marBottom w:val="0"/>
      <w:divBdr>
        <w:top w:val="none" w:sz="0" w:space="0" w:color="auto"/>
        <w:left w:val="none" w:sz="0" w:space="0" w:color="auto"/>
        <w:bottom w:val="none" w:sz="0" w:space="0" w:color="auto"/>
        <w:right w:val="none" w:sz="0" w:space="0" w:color="auto"/>
      </w:divBdr>
    </w:div>
    <w:div w:id="477961992">
      <w:bodyDiv w:val="1"/>
      <w:marLeft w:val="0"/>
      <w:marRight w:val="0"/>
      <w:marTop w:val="0"/>
      <w:marBottom w:val="0"/>
      <w:divBdr>
        <w:top w:val="none" w:sz="0" w:space="0" w:color="auto"/>
        <w:left w:val="none" w:sz="0" w:space="0" w:color="auto"/>
        <w:bottom w:val="none" w:sz="0" w:space="0" w:color="auto"/>
        <w:right w:val="none" w:sz="0" w:space="0" w:color="auto"/>
      </w:divBdr>
    </w:div>
    <w:div w:id="584387341">
      <w:bodyDiv w:val="1"/>
      <w:marLeft w:val="0"/>
      <w:marRight w:val="0"/>
      <w:marTop w:val="0"/>
      <w:marBottom w:val="0"/>
      <w:divBdr>
        <w:top w:val="none" w:sz="0" w:space="0" w:color="auto"/>
        <w:left w:val="none" w:sz="0" w:space="0" w:color="auto"/>
        <w:bottom w:val="none" w:sz="0" w:space="0" w:color="auto"/>
        <w:right w:val="none" w:sz="0" w:space="0" w:color="auto"/>
      </w:divBdr>
    </w:div>
    <w:div w:id="708988469">
      <w:bodyDiv w:val="1"/>
      <w:marLeft w:val="0"/>
      <w:marRight w:val="0"/>
      <w:marTop w:val="0"/>
      <w:marBottom w:val="0"/>
      <w:divBdr>
        <w:top w:val="none" w:sz="0" w:space="0" w:color="auto"/>
        <w:left w:val="none" w:sz="0" w:space="0" w:color="auto"/>
        <w:bottom w:val="none" w:sz="0" w:space="0" w:color="auto"/>
        <w:right w:val="none" w:sz="0" w:space="0" w:color="auto"/>
      </w:divBdr>
    </w:div>
    <w:div w:id="895314229">
      <w:bodyDiv w:val="1"/>
      <w:marLeft w:val="0"/>
      <w:marRight w:val="0"/>
      <w:marTop w:val="0"/>
      <w:marBottom w:val="0"/>
      <w:divBdr>
        <w:top w:val="none" w:sz="0" w:space="0" w:color="auto"/>
        <w:left w:val="none" w:sz="0" w:space="0" w:color="auto"/>
        <w:bottom w:val="none" w:sz="0" w:space="0" w:color="auto"/>
        <w:right w:val="none" w:sz="0" w:space="0" w:color="auto"/>
      </w:divBdr>
    </w:div>
    <w:div w:id="1217545762">
      <w:bodyDiv w:val="1"/>
      <w:marLeft w:val="0"/>
      <w:marRight w:val="0"/>
      <w:marTop w:val="0"/>
      <w:marBottom w:val="0"/>
      <w:divBdr>
        <w:top w:val="none" w:sz="0" w:space="0" w:color="auto"/>
        <w:left w:val="none" w:sz="0" w:space="0" w:color="auto"/>
        <w:bottom w:val="none" w:sz="0" w:space="0" w:color="auto"/>
        <w:right w:val="none" w:sz="0" w:space="0" w:color="auto"/>
      </w:divBdr>
    </w:div>
    <w:div w:id="1247227867">
      <w:bodyDiv w:val="1"/>
      <w:marLeft w:val="0"/>
      <w:marRight w:val="0"/>
      <w:marTop w:val="0"/>
      <w:marBottom w:val="0"/>
      <w:divBdr>
        <w:top w:val="none" w:sz="0" w:space="0" w:color="auto"/>
        <w:left w:val="none" w:sz="0" w:space="0" w:color="auto"/>
        <w:bottom w:val="none" w:sz="0" w:space="0" w:color="auto"/>
        <w:right w:val="none" w:sz="0" w:space="0" w:color="auto"/>
      </w:divBdr>
    </w:div>
    <w:div w:id="1316377783">
      <w:bodyDiv w:val="1"/>
      <w:marLeft w:val="0"/>
      <w:marRight w:val="0"/>
      <w:marTop w:val="0"/>
      <w:marBottom w:val="0"/>
      <w:divBdr>
        <w:top w:val="none" w:sz="0" w:space="0" w:color="auto"/>
        <w:left w:val="none" w:sz="0" w:space="0" w:color="auto"/>
        <w:bottom w:val="none" w:sz="0" w:space="0" w:color="auto"/>
        <w:right w:val="none" w:sz="0" w:space="0" w:color="auto"/>
      </w:divBdr>
    </w:div>
    <w:div w:id="1348211300">
      <w:bodyDiv w:val="1"/>
      <w:marLeft w:val="0"/>
      <w:marRight w:val="0"/>
      <w:marTop w:val="0"/>
      <w:marBottom w:val="0"/>
      <w:divBdr>
        <w:top w:val="none" w:sz="0" w:space="0" w:color="auto"/>
        <w:left w:val="none" w:sz="0" w:space="0" w:color="auto"/>
        <w:bottom w:val="none" w:sz="0" w:space="0" w:color="auto"/>
        <w:right w:val="none" w:sz="0" w:space="0" w:color="auto"/>
      </w:divBdr>
    </w:div>
    <w:div w:id="1461459320">
      <w:bodyDiv w:val="1"/>
      <w:marLeft w:val="0"/>
      <w:marRight w:val="0"/>
      <w:marTop w:val="0"/>
      <w:marBottom w:val="0"/>
      <w:divBdr>
        <w:top w:val="none" w:sz="0" w:space="0" w:color="auto"/>
        <w:left w:val="none" w:sz="0" w:space="0" w:color="auto"/>
        <w:bottom w:val="none" w:sz="0" w:space="0" w:color="auto"/>
        <w:right w:val="none" w:sz="0" w:space="0" w:color="auto"/>
      </w:divBdr>
      <w:divsChild>
        <w:div w:id="16223033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1127862">
      <w:bodyDiv w:val="1"/>
      <w:marLeft w:val="0"/>
      <w:marRight w:val="0"/>
      <w:marTop w:val="0"/>
      <w:marBottom w:val="0"/>
      <w:divBdr>
        <w:top w:val="none" w:sz="0" w:space="0" w:color="auto"/>
        <w:left w:val="none" w:sz="0" w:space="0" w:color="auto"/>
        <w:bottom w:val="none" w:sz="0" w:space="0" w:color="auto"/>
        <w:right w:val="none" w:sz="0" w:space="0" w:color="auto"/>
      </w:divBdr>
    </w:div>
    <w:div w:id="2010717324">
      <w:bodyDiv w:val="1"/>
      <w:marLeft w:val="0"/>
      <w:marRight w:val="0"/>
      <w:marTop w:val="0"/>
      <w:marBottom w:val="0"/>
      <w:divBdr>
        <w:top w:val="none" w:sz="0" w:space="0" w:color="auto"/>
        <w:left w:val="none" w:sz="0" w:space="0" w:color="auto"/>
        <w:bottom w:val="none" w:sz="0" w:space="0" w:color="auto"/>
        <w:right w:val="none" w:sz="0" w:space="0" w:color="auto"/>
      </w:divBdr>
    </w:div>
    <w:div w:id="2078093110">
      <w:bodyDiv w:val="1"/>
      <w:marLeft w:val="0"/>
      <w:marRight w:val="0"/>
      <w:marTop w:val="0"/>
      <w:marBottom w:val="0"/>
      <w:divBdr>
        <w:top w:val="none" w:sz="0" w:space="0" w:color="auto"/>
        <w:left w:val="none" w:sz="0" w:space="0" w:color="auto"/>
        <w:bottom w:val="none" w:sz="0" w:space="0" w:color="auto"/>
        <w:right w:val="none" w:sz="0" w:space="0" w:color="auto"/>
      </w:divBdr>
    </w:div>
    <w:div w:id="210206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3695</Words>
  <Characters>21068</Characters>
  <Application>Microsoft Office Word</Application>
  <DocSecurity>0</DocSecurity>
  <Lines>175</Lines>
  <Paragraphs>49</Paragraphs>
  <ScaleCrop>false</ScaleCrop>
  <Company/>
  <LinksUpToDate>false</LinksUpToDate>
  <CharactersWithSpaces>24714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Benaoun</dc:creator>
  <cp:keywords/>
  <dc:description/>
  <cp:lastModifiedBy>Samy Benaoun</cp:lastModifiedBy>
  <cp:revision>9</cp:revision>
  <cp:lastPrinted>2025-08-23T10:39:00Z</cp:lastPrinted>
  <dcterms:created xsi:type="dcterms:W3CDTF">2025-08-24T16:05:00Z</dcterms:created>
  <dcterms:modified xsi:type="dcterms:W3CDTF">2025-08-24T16:28:00Z</dcterms:modified>
</cp:coreProperties>
</file>