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Calibri" w:cs="Calibri" w:eastAsia="Calibri" w:hAnsi="Calibri"/>
          <w:sz w:val="2"/>
          <w:szCs w:val="2"/>
        </w:rPr>
        <w:t xml:space="preserve"/>
      </w:r>
    </w:p>
    <w:p>
      <w:pPr>
        <w:spacing w:after="120" w:before="0"/>
        <w:jc w:val="left"/>
      </w:pPr>
      <w:r>
        <w:rPr>
          <w:rFonts w:ascii="Calibri" w:cs="Calibri" w:eastAsia="Calibri" w:hAnsi="Calibri"/>
          <w:b/>
          <w:bCs/>
          <w:color w:val="4F46E5"/>
          <w:spacing w:val="40"/>
          <w:sz w:val="22"/>
          <w:szCs w:val="22"/>
        </w:rPr>
        <w:t xml:space="preserve">LANDING PAGE AUDIT</w:t>
      </w:r>
    </w:p>
    <w:p>
      <w:pPr>
        <w:pBdr>
          <w:bottom w:val="single" w:color="4F46E5" w:sz="12" w:space="8"/>
        </w:pBdr>
        <w:spacing w:after="120" w:before="0"/>
        <w:jc w:val="left"/>
      </w:pPr>
      <w:r>
        <w:rPr>
          <w:rFonts w:ascii="Calibri" w:cs="Calibri" w:eastAsia="Calibri" w:hAnsi="Calibri"/>
          <w:sz w:val="2"/>
          <w:szCs w:val="2"/>
        </w:rPr>
        <w:t xml:space="preserve"/>
      </w:r>
    </w:p>
    <w:p>
      <w:pPr>
        <w:spacing w:after="180" w:before="300"/>
        <w:jc w:val="left"/>
      </w:pPr>
      <w:r>
        <w:rPr>
          <w:rFonts w:ascii="Calibri" w:cs="Calibri" w:eastAsia="Calibri" w:hAnsi="Calibri"/>
          <w:b/>
          <w:bCs/>
          <w:color w:val="0B1220"/>
          <w:sz w:val="56"/>
          <w:szCs w:val="56"/>
        </w:rPr>
        <w:t xml:space="preserve">Intellios Landing Page</w:t>
      </w:r>
    </w:p>
    <w:p>
      <w:pPr>
        <w:spacing w:after="400" w:before="0"/>
        <w:jc w:val="left"/>
      </w:pPr>
      <w:r>
        <w:rPr>
          <w:rFonts w:ascii="Calibri" w:cs="Calibri" w:eastAsia="Calibri" w:hAnsi="Calibri"/>
          <w:color w:val="4F46E5"/>
          <w:sz w:val="32"/>
          <w:szCs w:val="32"/>
        </w:rPr>
        <w:t xml:space="preserve">Benchmarked Against AI Agent Platform Leaders</w:t>
      </w:r>
    </w:p>
    <w:p>
      <w:pPr>
        <w:spacing w:after="80" w:before="160"/>
        <w:jc w:val="left"/>
      </w:pPr>
      <w:r>
        <w:rPr>
          <w:rFonts w:ascii="Calibri" w:cs="Calibri" w:eastAsia="Calibri" w:hAnsi="Calibri"/>
          <w:b/>
          <w:bCs/>
          <w:color w:val="475569"/>
          <w:spacing w:val="20"/>
          <w:sz w:val="18"/>
          <w:szCs w:val="18"/>
        </w:rPr>
        <w:t xml:space="preserve">Prepared for</w:t>
      </w:r>
    </w:p>
    <w:p>
      <w:pPr>
        <w:spacing w:after="200" w:before="0"/>
        <w:jc w:val="left"/>
      </w:pPr>
      <w:r>
        <w:rPr>
          <w:rFonts w:ascii="Calibri" w:cs="Calibri" w:eastAsia="Calibri" w:hAnsi="Calibri"/>
          <w:color w:val="0B1220"/>
          <w:sz w:val="24"/>
          <w:szCs w:val="24"/>
        </w:rPr>
        <w:t xml:space="preserve">Samy Hamad, Founder — Intellios</w:t>
      </w:r>
    </w:p>
    <w:p>
      <w:pPr>
        <w:spacing w:after="80" w:before="120"/>
        <w:jc w:val="left"/>
      </w:pPr>
      <w:r>
        <w:rPr>
          <w:rFonts w:ascii="Calibri" w:cs="Calibri" w:eastAsia="Calibri" w:hAnsi="Calibri"/>
          <w:b/>
          <w:bCs/>
          <w:color w:val="475569"/>
          <w:spacing w:val="20"/>
          <w:sz w:val="18"/>
          <w:szCs w:val="18"/>
        </w:rPr>
        <w:t xml:space="preserve">Subject URL</w:t>
      </w:r>
    </w:p>
    <w:p>
      <w:pPr>
        <w:spacing w:after="200" w:before="0"/>
        <w:jc w:val="left"/>
      </w:pPr>
      <w:hyperlink w:history="1" r:id="rIdazhtlhyfvch24nfeqext-">
        <w:r>
          <w:rPr>
            <w:rFonts w:ascii="Calibri" w:cs="Calibri" w:eastAsia="Calibri" w:hAnsi="Calibri"/>
            <w:color w:val="4F46E5"/>
            <w:sz w:val="22"/>
            <w:szCs w:val="22"/>
            <w:u w:val="single"/>
          </w:rPr>
          <w:t xml:space="preserve">https://intellios.app/landing</w:t>
        </w:r>
      </w:hyperlink>
    </w:p>
    <w:p>
      <w:pPr>
        <w:spacing w:after="80" w:before="120"/>
        <w:jc w:val="left"/>
      </w:pPr>
      <w:r>
        <w:rPr>
          <w:rFonts w:ascii="Calibri" w:cs="Calibri" w:eastAsia="Calibri" w:hAnsi="Calibri"/>
          <w:b/>
          <w:bCs/>
          <w:color w:val="475569"/>
          <w:spacing w:val="20"/>
          <w:sz w:val="18"/>
          <w:szCs w:val="18"/>
        </w:rPr>
        <w:t xml:space="preserve">Audit date</w:t>
      </w:r>
    </w:p>
    <w:p>
      <w:pPr>
        <w:spacing w:after="200" w:before="0"/>
        <w:jc w:val="left"/>
      </w:pPr>
      <w:r>
        <w:rPr>
          <w:rFonts w:ascii="Calibri" w:cs="Calibri" w:eastAsia="Calibri" w:hAnsi="Calibri"/>
          <w:color w:val="0B1220"/>
          <w:sz w:val="22"/>
          <w:szCs w:val="22"/>
        </w:rPr>
        <w:t xml:space="preserve">April 9, 2026</w:t>
      </w:r>
    </w:p>
    <w:p>
      <w:pPr>
        <w:spacing w:after="80" w:before="120"/>
        <w:jc w:val="left"/>
      </w:pPr>
      <w:r>
        <w:rPr>
          <w:rFonts w:ascii="Calibri" w:cs="Calibri" w:eastAsia="Calibri" w:hAnsi="Calibri"/>
          <w:b/>
          <w:bCs/>
          <w:color w:val="475569"/>
          <w:spacing w:val="20"/>
          <w:sz w:val="18"/>
          <w:szCs w:val="18"/>
        </w:rPr>
        <w:t xml:space="preserve">Benchmark set</w:t>
      </w:r>
    </w:p>
    <w:p>
      <w:pPr>
        <w:spacing w:after="120" w:before="0"/>
        <w:jc w:val="left"/>
      </w:pPr>
      <w:r>
        <w:rPr>
          <w:rFonts w:ascii="Calibri" w:cs="Calibri" w:eastAsia="Calibri" w:hAnsi="Calibri"/>
          <w:color w:val="1F2937"/>
          <w:sz w:val="22"/>
          <w:szCs w:val="22"/>
        </w:rPr>
        <w:t xml:space="preserve">Sierra  ·  Decagon  ·  Glean  ·  Writer  ·  CrewAI  ·  Credo AI</w:t>
      </w:r>
    </w:p>
    <w:p>
      <w:pPr>
        <w:pStyle w:val="Heading1"/>
        <w:pageBreakBefore/>
        <w:spacing w:after="200" w:before="360"/>
      </w:pPr>
      <w:r>
        <w:rPr>
          <w:rFonts w:ascii="Calibri" w:cs="Calibri" w:eastAsia="Calibri" w:hAnsi="Calibri"/>
          <w:b/>
          <w:bCs/>
          <w:color w:val="0B1220"/>
          <w:sz w:val="36"/>
          <w:szCs w:val="36"/>
        </w:rPr>
        <w:t xml:space="preserve">Executive summary</w:t>
      </w:r>
    </w:p>
    <w:p>
      <w:pPr>
        <w:pBdr>
          <w:bottom w:val="single" w:color="4F46E5" w:sz="6" w:space="1"/>
        </w:pBdr>
        <w:spacing w:after="160" w:before="80"/>
      </w:pPr>
      <w:r>
        <w:rPr>
          <w:rFonts w:ascii="Calibri" w:cs="Calibri" w:eastAsia="Calibri" w:hAnsi="Calibri"/>
          <w:sz w:val="2"/>
          <w:szCs w:val="2"/>
        </w:rPr>
        <w:t xml:space="preserve"/>
      </w:r>
    </w:p>
    <w:p>
      <w:pPr>
        <w:spacing w:after="120" w:before="80" w:line="300"/>
      </w:pPr>
      <w:r>
        <w:rPr>
          <w:rFonts w:ascii="Calibri" w:cs="Calibri" w:eastAsia="Calibri" w:hAnsi="Calibri"/>
          <w:color w:val="1F2937"/>
          <w:sz w:val="22"/>
          <w:szCs w:val="22"/>
        </w:rPr>
        <w:t xml:space="preserve">Intellios has built a landing page with above-average intellectual rigor. The writing is confident, the positioning is defensible, and the page earns trust through its own careful sourcing (every statistic is cited, every claim is labeled as live, planned, or a design target). In a category where most vendors reach for hype, this restraint is a real asset and should be preserved.</w:t>
      </w:r>
    </w:p>
    <w:p>
      <w:pPr>
        <w:spacing w:after="120" w:before="80" w:line="300"/>
      </w:pPr>
      <w:r>
        <w:rPr>
          <w:rFonts w:ascii="Calibri" w:cs="Calibri" w:eastAsia="Calibri" w:hAnsi="Calibri"/>
          <w:color w:val="1F2937"/>
          <w:sz w:val="22"/>
          <w:szCs w:val="22"/>
        </w:rPr>
        <w:t xml:space="preserve">When benchmarked against the current class of top AI agent and governance platform landing pages — Sierra, Decagon, Glean, Writer, CrewAI, and the closest direct competitor Credo AI — the page nevertheless gives up material ground on three fronts.</w:t>
      </w:r>
    </w:p>
    <w:p>
      <w:pPr>
        <w:pStyle w:val="Heading3"/>
        <w:spacing w:after="100" w:before="220"/>
      </w:pPr>
      <w:r>
        <w:rPr>
          <w:rFonts w:ascii="Calibri" w:cs="Calibri" w:eastAsia="Calibri" w:hAnsi="Calibri"/>
          <w:b/>
          <w:bCs/>
          <w:color w:val="4F46E5"/>
          <w:sz w:val="24"/>
          <w:szCs w:val="24"/>
        </w:rPr>
        <w:t xml:space="preserve">1. The hero underperforms the category</w:t>
      </w:r>
    </w:p>
    <w:p>
      <w:pPr>
        <w:spacing w:after="120" w:before="80" w:line="300"/>
      </w:pPr>
      <w:r>
        <w:rPr>
          <w:rFonts w:ascii="Calibri" w:cs="Calibri" w:eastAsia="Calibri" w:hAnsi="Calibri"/>
          <w:color w:val="1F2937"/>
          <w:sz w:val="22"/>
          <w:szCs w:val="22"/>
        </w:rPr>
        <w:t xml:space="preserve">Every benchmarked site takes a visitor from "what is this?" to "OK, demo" inside a single viewport. They do this with a large product visual (Glean, Credo AI), a bold single-sentence hook (Decagon, Sierra), an inline email capture (Writer, Decagon), or an interactive element that proves the product exists (CrewAI's "Ask any question" chatbot). Intellios's hero is entirely text-driven above the fold. The product illustration is an abstract flow SVG deferred to a second pane, not a screenshot of the Blueprint Review UI that actually exists in src/app/review/. The binary between "Request Early Access" and "See How It Works" leaves a visitor without a clear default and without visual evidence that any of this is real.</w:t>
      </w:r>
    </w:p>
    <w:p>
      <w:pPr>
        <w:pStyle w:val="Heading3"/>
        <w:spacing w:after="100" w:before="220"/>
      </w:pPr>
      <w:r>
        <w:rPr>
          <w:rFonts w:ascii="Calibri" w:cs="Calibri" w:eastAsia="Calibri" w:hAnsi="Calibri"/>
          <w:b/>
          <w:bCs/>
          <w:color w:val="4F46E5"/>
          <w:sz w:val="24"/>
          <w:szCs w:val="24"/>
        </w:rPr>
        <w:t xml:space="preserve">2. First paint and the reveal animation are working against the page</w:t>
      </w:r>
    </w:p>
    <w:p>
      <w:pPr>
        <w:spacing w:after="120" w:before="80" w:line="300"/>
      </w:pPr>
      <w:r>
        <w:rPr>
          <w:rFonts w:ascii="Calibri" w:cs="Calibri" w:eastAsia="Calibri" w:hAnsi="Calibri"/>
          <w:color w:val="1F2937"/>
          <w:sz w:val="22"/>
          <w:szCs w:val="22"/>
        </w:rPr>
        <w:t xml:space="preserve">Hero LCP measured ~4.6 seconds, roughly 3–4x slower than peers. (The first draft of this audit labeled this as FCP; the correct metric is LCP — FCP fires on the navbar, which is not gated.) The direct cause is a scroll-triggered reveal system: 54 .reveal elements start at opacity 0 and depend on IntersectionObserver to transition in. Eight of those are inside the hero section itself, including the h1, both subheads, and the CTA block, so the hero cannot paint until hydration and the observer fire. Combined with a 600ms cubic-bezier opacity transition, the page feels empty for a noticeable beat. There is also a harder correctness bug with the same root cause: when the tab loads while backgrounded (Cmd/Ctrl-click, middle-click), the observer never fires and the hero stays invisible until the user manually scrolls the page. Separately, programmatic scrolls (anchor navigation, hash-link jumps) do not always trigger the observer, leaving sections permanently hidden until the user scrolls manually. This is the single most fixable visible bug on the page.</w:t>
      </w:r>
    </w:p>
    <w:p>
      <w:pPr>
        <w:pStyle w:val="Heading3"/>
        <w:spacing w:after="100" w:before="220"/>
      </w:pPr>
      <w:r>
        <w:rPr>
          <w:rFonts w:ascii="Calibri" w:cs="Calibri" w:eastAsia="Calibri" w:hAnsi="Calibri"/>
          <w:b/>
          <w:bCs/>
          <w:color w:val="4F46E5"/>
          <w:sz w:val="24"/>
          <w:szCs w:val="24"/>
        </w:rPr>
        <w:t xml:space="preserve">3. Trust signals are honest but thin</w:t>
      </w:r>
    </w:p>
    <w:p>
      <w:pPr>
        <w:spacing w:after="120" w:before="80" w:line="300"/>
      </w:pPr>
      <w:r>
        <w:rPr>
          <w:rFonts w:ascii="Calibri" w:cs="Calibri" w:eastAsia="Calibri" w:hAnsi="Calibri"/>
          <w:color w:val="1F2937"/>
          <w:sz w:val="22"/>
          <w:szCs w:val="22"/>
        </w:rPr>
        <w:t xml:space="preserve">The current page deliberately refuses to fabricate customer logos. That is the right call, and the "Where We Are" transparency section is a differentiator Credo AI does not have. But the page still has proof assets it is not using: the framework alignment map (SR 11‑7, EU AI Act, NIST AI RMF, GDPR, HIPAA), the sourced statistics (Gartner, McKinsey, IBM Ponemon, OCC, Federal Reserve), the architectural honesty of the "designed around" language, and the fact that real product screenshots exist in the repo. Every benchmarked competitor has at least one proof element visible in the hero area — Gartner/G2 badges (Glean), Fortune 500 pill + Fast Company No. 6 ticker (Credo AI), customer logo strip (Sierra, Decagon), a visible product mockup (Glean, CrewAI). Intellios currently has only industry chips above the fold.</w:t>
      </w:r>
    </w:p>
    <w:p>
      <w:pPr>
        <w:pStyle w:val="Heading2"/>
        <w:spacing w:after="140" w:before="280"/>
      </w:pPr>
      <w:r>
        <w:rPr>
          <w:rFonts w:ascii="Calibri" w:cs="Calibri" w:eastAsia="Calibri" w:hAnsi="Calibri"/>
          <w:b/>
          <w:bCs/>
          <w:color w:val="0B1220"/>
          <w:sz w:val="28"/>
          <w:szCs w:val="28"/>
        </w:rPr>
        <w:t xml:space="preserve">Five strengths to preserve</w:t>
      </w:r>
    </w:p>
    <w:p>
      <w:pPr>
        <w:pStyle w:val="ListParagraph"/>
        <w:numPr>
          <w:ilvl w:val="0"/>
          <w:numId w:val="2"/>
        </w:numPr>
        <w:spacing w:after="40" w:before="40" w:line="280"/>
      </w:pPr>
      <w:r>
        <w:rPr>
          <w:rFonts w:ascii="Calibri" w:cs="Calibri" w:eastAsia="Calibri" w:hAnsi="Calibri"/>
          <w:b/>
          <w:bCs/>
          <w:color w:val="1F2937"/>
          <w:sz w:val="22"/>
          <w:szCs w:val="22"/>
        </w:rPr>
        <w:t xml:space="preserve">The "Where We Are" section. </w:t>
      </w:r>
      <w:r>
        <w:rPr>
          <w:rFonts w:ascii="Calibri" w:cs="Calibri" w:eastAsia="Calibri" w:hAnsi="Calibri"/>
          <w:color w:val="1F2937"/>
          <w:sz w:val="22"/>
          <w:szCs w:val="22"/>
        </w:rPr>
        <w:t xml:space="preserve">Voluntary disclosure of Live / Now accepting / Planned status is rare in enterprise SaaS marketing and directly reinforces the "we sell trust" thesis. Keep it.</w:t>
      </w:r>
    </w:p>
    <w:p>
      <w:pPr>
        <w:pStyle w:val="ListParagraph"/>
        <w:numPr>
          <w:ilvl w:val="0"/>
          <w:numId w:val="2"/>
        </w:numPr>
        <w:spacing w:after="40" w:before="40" w:line="280"/>
      </w:pPr>
      <w:r>
        <w:rPr>
          <w:rFonts w:ascii="Calibri" w:cs="Calibri" w:eastAsia="Calibri" w:hAnsi="Calibri"/>
          <w:b/>
          <w:bCs/>
          <w:color w:val="1F2937"/>
          <w:sz w:val="22"/>
          <w:szCs w:val="22"/>
        </w:rPr>
        <w:t xml:space="preserve">The framework map. </w:t>
      </w:r>
      <w:r>
        <w:rPr>
          <w:rFonts w:ascii="Calibri" w:cs="Calibri" w:eastAsia="Calibri" w:hAnsi="Calibri"/>
          <w:color w:val="1F2937"/>
          <w:sz w:val="22"/>
          <w:szCs w:val="22"/>
        </w:rPr>
        <w:t xml:space="preserve">Mapping to SR 11‑7, EU AI Act, NIST AI RMF, GDPR, and HIPAA is more concrete than Credo AI's equivalent and gives you a defensible answer to "what exactly does governance mean here?"</w:t>
      </w:r>
    </w:p>
    <w:p>
      <w:pPr>
        <w:pStyle w:val="ListParagraph"/>
        <w:numPr>
          <w:ilvl w:val="0"/>
          <w:numId w:val="2"/>
        </w:numPr>
        <w:spacing w:after="40" w:before="40" w:line="280"/>
      </w:pPr>
      <w:r>
        <w:rPr>
          <w:rFonts w:ascii="Calibri" w:cs="Calibri" w:eastAsia="Calibri" w:hAnsi="Calibri"/>
          <w:b/>
          <w:bCs/>
          <w:color w:val="1F2937"/>
          <w:sz w:val="22"/>
          <w:szCs w:val="22"/>
        </w:rPr>
        <w:t xml:space="preserve">The comparison blocks. </w:t>
      </w:r>
      <w:r>
        <w:rPr>
          <w:rFonts w:ascii="Calibri" w:cs="Calibri" w:eastAsia="Calibri" w:hAnsi="Calibri"/>
          <w:color w:val="1F2937"/>
          <w:sz w:val="22"/>
          <w:szCs w:val="22"/>
        </w:rPr>
        <w:t xml:space="preserve">"vs. Building from Scratch / vs. Cloud-Native Tools / vs. Point Solutions" is sharper than any competing page's equivalent section — most leaders skip this category of objection handling entirely.</w:t>
      </w:r>
    </w:p>
    <w:p>
      <w:pPr>
        <w:pStyle w:val="ListParagraph"/>
        <w:numPr>
          <w:ilvl w:val="0"/>
          <w:numId w:val="2"/>
        </w:numPr>
        <w:spacing w:after="40" w:before="40" w:line="280"/>
      </w:pPr>
      <w:r>
        <w:rPr>
          <w:rFonts w:ascii="Calibri" w:cs="Calibri" w:eastAsia="Calibri" w:hAnsi="Calibri"/>
          <w:b/>
          <w:bCs/>
          <w:color w:val="1F2937"/>
          <w:sz w:val="22"/>
          <w:szCs w:val="22"/>
        </w:rPr>
        <w:t xml:space="preserve">ROI with specific, sourced dollar figures. </w:t>
      </w:r>
      <w:r>
        <w:rPr>
          <w:rFonts w:ascii="Calibri" w:cs="Calibri" w:eastAsia="Calibri" w:hAnsi="Calibri"/>
          <w:color w:val="1F2937"/>
          <w:sz w:val="22"/>
          <w:szCs w:val="22"/>
        </w:rPr>
        <w:t xml:space="preserve">$670K shadow-AI breach delta (IBM Ponemon), $75M Citibank OCC penalty — these are concrete, regulator-tier numbers. Most AI platform pages cite vague productivity stats.</w:t>
      </w:r>
    </w:p>
    <w:p>
      <w:pPr>
        <w:pStyle w:val="ListParagraph"/>
        <w:numPr>
          <w:ilvl w:val="0"/>
          <w:numId w:val="2"/>
        </w:numPr>
        <w:spacing w:after="40" w:before="40" w:line="280"/>
      </w:pPr>
      <w:r>
        <w:rPr>
          <w:rFonts w:ascii="Calibri" w:cs="Calibri" w:eastAsia="Calibri" w:hAnsi="Calibri"/>
          <w:b/>
          <w:bCs/>
          <w:color w:val="1F2937"/>
          <w:sz w:val="22"/>
          <w:szCs w:val="22"/>
        </w:rPr>
        <w:t xml:space="preserve">Technical metadata discipline. </w:t>
      </w:r>
      <w:r>
        <w:rPr>
          <w:rFonts w:ascii="Calibri" w:cs="Calibri" w:eastAsia="Calibri" w:hAnsi="Calibri"/>
          <w:color w:val="1F2937"/>
          <w:sz w:val="22"/>
          <w:szCs w:val="22"/>
        </w:rPr>
        <w:t xml:space="preserve">Schema.org Organization, SoftwareApplication, and FAQPage markup, clean Open Graph tags, Twitter card, sensible meta description, single H1, logical heading hierarchy (1 H1 / 9 H2 / 17 H3). This is the kind of thing that is invisible to visitors but pays off in organic discovery and LLM citation.</w:t>
      </w:r>
    </w:p>
    <w:p>
      <w:pPr>
        <w:pStyle w:val="Heading2"/>
        <w:spacing w:after="140" w:before="280"/>
      </w:pPr>
      <w:r>
        <w:rPr>
          <w:rFonts w:ascii="Calibri" w:cs="Calibri" w:eastAsia="Calibri" w:hAnsi="Calibri"/>
          <w:b/>
          <w:bCs/>
          <w:color w:val="0B1220"/>
          <w:sz w:val="28"/>
          <w:szCs w:val="28"/>
        </w:rPr>
        <w:t xml:space="preserve">Headline findings</w:t>
      </w:r>
    </w:p>
    <w:p>
      <w:pPr>
        <w:spacing w:after="120" w:before="80" w:line="300"/>
      </w:pPr>
      <w:r>
        <w:rPr>
          <w:rFonts w:ascii="Calibri" w:cs="Calibri" w:eastAsia="Calibri" w:hAnsi="Calibri"/>
          <w:color w:val="1F2937"/>
          <w:sz w:val="22"/>
          <w:szCs w:val="22"/>
        </w:rPr>
        <w:t xml:space="preserve">If you read nothing else in this document, the eight findings below are the ones that move the page the most.</w:t>
      </w:r>
    </w:p>
    <w:p>
      <w:pPr>
        <w:pStyle w:val="ListParagraph"/>
        <w:numPr>
          <w:ilvl w:val="0"/>
          <w:numId w:val="2"/>
        </w:numPr>
        <w:spacing w:after="40" w:before="40" w:line="280"/>
      </w:pPr>
      <w:r>
        <w:rPr>
          <w:rFonts w:ascii="Calibri" w:cs="Calibri" w:eastAsia="Calibri" w:hAnsi="Calibri"/>
          <w:b/>
          <w:bCs/>
          <w:color w:val="1F2937"/>
          <w:sz w:val="22"/>
          <w:szCs w:val="22"/>
        </w:rPr>
        <w:t xml:space="preserve">F1. </w:t>
      </w:r>
      <w:r>
        <w:rPr>
          <w:rFonts w:ascii="Calibri" w:cs="Calibri" w:eastAsia="Calibri" w:hAnsi="Calibri"/>
          <w:color w:val="1F2937"/>
          <w:sz w:val="22"/>
          <w:szCs w:val="22"/>
        </w:rPr>
        <w:t xml:space="preserve">Hero LCP is blocked by an opacity-0 reveal gate that delays paint until hydration + IntersectionObserver + a 600ms CSS transition complete. Same mechanism causes a blank-page correctness bug for anyone who loads the site in a background tab (Cmd/Ctrl-click, middle-click). The hero h1, subheads, CTAs, and illustration all have the .reveal class. Fix is small: remove .reveal from hero elements and add a visibilitychange fallback to the scroll-reveal wrapper. (Note: this was originally labeled “FCP ~4.6s” in the first draft of this audit; the correct metric is LCP. FCP fires on the navbar, which sits outside the gated wrapper.)</w:t>
      </w:r>
    </w:p>
    <w:p>
      <w:pPr>
        <w:pStyle w:val="ListParagraph"/>
        <w:numPr>
          <w:ilvl w:val="0"/>
          <w:numId w:val="2"/>
        </w:numPr>
        <w:spacing w:after="40" w:before="40" w:line="280"/>
      </w:pPr>
      <w:r>
        <w:rPr>
          <w:rFonts w:ascii="Calibri" w:cs="Calibri" w:eastAsia="Calibri" w:hAnsi="Calibri"/>
          <w:b/>
          <w:bCs/>
          <w:color w:val="1F2937"/>
          <w:sz w:val="22"/>
          <w:szCs w:val="22"/>
        </w:rPr>
        <w:t xml:space="preserve">F2. </w:t>
      </w:r>
      <w:r>
        <w:rPr>
          <w:rFonts w:ascii="Calibri" w:cs="Calibri" w:eastAsia="Calibri" w:hAnsi="Calibri"/>
          <w:color w:val="1F2937"/>
          <w:sz w:val="22"/>
          <w:szCs w:val="22"/>
        </w:rPr>
        <w:t xml:space="preserve">The hero headline sits at dark-gray-on-dark-navy during the reveal window. Contrast here fails WCAG AA and is the first thing a first-time visitor sees.</w:t>
      </w:r>
    </w:p>
    <w:p>
      <w:pPr>
        <w:pStyle w:val="ListParagraph"/>
        <w:numPr>
          <w:ilvl w:val="0"/>
          <w:numId w:val="2"/>
        </w:numPr>
        <w:spacing w:after="40" w:before="40" w:line="280"/>
      </w:pPr>
      <w:r>
        <w:rPr>
          <w:rFonts w:ascii="Calibri" w:cs="Calibri" w:eastAsia="Calibri" w:hAnsi="Calibri"/>
          <w:b/>
          <w:bCs/>
          <w:color w:val="1F2937"/>
          <w:sz w:val="22"/>
          <w:szCs w:val="22"/>
        </w:rPr>
        <w:t xml:space="preserve">F3. </w:t>
      </w:r>
      <w:r>
        <w:rPr>
          <w:rFonts w:ascii="Calibri" w:cs="Calibri" w:eastAsia="Calibri" w:hAnsi="Calibri"/>
          <w:color w:val="1F2937"/>
          <w:sz w:val="22"/>
          <w:szCs w:val="22"/>
        </w:rPr>
        <w:t xml:space="preserve">No real product screenshot above the fold. The abstract SVG is not substitute for a UI mockup of Blueprint Review.</w:t>
      </w:r>
    </w:p>
    <w:p>
      <w:pPr>
        <w:pStyle w:val="ListParagraph"/>
        <w:numPr>
          <w:ilvl w:val="0"/>
          <w:numId w:val="2"/>
        </w:numPr>
        <w:spacing w:after="40" w:before="40" w:line="280"/>
      </w:pPr>
      <w:r>
        <w:rPr>
          <w:rFonts w:ascii="Calibri" w:cs="Calibri" w:eastAsia="Calibri" w:hAnsi="Calibri"/>
          <w:b/>
          <w:bCs/>
          <w:color w:val="1F2937"/>
          <w:sz w:val="22"/>
          <w:szCs w:val="22"/>
        </w:rPr>
        <w:t xml:space="preserve">F4. </w:t>
      </w:r>
      <w:r>
        <w:rPr>
          <w:rFonts w:ascii="Calibri" w:cs="Calibri" w:eastAsia="Calibri" w:hAnsi="Calibri"/>
          <w:color w:val="1F2937"/>
          <w:sz w:val="22"/>
          <w:szCs w:val="22"/>
        </w:rPr>
        <w:t xml:space="preserve">The hero offers two equally weighted CTAs (Request Early Access / See How It Works) without establishing a default. Competitor pages either collapse this to a single primary CTA or pair a primary with a low-commitment video watch.</w:t>
      </w:r>
    </w:p>
    <w:p>
      <w:pPr>
        <w:pStyle w:val="ListParagraph"/>
        <w:numPr>
          <w:ilvl w:val="0"/>
          <w:numId w:val="2"/>
        </w:numPr>
        <w:spacing w:after="40" w:before="40" w:line="280"/>
      </w:pPr>
      <w:r>
        <w:rPr>
          <w:rFonts w:ascii="Calibri" w:cs="Calibri" w:eastAsia="Calibri" w:hAnsi="Calibri"/>
          <w:b/>
          <w:bCs/>
          <w:color w:val="1F2937"/>
          <w:sz w:val="22"/>
          <w:szCs w:val="22"/>
        </w:rPr>
        <w:t xml:space="preserve">F5. </w:t>
      </w:r>
      <w:r>
        <w:rPr>
          <w:rFonts w:ascii="Calibri" w:cs="Calibri" w:eastAsia="Calibri" w:hAnsi="Calibri"/>
          <w:color w:val="1F2937"/>
          <w:sz w:val="22"/>
          <w:szCs w:val="22"/>
        </w:rPr>
        <w:t xml:space="preserve">The page uses the phrase "Request Early Access" in two navigation slots and "Get Access" in another, with additional separate CTAs for "Talk to Sales," "Apply for Design Partnership," and "Send me the guide." Eleven CTAs on the page divide attention. The intent ladder is not obvious.</w:t>
      </w:r>
    </w:p>
    <w:p>
      <w:pPr>
        <w:pStyle w:val="ListParagraph"/>
        <w:numPr>
          <w:ilvl w:val="0"/>
          <w:numId w:val="2"/>
        </w:numPr>
        <w:spacing w:after="40" w:before="40" w:line="280"/>
      </w:pPr>
      <w:r>
        <w:rPr>
          <w:rFonts w:ascii="Calibri" w:cs="Calibri" w:eastAsia="Calibri" w:hAnsi="Calibri"/>
          <w:b/>
          <w:bCs/>
          <w:color w:val="1F2937"/>
          <w:sz w:val="22"/>
          <w:szCs w:val="22"/>
        </w:rPr>
        <w:t xml:space="preserve">F6. </w:t>
      </w:r>
      <w:r>
        <w:rPr>
          <w:rFonts w:ascii="Calibri" w:cs="Calibri" w:eastAsia="Calibri" w:hAnsi="Calibri"/>
          <w:color w:val="1F2937"/>
          <w:sz w:val="22"/>
          <w:szCs w:val="22"/>
        </w:rPr>
        <w:t xml:space="preserve">Industry chips above the fold are a weak proxy for proof. Replace with a verifiable trust element: advisor logos, press mention, pilot stat, compliance framework badges rendered visually.</w:t>
      </w:r>
    </w:p>
    <w:p>
      <w:pPr>
        <w:pStyle w:val="ListParagraph"/>
        <w:numPr>
          <w:ilvl w:val="0"/>
          <w:numId w:val="2"/>
        </w:numPr>
        <w:spacing w:after="40" w:before="40" w:line="280"/>
      </w:pPr>
      <w:r>
        <w:rPr>
          <w:rFonts w:ascii="Calibri" w:cs="Calibri" w:eastAsia="Calibri" w:hAnsi="Calibri"/>
          <w:b/>
          <w:bCs/>
          <w:color w:val="1F2937"/>
          <w:sz w:val="22"/>
          <w:szCs w:val="22"/>
        </w:rPr>
        <w:t xml:space="preserve">F7. </w:t>
      </w:r>
      <w:r>
        <w:rPr>
          <w:rFonts w:ascii="Calibri" w:cs="Calibri" w:eastAsia="Calibri" w:hAnsi="Calibri"/>
          <w:color w:val="1F2937"/>
          <w:sz w:val="22"/>
          <w:szCs w:val="22"/>
        </w:rPr>
        <w:t xml:space="preserve">The "Request Early Access" form is separated from the hero by a scroll. Inline email capture in the hero lifts conversion by 15–35% in most B2B tests.</w:t>
      </w:r>
    </w:p>
    <w:p>
      <w:pPr>
        <w:pStyle w:val="ListParagraph"/>
        <w:numPr>
          <w:ilvl w:val="0"/>
          <w:numId w:val="2"/>
        </w:numPr>
        <w:spacing w:after="40" w:before="40" w:line="280"/>
      </w:pPr>
      <w:r>
        <w:rPr>
          <w:rFonts w:ascii="Calibri" w:cs="Calibri" w:eastAsia="Calibri" w:hAnsi="Calibri"/>
          <w:b/>
          <w:bCs/>
          <w:color w:val="1F2937"/>
          <w:sz w:val="22"/>
          <w:szCs w:val="22"/>
        </w:rPr>
        <w:t xml:space="preserve">F8. </w:t>
      </w:r>
      <w:r>
        <w:rPr>
          <w:rFonts w:ascii="Calibri" w:cs="Calibri" w:eastAsia="Calibri" w:hAnsi="Calibri"/>
          <w:color w:val="1F2937"/>
          <w:sz w:val="22"/>
          <w:szCs w:val="22"/>
        </w:rPr>
        <w:t xml:space="preserve">The nav has no Customers, Pricing, or About. Customers is understandable (pre-revenue), but Pricing absence costs you qualified self-serve inquiries; an About presence would let the page lean on the founder story that currently lives only in the footer.</w:t>
      </w:r>
    </w:p>
    <w:p>
      <w:pPr>
        <w:pStyle w:val="Heading1"/>
        <w:pageBreakBefore/>
        <w:spacing w:after="200" w:before="360"/>
      </w:pPr>
      <w:r>
        <w:rPr>
          <w:rFonts w:ascii="Calibri" w:cs="Calibri" w:eastAsia="Calibri" w:hAnsi="Calibri"/>
          <w:b/>
          <w:bCs/>
          <w:color w:val="0B1220"/>
          <w:sz w:val="36"/>
          <w:szCs w:val="36"/>
        </w:rPr>
        <w:t xml:space="preserve">Methodology</w:t>
      </w:r>
    </w:p>
    <w:p>
      <w:pPr>
        <w:pBdr>
          <w:bottom w:val="single" w:color="4F46E5" w:sz="6" w:space="1"/>
        </w:pBdr>
        <w:spacing w:after="160" w:before="80"/>
      </w:pPr>
      <w:r>
        <w:rPr>
          <w:rFonts w:ascii="Calibri" w:cs="Calibri" w:eastAsia="Calibri" w:hAnsi="Calibri"/>
          <w:sz w:val="2"/>
          <w:szCs w:val="2"/>
        </w:rPr>
        <w:t xml:space="preserve"/>
      </w:r>
    </w:p>
    <w:p>
      <w:pPr>
        <w:spacing w:after="120" w:before="80" w:line="300"/>
      </w:pPr>
      <w:r>
        <w:rPr>
          <w:rFonts w:ascii="Calibri" w:cs="Calibri" w:eastAsia="Calibri" w:hAnsi="Calibri"/>
          <w:color w:val="1F2937"/>
          <w:sz w:val="22"/>
          <w:szCs w:val="22"/>
        </w:rPr>
        <w:t xml:space="preserve">The audit compared intellios.app/landing against six reference sites captured on April 9, 2026:</w:t>
      </w:r>
    </w:p>
    <w:p>
      <w:pPr>
        <w:pStyle w:val="ListParagraph"/>
        <w:numPr>
          <w:ilvl w:val="0"/>
          <w:numId w:val="2"/>
        </w:numPr>
        <w:spacing w:after="40" w:before="40" w:line="280"/>
      </w:pPr>
      <w:r>
        <w:rPr>
          <w:rFonts w:ascii="Calibri" w:cs="Calibri" w:eastAsia="Calibri" w:hAnsi="Calibri"/>
          <w:color w:val="1F2937"/>
          <w:sz w:val="22"/>
          <w:szCs w:val="22"/>
        </w:rPr>
        <w:t xml:space="preserve">Sierra (sierra.ai) — customer experience agents</w:t>
      </w:r>
    </w:p>
    <w:p>
      <w:pPr>
        <w:pStyle w:val="ListParagraph"/>
        <w:numPr>
          <w:ilvl w:val="0"/>
          <w:numId w:val="2"/>
        </w:numPr>
        <w:spacing w:after="40" w:before="40" w:line="280"/>
      </w:pPr>
      <w:r>
        <w:rPr>
          <w:rFonts w:ascii="Calibri" w:cs="Calibri" w:eastAsia="Calibri" w:hAnsi="Calibri"/>
          <w:color w:val="1F2937"/>
          <w:sz w:val="22"/>
          <w:szCs w:val="22"/>
        </w:rPr>
        <w:t xml:space="preserve">Decagon (decagon.ai) — AI concierge agents</w:t>
      </w:r>
    </w:p>
    <w:p>
      <w:pPr>
        <w:pStyle w:val="ListParagraph"/>
        <w:numPr>
          <w:ilvl w:val="0"/>
          <w:numId w:val="2"/>
        </w:numPr>
        <w:spacing w:after="40" w:before="40" w:line="280"/>
      </w:pPr>
      <w:r>
        <w:rPr>
          <w:rFonts w:ascii="Calibri" w:cs="Calibri" w:eastAsia="Calibri" w:hAnsi="Calibri"/>
          <w:color w:val="1F2937"/>
          <w:sz w:val="22"/>
          <w:szCs w:val="22"/>
        </w:rPr>
        <w:t xml:space="preserve">Glean (glean.com) — work AI assistant and agents</w:t>
      </w:r>
    </w:p>
    <w:p>
      <w:pPr>
        <w:pStyle w:val="ListParagraph"/>
        <w:numPr>
          <w:ilvl w:val="0"/>
          <w:numId w:val="2"/>
        </w:numPr>
        <w:spacing w:after="40" w:before="40" w:line="280"/>
      </w:pPr>
      <w:r>
        <w:rPr>
          <w:rFonts w:ascii="Calibri" w:cs="Calibri" w:eastAsia="Calibri" w:hAnsi="Calibri"/>
          <w:color w:val="1F2937"/>
          <w:sz w:val="22"/>
          <w:szCs w:val="22"/>
        </w:rPr>
        <w:t xml:space="preserve">Writer (writer.com) — enterprise AI platform for agentic work</w:t>
      </w:r>
    </w:p>
    <w:p>
      <w:pPr>
        <w:pStyle w:val="ListParagraph"/>
        <w:numPr>
          <w:ilvl w:val="0"/>
          <w:numId w:val="2"/>
        </w:numPr>
        <w:spacing w:after="40" w:before="40" w:line="280"/>
      </w:pPr>
      <w:r>
        <w:rPr>
          <w:rFonts w:ascii="Calibri" w:cs="Calibri" w:eastAsia="Calibri" w:hAnsi="Calibri"/>
          <w:color w:val="1F2937"/>
          <w:sz w:val="22"/>
          <w:szCs w:val="22"/>
        </w:rPr>
        <w:t xml:space="preserve">CrewAI (crewai.com) — multi-agent platform</w:t>
      </w:r>
    </w:p>
    <w:p>
      <w:pPr>
        <w:pStyle w:val="ListParagraph"/>
        <w:numPr>
          <w:ilvl w:val="0"/>
          <w:numId w:val="2"/>
        </w:numPr>
        <w:spacing w:after="40" w:before="40" w:line="280"/>
      </w:pPr>
      <w:r>
        <w:rPr>
          <w:rFonts w:ascii="Calibri" w:cs="Calibri" w:eastAsia="Calibri" w:hAnsi="Calibri"/>
          <w:color w:val="1F2937"/>
          <w:sz w:val="22"/>
          <w:szCs w:val="22"/>
        </w:rPr>
        <w:t xml:space="preserve">Credo AI (credo.ai) — AI governance platform; closest direct category competitor</w:t>
      </w:r>
    </w:p>
    <w:p>
      <w:pPr>
        <w:spacing w:after="120" w:before="80" w:line="300"/>
      </w:pPr>
      <w:r>
        <w:rPr>
          <w:rFonts w:ascii="Calibri" w:cs="Calibri" w:eastAsia="Calibri" w:hAnsi="Calibri"/>
          <w:color w:val="1F2937"/>
          <w:sz w:val="22"/>
          <w:szCs w:val="22"/>
        </w:rPr>
        <w:t xml:space="preserve">For each reference site, I captured: hero headline, subhead, primary and secondary CTAs, navigation structure, social proof placement, and visual hero treatment. For Intellios I additionally measured Navigation Timing (DOMContentLoaded, loadComplete, TTFB), Paint Timing (FCP and LCP), document structure (heading counts, CTA counts, image counts), meta tags (Open Graph, Twitter card, schema.org JSON-LD), reveal animation behavior under programmatic and natural scroll (including a background-tab reproduction), computed-style contrast of hero type during the reveal window, and cached resource sizes. A second validation pass traced the reveal mechanism through the source code in src/app/landing/page.tsx, src/components/landing/scroll-reveal-wrapper.tsx, and src/app/globals.css to confirm which elements are gated and why.</w:t>
      </w:r>
    </w:p>
    <w:p>
      <w:pPr>
        <w:spacing w:after="120" w:before="80" w:line="300"/>
      </w:pPr>
      <w:r>
        <w:rPr>
          <w:rFonts w:ascii="Calibri" w:cs="Calibri" w:eastAsia="Calibri" w:hAnsi="Calibri"/>
          <w:color w:val="1F2937"/>
          <w:sz w:val="22"/>
          <w:szCs w:val="22"/>
        </w:rPr>
        <w:t xml:space="preserve">The analysis is organized around four dimensions: messaging and positioning; visual design and hierarchy; conversion and UX flow; technical and performance. The final section translates findings into a prioritized backlog tagged P0 (ship this week), P1 (ship this sprint), and P2 (next quarter). Effort estimates assume the existing Next.js 16 + Catalyst stack documented in CLAUDE.md.</w:t>
      </w:r>
    </w:p>
    <w:p>
      <w:pPr>
        <w:pStyle w:val="Heading1"/>
        <w:pageBreakBefore/>
        <w:spacing w:after="200" w:before="360"/>
      </w:pPr>
      <w:r>
        <w:rPr>
          <w:rFonts w:ascii="Calibri" w:cs="Calibri" w:eastAsia="Calibri" w:hAnsi="Calibri"/>
          <w:b/>
          <w:bCs/>
          <w:color w:val="0B1220"/>
          <w:sz w:val="36"/>
          <w:szCs w:val="36"/>
        </w:rPr>
        <w:t xml:space="preserve">What the page looks like today</w:t>
      </w:r>
    </w:p>
    <w:p>
      <w:pPr>
        <w:pBdr>
          <w:bottom w:val="single" w:color="4F46E5" w:sz="6" w:space="1"/>
        </w:pBdr>
        <w:spacing w:after="160" w:before="80"/>
      </w:pPr>
      <w:r>
        <w:rPr>
          <w:rFonts w:ascii="Calibri" w:cs="Calibri" w:eastAsia="Calibri" w:hAnsi="Calibri"/>
          <w:sz w:val="2"/>
          <w:szCs w:val="2"/>
        </w:rPr>
        <w:t xml:space="preserve"/>
      </w:r>
    </w:p>
    <w:p>
      <w:pPr>
        <w:spacing w:after="120" w:before="80" w:line="300"/>
      </w:pPr>
      <w:r>
        <w:rPr>
          <w:rFonts w:ascii="Calibri" w:cs="Calibri" w:eastAsia="Calibri" w:hAnsi="Calibri"/>
          <w:color w:val="1F2937"/>
          <w:sz w:val="22"/>
          <w:szCs w:val="22"/>
        </w:rPr>
        <w:t xml:space="preserve">Intellios presents itself as "The Governed Control Plane for AI Agents." The landing page is a single long scroll of approximately 12,354 pixels at desktop width, organized into twelve distinct sections.</w:t>
      </w:r>
    </w:p>
    <w:p>
      <w:pPr>
        <w:pStyle w:val="Heading2"/>
        <w:spacing w:after="140" w:before="280"/>
      </w:pPr>
      <w:r>
        <w:rPr>
          <w:rFonts w:ascii="Calibri" w:cs="Calibri" w:eastAsia="Calibri" w:hAnsi="Calibri"/>
          <w:b/>
          <w:bCs/>
          <w:color w:val="0B1220"/>
          <w:sz w:val="28"/>
          <w:szCs w:val="28"/>
        </w:rPr>
        <w:t xml:space="preserve">Section flow</w:t>
      </w:r>
    </w:p>
    <w:p>
      <w:pPr>
        <w:pStyle w:val="ListParagraph"/>
        <w:numPr>
          <w:ilvl w:val="0"/>
          <w:numId w:val="2"/>
        </w:numPr>
        <w:spacing w:after="40" w:before="40" w:line="280"/>
      </w:pPr>
      <w:r>
        <w:rPr>
          <w:rFonts w:ascii="Calibri" w:cs="Calibri" w:eastAsia="Calibri" w:hAnsi="Calibri"/>
          <w:b/>
          <w:bCs/>
          <w:color w:val="1F2937"/>
          <w:sz w:val="22"/>
          <w:szCs w:val="22"/>
        </w:rPr>
        <w:t xml:space="preserve">1. Hero. </w:t>
      </w:r>
      <w:r>
        <w:rPr>
          <w:rFonts w:ascii="Calibri" w:cs="Calibri" w:eastAsia="Calibri" w:hAnsi="Calibri"/>
          <w:color w:val="1F2937"/>
          <w:sz w:val="22"/>
          <w:szCs w:val="22"/>
        </w:rPr>
        <w:t xml:space="preserve">Eyebrow pill "The Governed Control Plane for AI Agents" → 9-word headline → two-sentence subhead → primary/secondary CTA pair → industry chip row.</w:t>
      </w:r>
    </w:p>
    <w:p>
      <w:pPr>
        <w:pStyle w:val="ListParagraph"/>
        <w:numPr>
          <w:ilvl w:val="0"/>
          <w:numId w:val="2"/>
        </w:numPr>
        <w:spacing w:after="40" w:before="40" w:line="280"/>
      </w:pPr>
      <w:r>
        <w:rPr>
          <w:rFonts w:ascii="Calibri" w:cs="Calibri" w:eastAsia="Calibri" w:hAnsi="Calibri"/>
          <w:b/>
          <w:bCs/>
          <w:color w:val="1F2937"/>
          <w:sz w:val="22"/>
          <w:szCs w:val="22"/>
        </w:rPr>
        <w:t xml:space="preserve">2. Hero diagram. </w:t>
      </w:r>
      <w:r>
        <w:rPr>
          <w:rFonts w:ascii="Calibri" w:cs="Calibri" w:eastAsia="Calibri" w:hAnsi="Calibri"/>
          <w:color w:val="1F2937"/>
          <w:sz w:val="22"/>
          <w:szCs w:val="22"/>
        </w:rPr>
        <w:t xml:space="preserve">Animated SVG showing Claims Triage and Risk Scoring agents flowing through an "Intellios" shield with SR 11‑7/GDPR/HIPAA labels into Approved / Blocked / Production states.</w:t>
      </w:r>
    </w:p>
    <w:p>
      <w:pPr>
        <w:pStyle w:val="ListParagraph"/>
        <w:numPr>
          <w:ilvl w:val="0"/>
          <w:numId w:val="2"/>
        </w:numPr>
        <w:spacing w:after="40" w:before="40" w:line="280"/>
      </w:pPr>
      <w:r>
        <w:rPr>
          <w:rFonts w:ascii="Calibri" w:cs="Calibri" w:eastAsia="Calibri" w:hAnsi="Calibri"/>
          <w:b/>
          <w:bCs/>
          <w:color w:val="1F2937"/>
          <w:sz w:val="22"/>
          <w:szCs w:val="22"/>
        </w:rPr>
        <w:t xml:space="preserve">3. Governance gap. </w:t>
      </w:r>
      <w:r>
        <w:rPr>
          <w:rFonts w:ascii="Calibri" w:cs="Calibri" w:eastAsia="Calibri" w:hAnsi="Calibri"/>
          <w:color w:val="1F2937"/>
          <w:sz w:val="22"/>
          <w:szCs w:val="22"/>
        </w:rPr>
        <w:t xml:space="preserve">Three Gartner/WalkMe/IBM statistics framing the market problem.</w:t>
      </w:r>
    </w:p>
    <w:p>
      <w:pPr>
        <w:pStyle w:val="ListParagraph"/>
        <w:numPr>
          <w:ilvl w:val="0"/>
          <w:numId w:val="2"/>
        </w:numPr>
        <w:spacing w:after="40" w:before="40" w:line="280"/>
      </w:pPr>
      <w:r>
        <w:rPr>
          <w:rFonts w:ascii="Calibri" w:cs="Calibri" w:eastAsia="Calibri" w:hAnsi="Calibri"/>
          <w:b/>
          <w:bCs/>
          <w:color w:val="1F2937"/>
          <w:sz w:val="22"/>
          <w:szCs w:val="22"/>
        </w:rPr>
        <w:t xml:space="preserve">4. Three pillars. </w:t>
      </w:r>
      <w:r>
        <w:rPr>
          <w:rFonts w:ascii="Calibri" w:cs="Calibri" w:eastAsia="Calibri" w:hAnsi="Calibri"/>
          <w:color w:val="1F2937"/>
          <w:sz w:val="22"/>
          <w:szCs w:val="22"/>
        </w:rPr>
        <w:t xml:space="preserve">Design-Time Governance → Lifecycle Management → Production Observability.</w:t>
      </w:r>
    </w:p>
    <w:p>
      <w:pPr>
        <w:pStyle w:val="ListParagraph"/>
        <w:numPr>
          <w:ilvl w:val="0"/>
          <w:numId w:val="2"/>
        </w:numPr>
        <w:spacing w:after="40" w:before="40" w:line="280"/>
      </w:pPr>
      <w:r>
        <w:rPr>
          <w:rFonts w:ascii="Calibri" w:cs="Calibri" w:eastAsia="Calibri" w:hAnsi="Calibri"/>
          <w:b/>
          <w:bCs/>
          <w:color w:val="1F2937"/>
          <w:sz w:val="22"/>
          <w:szCs w:val="22"/>
        </w:rPr>
        <w:t xml:space="preserve">5. How It Works. </w:t>
      </w:r>
      <w:r>
        <w:rPr>
          <w:rFonts w:ascii="Calibri" w:cs="Calibri" w:eastAsia="Calibri" w:hAnsi="Calibri"/>
          <w:color w:val="1F2937"/>
          <w:sz w:val="22"/>
          <w:szCs w:val="22"/>
        </w:rPr>
        <w:t xml:space="preserve">Four-step flow (Author → Validate → Approve → Deploy) with a "Without Intellios" contrast column.</w:t>
      </w:r>
    </w:p>
    <w:p>
      <w:pPr>
        <w:pStyle w:val="ListParagraph"/>
        <w:numPr>
          <w:ilvl w:val="0"/>
          <w:numId w:val="2"/>
        </w:numPr>
        <w:spacing w:after="40" w:before="40" w:line="280"/>
      </w:pPr>
      <w:r>
        <w:rPr>
          <w:rFonts w:ascii="Calibri" w:cs="Calibri" w:eastAsia="Calibri" w:hAnsi="Calibri"/>
          <w:b/>
          <w:bCs/>
          <w:color w:val="1F2937"/>
          <w:sz w:val="22"/>
          <w:szCs w:val="22"/>
        </w:rPr>
        <w:t xml:space="preserve">6. Use Cases. </w:t>
      </w:r>
      <w:r>
        <w:rPr>
          <w:rFonts w:ascii="Calibri" w:cs="Calibri" w:eastAsia="Calibri" w:hAnsi="Calibri"/>
          <w:color w:val="1F2937"/>
          <w:sz w:val="22"/>
          <w:szCs w:val="22"/>
        </w:rPr>
        <w:t xml:space="preserve">Three persona cards (Chief Risk and Compliance Officers, AI/ML Platform Teams, CIO/CTO) written as Pain → With Intellios.</w:t>
      </w:r>
    </w:p>
    <w:p>
      <w:pPr>
        <w:pStyle w:val="ListParagraph"/>
        <w:numPr>
          <w:ilvl w:val="0"/>
          <w:numId w:val="2"/>
        </w:numPr>
        <w:spacing w:after="40" w:before="40" w:line="280"/>
      </w:pPr>
      <w:r>
        <w:rPr>
          <w:rFonts w:ascii="Calibri" w:cs="Calibri" w:eastAsia="Calibri" w:hAnsi="Calibri"/>
          <w:b/>
          <w:bCs/>
          <w:color w:val="1F2937"/>
          <w:sz w:val="22"/>
          <w:szCs w:val="22"/>
        </w:rPr>
        <w:t xml:space="preserve">7. Why Intellios. </w:t>
      </w:r>
      <w:r>
        <w:rPr>
          <w:rFonts w:ascii="Calibri" w:cs="Calibri" w:eastAsia="Calibri" w:hAnsi="Calibri"/>
          <w:color w:val="1F2937"/>
          <w:sz w:val="22"/>
          <w:szCs w:val="22"/>
        </w:rPr>
        <w:t xml:space="preserve">Three comparison blocks (DIY, Cloud-native, Point solutions) plus a White-Label Ready card.</w:t>
      </w:r>
    </w:p>
    <w:p>
      <w:pPr>
        <w:pStyle w:val="ListParagraph"/>
        <w:numPr>
          <w:ilvl w:val="0"/>
          <w:numId w:val="2"/>
        </w:numPr>
        <w:spacing w:after="40" w:before="40" w:line="280"/>
      </w:pPr>
      <w:r>
        <w:rPr>
          <w:rFonts w:ascii="Calibri" w:cs="Calibri" w:eastAsia="Calibri" w:hAnsi="Calibri"/>
          <w:b/>
          <w:bCs/>
          <w:color w:val="1F2937"/>
          <w:sz w:val="22"/>
          <w:szCs w:val="22"/>
        </w:rPr>
        <w:t xml:space="preserve">8. Where We Are. </w:t>
      </w:r>
      <w:r>
        <w:rPr>
          <w:rFonts w:ascii="Calibri" w:cs="Calibri" w:eastAsia="Calibri" w:hAnsi="Calibri"/>
          <w:color w:val="1F2937"/>
          <w:sz w:val="22"/>
          <w:szCs w:val="22"/>
        </w:rPr>
        <w:t xml:space="preserve">Live / Now accepting / Planned transparency row plus framework map.</w:t>
      </w:r>
    </w:p>
    <w:p>
      <w:pPr>
        <w:pStyle w:val="ListParagraph"/>
        <w:numPr>
          <w:ilvl w:val="0"/>
          <w:numId w:val="2"/>
        </w:numPr>
        <w:spacing w:after="40" w:before="40" w:line="280"/>
      </w:pPr>
      <w:r>
        <w:rPr>
          <w:rFonts w:ascii="Calibri" w:cs="Calibri" w:eastAsia="Calibri" w:hAnsi="Calibri"/>
          <w:b/>
          <w:bCs/>
          <w:color w:val="1F2937"/>
          <w:sz w:val="22"/>
          <w:szCs w:val="22"/>
        </w:rPr>
        <w:t xml:space="preserve">9. ROI. </w:t>
      </w:r>
      <w:r>
        <w:rPr>
          <w:rFonts w:ascii="Calibri" w:cs="Calibri" w:eastAsia="Calibri" w:hAnsi="Calibri"/>
          <w:color w:val="1F2937"/>
          <w:sz w:val="22"/>
          <w:szCs w:val="22"/>
        </w:rPr>
        <w:t xml:space="preserve">Four sourced dollar/percentage statistics with EU AI Act urgency callout.</w:t>
      </w:r>
    </w:p>
    <w:p>
      <w:pPr>
        <w:pStyle w:val="ListParagraph"/>
        <w:numPr>
          <w:ilvl w:val="0"/>
          <w:numId w:val="2"/>
        </w:numPr>
        <w:spacing w:after="40" w:before="40" w:line="280"/>
      </w:pPr>
      <w:r>
        <w:rPr>
          <w:rFonts w:ascii="Calibri" w:cs="Calibri" w:eastAsia="Calibri" w:hAnsi="Calibri"/>
          <w:b/>
          <w:bCs/>
          <w:color w:val="1F2937"/>
          <w:sz w:val="22"/>
          <w:szCs w:val="22"/>
        </w:rPr>
        <w:t xml:space="preserve">10. Free guide. </w:t>
      </w:r>
      <w:r>
        <w:rPr>
          <w:rFonts w:ascii="Calibri" w:cs="Calibri" w:eastAsia="Calibri" w:hAnsi="Calibri"/>
          <w:color w:val="1F2937"/>
          <w:sz w:val="22"/>
          <w:szCs w:val="22"/>
        </w:rPr>
        <w:t xml:space="preserve">"The Enterprise AI Agent Governance Framework" with email capture form.</w:t>
      </w:r>
    </w:p>
    <w:p>
      <w:pPr>
        <w:pStyle w:val="ListParagraph"/>
        <w:numPr>
          <w:ilvl w:val="0"/>
          <w:numId w:val="2"/>
        </w:numPr>
        <w:spacing w:after="40" w:before="40" w:line="280"/>
      </w:pPr>
      <w:r>
        <w:rPr>
          <w:rFonts w:ascii="Calibri" w:cs="Calibri" w:eastAsia="Calibri" w:hAnsi="Calibri"/>
          <w:b/>
          <w:bCs/>
          <w:color w:val="1F2937"/>
          <w:sz w:val="22"/>
          <w:szCs w:val="22"/>
        </w:rPr>
        <w:t xml:space="preserve">11. FAQ. </w:t>
      </w:r>
      <w:r>
        <w:rPr>
          <w:rFonts w:ascii="Calibri" w:cs="Calibri" w:eastAsia="Calibri" w:hAnsi="Calibri"/>
          <w:color w:val="1F2937"/>
          <w:sz w:val="22"/>
          <w:szCs w:val="22"/>
        </w:rPr>
        <w:t xml:space="preserve">Five accordion questions (cloud providers, implementation time, tenant isolation, compliance frameworks, free trial).</w:t>
      </w:r>
    </w:p>
    <w:p>
      <w:pPr>
        <w:pStyle w:val="ListParagraph"/>
        <w:numPr>
          <w:ilvl w:val="0"/>
          <w:numId w:val="2"/>
        </w:numPr>
        <w:spacing w:after="40" w:before="40" w:line="280"/>
      </w:pPr>
      <w:r>
        <w:rPr>
          <w:rFonts w:ascii="Calibri" w:cs="Calibri" w:eastAsia="Calibri" w:hAnsi="Calibri"/>
          <w:b/>
          <w:bCs/>
          <w:color w:val="1F2937"/>
          <w:sz w:val="22"/>
          <w:szCs w:val="22"/>
        </w:rPr>
        <w:t xml:space="preserve">12. Closing CTA + footer. </w:t>
      </w:r>
      <w:r>
        <w:rPr>
          <w:rFonts w:ascii="Calibri" w:cs="Calibri" w:eastAsia="Calibri" w:hAnsi="Calibri"/>
          <w:color w:val="1F2937"/>
          <w:sz w:val="22"/>
          <w:szCs w:val="22"/>
        </w:rPr>
        <w:t xml:space="preserve">"Your regulators are asking about your AI agents. Have answers ready." → Apply for Design Partnership / Talk to Sales.</w:t>
      </w:r>
    </w:p>
    <w:p>
      <w:pPr>
        <w:pStyle w:val="Heading2"/>
        <w:spacing w:after="140" w:before="280"/>
      </w:pPr>
      <w:r>
        <w:rPr>
          <w:rFonts w:ascii="Calibri" w:cs="Calibri" w:eastAsia="Calibri" w:hAnsi="Calibri"/>
          <w:b/>
          <w:bCs/>
          <w:color w:val="0B1220"/>
          <w:sz w:val="28"/>
          <w:szCs w:val="28"/>
        </w:rPr>
        <w:t xml:space="preserve">Measured document vitals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CBD5E1" w:sz="4"/>
              <w:left w:val="single" w:color="CBD5E1" w:sz="4"/>
              <w:bottom w:val="single" w:color="CBD5E1" w:sz="4"/>
              <w:right w:val="single" w:color="CBD5E1" w:sz="4"/>
            </w:tcBorders>
            <w:shd w:fill="EEF2FF" w:val="clear"/>
            <w:tcMar>
              <w:top w:type="dxa" w:w="100"/>
              <w:left w:type="dxa" w:w="140"/>
              <w:bottom w:type="dxa" w:w="100"/>
              <w:right w:type="dxa" w:w="140"/>
            </w:tcMar>
          </w:tcPr>
          <w:p>
            <w:pPr>
              <w:spacing w:after="20" w:before="20" w:line="260"/>
              <w:jc w:val="left"/>
            </w:pPr>
            <w:r>
              <w:rPr>
                <w:rFonts w:ascii="Calibri" w:cs="Calibri" w:eastAsia="Calibri" w:hAnsi="Calibri"/>
                <w:b/>
                <w:bCs/>
                <w:color w:val="0B1220"/>
                <w:sz w:val="20"/>
                <w:szCs w:val="20"/>
              </w:rPr>
              <w:t xml:space="preserve">Metric</w:t>
            </w:r>
          </w:p>
        </w:tc>
        <w:tc>
          <w:tcPr>
            <w:tcW w:type="dxa" w:w="3000"/>
            <w:tcBorders>
              <w:top w:val="single" w:color="CBD5E1" w:sz="4"/>
              <w:left w:val="single" w:color="CBD5E1" w:sz="4"/>
              <w:bottom w:val="single" w:color="CBD5E1" w:sz="4"/>
              <w:right w:val="single" w:color="CBD5E1" w:sz="4"/>
            </w:tcBorders>
            <w:shd w:fill="EEF2FF" w:val="clear"/>
            <w:tcMar>
              <w:top w:type="dxa" w:w="100"/>
              <w:left w:type="dxa" w:w="140"/>
              <w:bottom w:type="dxa" w:w="100"/>
              <w:right w:type="dxa" w:w="140"/>
            </w:tcMar>
          </w:tcPr>
          <w:p>
            <w:pPr>
              <w:spacing w:after="20" w:before="20" w:line="260"/>
              <w:jc w:val="left"/>
            </w:pPr>
            <w:r>
              <w:rPr>
                <w:rFonts w:ascii="Calibri" w:cs="Calibri" w:eastAsia="Calibri" w:hAnsi="Calibri"/>
                <w:b/>
                <w:bCs/>
                <w:color w:val="0B1220"/>
                <w:sz w:val="20"/>
                <w:szCs w:val="20"/>
              </w:rPr>
              <w:t xml:space="preserve">Value</w:t>
            </w:r>
          </w:p>
        </w:tc>
        <w:tc>
          <w:tcPr>
            <w:tcW w:type="dxa" w:w="3000"/>
            <w:tcBorders>
              <w:top w:val="single" w:color="CBD5E1" w:sz="4"/>
              <w:left w:val="single" w:color="CBD5E1" w:sz="4"/>
              <w:bottom w:val="single" w:color="CBD5E1" w:sz="4"/>
              <w:right w:val="single" w:color="CBD5E1" w:sz="4"/>
            </w:tcBorders>
            <w:shd w:fill="EEF2FF" w:val="clear"/>
            <w:tcMar>
              <w:top w:type="dxa" w:w="100"/>
              <w:left w:type="dxa" w:w="140"/>
              <w:bottom w:type="dxa" w:w="100"/>
              <w:right w:type="dxa" w:w="140"/>
            </w:tcMar>
          </w:tcPr>
          <w:p>
            <w:pPr>
              <w:spacing w:after="20" w:before="20" w:line="260"/>
              <w:jc w:val="left"/>
            </w:pPr>
            <w:r>
              <w:rPr>
                <w:rFonts w:ascii="Calibri" w:cs="Calibri" w:eastAsia="Calibri" w:hAnsi="Calibri"/>
                <w:b/>
                <w:bCs/>
                <w:color w:val="0B1220"/>
                <w:sz w:val="20"/>
                <w:szCs w:val="20"/>
              </w:rPr>
              <w:t xml:space="preserve">Read</w:t>
            </w:r>
          </w:p>
        </w:tc>
      </w:tr>
      <w:tr>
        <w:tc>
          <w:tcPr>
            <w:tcW w:type="dxa" w:w="33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bCs/>
                <w:color w:val="1F2937"/>
                <w:sz w:val="20"/>
                <w:szCs w:val="20"/>
              </w:rPr>
              <w:t xml:space="preserve">Document height (desktop)</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1F2937"/>
                <w:sz w:val="20"/>
                <w:szCs w:val="20"/>
              </w:rPr>
              <w:t xml:space="preserve">12,354 px</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475569"/>
                <w:sz w:val="20"/>
                <w:szCs w:val="20"/>
              </w:rPr>
              <w:t xml:space="preserve">Long-form, typical for enterprise SaaS</w:t>
            </w:r>
          </w:p>
        </w:tc>
      </w:tr>
      <w:tr>
        <w:tc>
          <w:tcPr>
            <w:tcW w:type="dxa" w:w="33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bCs/>
                <w:color w:val="1F2937"/>
                <w:sz w:val="20"/>
                <w:szCs w:val="20"/>
              </w:rPr>
              <w:t xml:space="preserve">H1 / H2 / H3 count</w:t>
            </w:r>
          </w:p>
        </w:tc>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1F2937"/>
                <w:sz w:val="20"/>
                <w:szCs w:val="20"/>
              </w:rPr>
              <w:t xml:space="preserve">1 / 9 / 17</w:t>
            </w:r>
          </w:p>
        </w:tc>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475569"/>
                <w:sz w:val="20"/>
                <w:szCs w:val="20"/>
              </w:rPr>
              <w:t xml:space="preserve">Clean hierarchy; passes SEO audits</w:t>
            </w:r>
          </w:p>
        </w:tc>
      </w:tr>
      <w:tr>
        <w:tc>
          <w:tcPr>
            <w:tcW w:type="dxa" w:w="33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bCs/>
                <w:color w:val="1F2937"/>
                <w:sz w:val="20"/>
                <w:szCs w:val="20"/>
              </w:rPr>
              <w:t xml:space="preserve">Total links</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1F2937"/>
                <w:sz w:val="20"/>
                <w:szCs w:val="20"/>
              </w:rPr>
              <w:t xml:space="preserve">21</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475569"/>
                <w:sz w:val="20"/>
                <w:szCs w:val="20"/>
              </w:rPr>
              <w:t xml:space="preserve">Low; no blog, case studies, docs yet</w:t>
            </w:r>
          </w:p>
        </w:tc>
      </w:tr>
      <w:tr>
        <w:tc>
          <w:tcPr>
            <w:tcW w:type="dxa" w:w="33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bCs/>
                <w:color w:val="1F2937"/>
                <w:sz w:val="20"/>
                <w:szCs w:val="20"/>
              </w:rPr>
              <w:t xml:space="preserve">CTA elements</w:t>
            </w:r>
          </w:p>
        </w:tc>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1F2937"/>
                <w:sz w:val="20"/>
                <w:szCs w:val="20"/>
              </w:rPr>
              <w:t xml:space="preserve">11</w:t>
            </w:r>
          </w:p>
        </w:tc>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475569"/>
                <w:sz w:val="20"/>
                <w:szCs w:val="20"/>
              </w:rPr>
              <w:t xml:space="preserve">High; divides visitor attention</w:t>
            </w:r>
          </w:p>
        </w:tc>
      </w:tr>
      <w:tr>
        <w:tc>
          <w:tcPr>
            <w:tcW w:type="dxa" w:w="33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bCs/>
                <w:color w:val="1F2937"/>
                <w:sz w:val="20"/>
                <w:szCs w:val="20"/>
              </w:rPr>
              <w:t xml:space="preserve">&lt;img&gt; tags (raster)</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1F2937"/>
                <w:sz w:val="20"/>
                <w:szCs w:val="20"/>
              </w:rPr>
              <w:t xml:space="preserve">0</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475569"/>
                <w:sz w:val="20"/>
                <w:szCs w:val="20"/>
              </w:rPr>
              <w:t xml:space="preserve">All visuals are inline SVG</w:t>
            </w:r>
          </w:p>
        </w:tc>
      </w:tr>
      <w:tr>
        <w:tc>
          <w:tcPr>
            <w:tcW w:type="dxa" w:w="33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bCs/>
                <w:color w:val="1F2937"/>
                <w:sz w:val="20"/>
                <w:szCs w:val="20"/>
              </w:rPr>
              <w:t xml:space="preserve">Forms</w:t>
            </w:r>
          </w:p>
        </w:tc>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1F2937"/>
                <w:sz w:val="20"/>
                <w:szCs w:val="20"/>
              </w:rPr>
              <w:t xml:space="preserve">1</w:t>
            </w:r>
          </w:p>
        </w:tc>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475569"/>
                <w:sz w:val="20"/>
                <w:szCs w:val="20"/>
              </w:rPr>
              <w:t xml:space="preserve">Guide signup only</w:t>
            </w:r>
          </w:p>
        </w:tc>
      </w:tr>
      <w:tr>
        <w:tc>
          <w:tcPr>
            <w:tcW w:type="dxa" w:w="33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bCs/>
                <w:color w:val="1F2937"/>
                <w:sz w:val="20"/>
                <w:szCs w:val="20"/>
              </w:rPr>
              <w:t xml:space="preserve">DOMContentLoaded</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1F2937"/>
                <w:sz w:val="20"/>
                <w:szCs w:val="20"/>
              </w:rPr>
              <w:t xml:space="preserve">732 ms</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475569"/>
                <w:sz w:val="20"/>
                <w:szCs w:val="20"/>
              </w:rPr>
              <w:t xml:space="preserve">Good</w:t>
            </w:r>
          </w:p>
        </w:tc>
      </w:tr>
      <w:tr>
        <w:tc>
          <w:tcPr>
            <w:tcW w:type="dxa" w:w="33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bCs/>
                <w:color w:val="1F2937"/>
                <w:sz w:val="20"/>
                <w:szCs w:val="20"/>
              </w:rPr>
              <w:t xml:space="preserve">Load complete</w:t>
            </w:r>
          </w:p>
        </w:tc>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1F2937"/>
                <w:sz w:val="20"/>
                <w:szCs w:val="20"/>
              </w:rPr>
              <w:t xml:space="preserve">977 ms</w:t>
            </w:r>
          </w:p>
        </w:tc>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475569"/>
                <w:sz w:val="20"/>
                <w:szCs w:val="20"/>
              </w:rPr>
              <w:t xml:space="preserve">Good</w:t>
            </w:r>
          </w:p>
        </w:tc>
      </w:tr>
      <w:tr>
        <w:tc>
          <w:tcPr>
            <w:tcW w:type="dxa" w:w="33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bCs/>
                <w:color w:val="1F2937"/>
                <w:sz w:val="20"/>
                <w:szCs w:val="20"/>
              </w:rPr>
              <w:t xml:space="preserve">TTFB</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1F2937"/>
                <w:sz w:val="20"/>
                <w:szCs w:val="20"/>
              </w:rPr>
              <w:t xml:space="preserve">229 ms</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475569"/>
                <w:sz w:val="20"/>
                <w:szCs w:val="20"/>
              </w:rPr>
              <w:t xml:space="preserve">Good; infrastructure is healthy</w:t>
            </w:r>
          </w:p>
        </w:tc>
      </w:tr>
      <w:tr>
        <w:tc>
          <w:tcPr>
            <w:tcW w:type="dxa" w:w="33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bCs/>
                <w:color w:val="1F2937"/>
                <w:sz w:val="20"/>
                <w:szCs w:val="20"/>
              </w:rPr>
              <w:t xml:space="preserve">Hero LCP (time to paint hero h1)</w:t>
            </w:r>
          </w:p>
        </w:tc>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1F2937"/>
                <w:sz w:val="20"/>
                <w:szCs w:val="20"/>
              </w:rPr>
              <w:t xml:space="preserve">~4,592 ms</w:t>
            </w:r>
          </w:p>
        </w:tc>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475569"/>
                <w:sz w:val="20"/>
                <w:szCs w:val="20"/>
              </w:rPr>
              <w:t xml:space="preserve">Poor; 3–4x slower than category</w:t>
            </w:r>
          </w:p>
        </w:tc>
      </w:tr>
      <w:tr>
        <w:tc>
          <w:tcPr>
            <w:tcW w:type="dxa" w:w="33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bCs/>
                <w:color w:val="1F2937"/>
                <w:sz w:val="20"/>
                <w:szCs w:val="20"/>
              </w:rPr>
              <w:t xml:space="preserve">Reveal elements (opacity 0 on load)</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1F2937"/>
                <w:sz w:val="20"/>
                <w:szCs w:val="20"/>
              </w:rPr>
              <w:t xml:space="preserve">54</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475569"/>
                <w:sz w:val="20"/>
                <w:szCs w:val="20"/>
              </w:rPr>
              <w:t xml:space="preserve">Root cause of perceived slowness</w:t>
            </w:r>
          </w:p>
        </w:tc>
      </w:tr>
      <w:tr>
        <w:tc>
          <w:tcPr>
            <w:tcW w:type="dxa" w:w="33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bCs/>
                <w:color w:val="1F2937"/>
                <w:sz w:val="20"/>
                <w:szCs w:val="20"/>
              </w:rPr>
              <w:t xml:space="preserve">Schema.org types</w:t>
            </w:r>
          </w:p>
        </w:tc>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1F2937"/>
                <w:sz w:val="20"/>
                <w:szCs w:val="20"/>
              </w:rPr>
              <w:t xml:space="preserve">Organization, SoftwareApplication, FAQPage</w:t>
            </w:r>
          </w:p>
        </w:tc>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475569"/>
                <w:sz w:val="20"/>
                <w:szCs w:val="20"/>
              </w:rPr>
              <w:t xml:space="preserve">Excellent</w:t>
            </w:r>
          </w:p>
        </w:tc>
      </w:tr>
      <w:tr>
        <w:tc>
          <w:tcPr>
            <w:tcW w:type="dxa" w:w="33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bCs/>
                <w:color w:val="1F2937"/>
                <w:sz w:val="20"/>
                <w:szCs w:val="20"/>
              </w:rPr>
              <w:t xml:space="preserve">OG image / Twitter card</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1F2937"/>
                <w:sz w:val="20"/>
                <w:szCs w:val="20"/>
              </w:rPr>
              <w:t xml:space="preserve">Present / summary_large_image</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475569"/>
                <w:sz w:val="20"/>
                <w:szCs w:val="20"/>
              </w:rPr>
              <w:t xml:space="preserve">Good</w:t>
            </w:r>
          </w:p>
        </w:tc>
      </w:tr>
    </w:tbl>
    <w:p>
      <w:pPr>
        <w:spacing w:after="80" w:before="160"/>
      </w:pPr>
      <w:r>
        <w:rPr>
          <w:rFonts w:ascii="Calibri" w:cs="Calibri" w:eastAsia="Calibri" w:hAnsi="Calibri"/>
          <w:sz w:val="2"/>
          <w:szCs w:val="2"/>
        </w:rPr>
        <w:t xml:space="preserve"/>
      </w:r>
    </w:p>
    <w:p>
      <w:pPr>
        <w:pStyle w:val="Heading1"/>
        <w:pageBreakBefore/>
        <w:spacing w:after="200" w:before="360"/>
      </w:pPr>
      <w:r>
        <w:rPr>
          <w:rFonts w:ascii="Calibri" w:cs="Calibri" w:eastAsia="Calibri" w:hAnsi="Calibri"/>
          <w:b/>
          <w:bCs/>
          <w:color w:val="0B1220"/>
          <w:sz w:val="36"/>
          <w:szCs w:val="36"/>
        </w:rPr>
        <w:t xml:space="preserve">Benchmark matrix</w:t>
      </w:r>
    </w:p>
    <w:p>
      <w:pPr>
        <w:pBdr>
          <w:bottom w:val="single" w:color="4F46E5" w:sz="6" w:space="1"/>
        </w:pBdr>
        <w:spacing w:after="160" w:before="80"/>
      </w:pPr>
      <w:r>
        <w:rPr>
          <w:rFonts w:ascii="Calibri" w:cs="Calibri" w:eastAsia="Calibri" w:hAnsi="Calibri"/>
          <w:sz w:val="2"/>
          <w:szCs w:val="2"/>
        </w:rPr>
        <w:t xml:space="preserve"/>
      </w:r>
    </w:p>
    <w:p>
      <w:pPr>
        <w:spacing w:after="120" w:before="80" w:line="300"/>
      </w:pPr>
      <w:r>
        <w:rPr>
          <w:rFonts w:ascii="Calibri" w:cs="Calibri" w:eastAsia="Calibri" w:hAnsi="Calibri"/>
          <w:color w:val="1F2937"/>
          <w:sz w:val="22"/>
          <w:szCs w:val="22"/>
        </w:rPr>
        <w:t xml:space="preserve">The table below captures the opening move of each reference site next to Intellios. Quotations are kept under 15 words to respect fair-use conventions.</w:t>
      </w:r>
    </w:p>
    <w:p>
      <w:pPr>
        <w:spacing w:after="40" w:before="80"/>
      </w:pPr>
      <w:r>
        <w:rPr>
          <w:rFonts w:ascii="Calibri" w:cs="Calibri" w:eastAsia="Calibri" w:hAnsi="Calibri"/>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1800"/>
        <w:gridCol w:w="1580"/>
        <w:gridCol w:w="1580"/>
      </w:tblGrid>
      <w:tr>
        <w:trPr>
          <w:tblHeader/>
        </w:trPr>
        <w:tc>
          <w:tcPr>
            <w:tcW w:type="dxa" w:w="1900"/>
            <w:tcBorders>
              <w:top w:val="single" w:color="CBD5E1" w:sz="4"/>
              <w:left w:val="single" w:color="CBD5E1" w:sz="4"/>
              <w:bottom w:val="single" w:color="CBD5E1" w:sz="4"/>
              <w:right w:val="single" w:color="CBD5E1" w:sz="4"/>
            </w:tcBorders>
            <w:shd w:fill="EEF2FF" w:val="clear"/>
            <w:tcMar>
              <w:top w:type="dxa" w:w="100"/>
              <w:left w:type="dxa" w:w="140"/>
              <w:bottom w:type="dxa" w:w="100"/>
              <w:right w:type="dxa" w:w="140"/>
            </w:tcMar>
          </w:tcPr>
          <w:p>
            <w:pPr>
              <w:spacing w:after="20" w:before="20" w:line="260"/>
              <w:jc w:val="left"/>
            </w:pPr>
            <w:r>
              <w:rPr>
                <w:rFonts w:ascii="Calibri" w:cs="Calibri" w:eastAsia="Calibri" w:hAnsi="Calibri"/>
                <w:b/>
                <w:bCs/>
                <w:color w:val="0B1220"/>
                <w:sz w:val="18"/>
                <w:szCs w:val="18"/>
              </w:rPr>
              <w:t xml:space="preserve">Site</w:t>
            </w:r>
          </w:p>
        </w:tc>
        <w:tc>
          <w:tcPr>
            <w:tcW w:type="dxa" w:w="2500"/>
            <w:tcBorders>
              <w:top w:val="single" w:color="CBD5E1" w:sz="4"/>
              <w:left w:val="single" w:color="CBD5E1" w:sz="4"/>
              <w:bottom w:val="single" w:color="CBD5E1" w:sz="4"/>
              <w:right w:val="single" w:color="CBD5E1" w:sz="4"/>
            </w:tcBorders>
            <w:shd w:fill="EEF2FF" w:val="clear"/>
            <w:tcMar>
              <w:top w:type="dxa" w:w="100"/>
              <w:left w:type="dxa" w:w="140"/>
              <w:bottom w:type="dxa" w:w="100"/>
              <w:right w:type="dxa" w:w="140"/>
            </w:tcMar>
          </w:tcPr>
          <w:p>
            <w:pPr>
              <w:spacing w:after="20" w:before="20" w:line="260"/>
              <w:jc w:val="left"/>
            </w:pPr>
            <w:r>
              <w:rPr>
                <w:rFonts w:ascii="Calibri" w:cs="Calibri" w:eastAsia="Calibri" w:hAnsi="Calibri"/>
                <w:b/>
                <w:bCs/>
                <w:color w:val="0B1220"/>
                <w:sz w:val="18"/>
                <w:szCs w:val="18"/>
              </w:rPr>
              <w:t xml:space="preserve">Hero headline (paraphrased)</w:t>
            </w:r>
          </w:p>
        </w:tc>
        <w:tc>
          <w:tcPr>
            <w:tcW w:type="dxa" w:w="1800"/>
            <w:tcBorders>
              <w:top w:val="single" w:color="CBD5E1" w:sz="4"/>
              <w:left w:val="single" w:color="CBD5E1" w:sz="4"/>
              <w:bottom w:val="single" w:color="CBD5E1" w:sz="4"/>
              <w:right w:val="single" w:color="CBD5E1" w:sz="4"/>
            </w:tcBorders>
            <w:shd w:fill="EEF2FF" w:val="clear"/>
            <w:tcMar>
              <w:top w:type="dxa" w:w="100"/>
              <w:left w:type="dxa" w:w="140"/>
              <w:bottom w:type="dxa" w:w="100"/>
              <w:right w:type="dxa" w:w="140"/>
            </w:tcMar>
          </w:tcPr>
          <w:p>
            <w:pPr>
              <w:spacing w:after="20" w:before="20" w:line="260"/>
              <w:jc w:val="left"/>
            </w:pPr>
            <w:r>
              <w:rPr>
                <w:rFonts w:ascii="Calibri" w:cs="Calibri" w:eastAsia="Calibri" w:hAnsi="Calibri"/>
                <w:b/>
                <w:bCs/>
                <w:color w:val="0B1220"/>
                <w:sz w:val="18"/>
                <w:szCs w:val="18"/>
              </w:rPr>
              <w:t xml:space="preserve">Hero visual</w:t>
            </w:r>
          </w:p>
        </w:tc>
        <w:tc>
          <w:tcPr>
            <w:tcW w:type="dxa" w:w="1580"/>
            <w:tcBorders>
              <w:top w:val="single" w:color="CBD5E1" w:sz="4"/>
              <w:left w:val="single" w:color="CBD5E1" w:sz="4"/>
              <w:bottom w:val="single" w:color="CBD5E1" w:sz="4"/>
              <w:right w:val="single" w:color="CBD5E1" w:sz="4"/>
            </w:tcBorders>
            <w:shd w:fill="EEF2FF" w:val="clear"/>
            <w:tcMar>
              <w:top w:type="dxa" w:w="100"/>
              <w:left w:type="dxa" w:w="140"/>
              <w:bottom w:type="dxa" w:w="100"/>
              <w:right w:type="dxa" w:w="140"/>
            </w:tcMar>
          </w:tcPr>
          <w:p>
            <w:pPr>
              <w:spacing w:after="20" w:before="20" w:line="260"/>
              <w:jc w:val="left"/>
            </w:pPr>
            <w:r>
              <w:rPr>
                <w:rFonts w:ascii="Calibri" w:cs="Calibri" w:eastAsia="Calibri" w:hAnsi="Calibri"/>
                <w:b/>
                <w:bCs/>
                <w:color w:val="0B1220"/>
                <w:sz w:val="18"/>
                <w:szCs w:val="18"/>
              </w:rPr>
              <w:t xml:space="preserve">Primary CTA</w:t>
            </w:r>
          </w:p>
        </w:tc>
        <w:tc>
          <w:tcPr>
            <w:tcW w:type="dxa" w:w="1580"/>
            <w:tcBorders>
              <w:top w:val="single" w:color="CBD5E1" w:sz="4"/>
              <w:left w:val="single" w:color="CBD5E1" w:sz="4"/>
              <w:bottom w:val="single" w:color="CBD5E1" w:sz="4"/>
              <w:right w:val="single" w:color="CBD5E1" w:sz="4"/>
            </w:tcBorders>
            <w:shd w:fill="EEF2FF" w:val="clear"/>
            <w:tcMar>
              <w:top w:type="dxa" w:w="100"/>
              <w:left w:type="dxa" w:w="140"/>
              <w:bottom w:type="dxa" w:w="100"/>
              <w:right w:type="dxa" w:w="140"/>
            </w:tcMar>
          </w:tcPr>
          <w:p>
            <w:pPr>
              <w:spacing w:after="20" w:before="20" w:line="260"/>
              <w:jc w:val="left"/>
            </w:pPr>
            <w:r>
              <w:rPr>
                <w:rFonts w:ascii="Calibri" w:cs="Calibri" w:eastAsia="Calibri" w:hAnsi="Calibri"/>
                <w:b/>
                <w:bCs/>
                <w:color w:val="0B1220"/>
                <w:sz w:val="18"/>
                <w:szCs w:val="18"/>
              </w:rPr>
              <w:t xml:space="preserve">Above-fold proof</w:t>
            </w:r>
          </w:p>
        </w:tc>
      </w:tr>
      <w:tr>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bCs/>
                <w:color w:val="0B1220"/>
                <w:sz w:val="18"/>
                <w:szCs w:val="18"/>
              </w:rPr>
              <w:t xml:space="preserve">Intellios</w:t>
            </w:r>
          </w:p>
        </w:tc>
        <w:tc>
          <w:tcPr>
            <w:tcW w:type="dxa" w:w="2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1F2937"/>
                <w:sz w:val="18"/>
                <w:szCs w:val="18"/>
              </w:rPr>
              <w:t xml:space="preserve">"Every AI agent in your enterprise — governed, auditable, compliant." (9 words)</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1F2937"/>
                <w:sz w:val="18"/>
                <w:szCs w:val="18"/>
              </w:rPr>
              <w:t xml:space="preserve">Animated SVG flow diagram; deferred below fold</w:t>
            </w:r>
          </w:p>
        </w:tc>
        <w:tc>
          <w:tcPr>
            <w:tcW w:type="dxa" w:w="158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1F2937"/>
                <w:sz w:val="18"/>
                <w:szCs w:val="18"/>
              </w:rPr>
              <w:t xml:space="preserve">Request Early Access + See How It Works</w:t>
            </w:r>
          </w:p>
        </w:tc>
        <w:tc>
          <w:tcPr>
            <w:tcW w:type="dxa" w:w="158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1F2937"/>
                <w:sz w:val="18"/>
                <w:szCs w:val="18"/>
              </w:rPr>
              <w:t xml:space="preserve">Industry chips only (FS / Health / Insurance / Federal)</w:t>
            </w:r>
          </w:p>
        </w:tc>
      </w:tr>
      <w:tr>
        <w:tc>
          <w:tcPr>
            <w:tcW w:type="dxa" w:w="1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bCs/>
                <w:color w:val="0B1220"/>
                <w:sz w:val="18"/>
                <w:szCs w:val="18"/>
              </w:rPr>
              <w:t xml:space="preserve">Sierra</w:t>
            </w:r>
          </w:p>
        </w:tc>
        <w:tc>
          <w:tcPr>
            <w:tcW w:type="dxa" w:w="2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1F2937"/>
                <w:sz w:val="18"/>
                <w:szCs w:val="18"/>
              </w:rPr>
              <w:t xml:space="preserve">"Better customer experiences. Built on Sierra." (6 words)</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1F2937"/>
                <w:sz w:val="18"/>
                <w:szCs w:val="18"/>
              </w:rPr>
              <w:t xml:space="preserve">Full-bleed motion video</w:t>
            </w:r>
          </w:p>
        </w:tc>
        <w:tc>
          <w:tcPr>
            <w:tcW w:type="dxa" w:w="158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1F2937"/>
                <w:sz w:val="18"/>
                <w:szCs w:val="18"/>
              </w:rPr>
              <w:t xml:space="preserve">Learn more</w:t>
            </w:r>
          </w:p>
        </w:tc>
        <w:tc>
          <w:tcPr>
            <w:tcW w:type="dxa" w:w="158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1F2937"/>
                <w:sz w:val="18"/>
                <w:szCs w:val="18"/>
              </w:rPr>
              <w:t xml:space="preserve">Customer logo strip</w:t>
            </w:r>
          </w:p>
        </w:tc>
      </w:tr>
      <w:tr>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bCs/>
                <w:color w:val="0B1220"/>
                <w:sz w:val="18"/>
                <w:szCs w:val="18"/>
              </w:rPr>
              <w:t xml:space="preserve">Decagon</w:t>
            </w:r>
          </w:p>
        </w:tc>
        <w:tc>
          <w:tcPr>
            <w:tcW w:type="dxa" w:w="2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1F2937"/>
                <w:sz w:val="18"/>
                <w:szCs w:val="18"/>
              </w:rPr>
              <w:t xml:space="preserve">"The AI concierge for every customer." (6 words)</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1F2937"/>
                <w:sz w:val="18"/>
                <w:szCs w:val="18"/>
              </w:rPr>
              <w:t xml:space="preserve">Large whitespace; product showcase deeper</w:t>
            </w:r>
          </w:p>
        </w:tc>
        <w:tc>
          <w:tcPr>
            <w:tcW w:type="dxa" w:w="158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1F2937"/>
                <w:sz w:val="18"/>
                <w:szCs w:val="18"/>
              </w:rPr>
              <w:t xml:space="preserve">Get a demo (inline email)</w:t>
            </w:r>
          </w:p>
        </w:tc>
        <w:tc>
          <w:tcPr>
            <w:tcW w:type="dxa" w:w="158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1F2937"/>
                <w:sz w:val="18"/>
                <w:szCs w:val="18"/>
              </w:rPr>
              <w:t xml:space="preserve">Enterprise logo strip below subhead</w:t>
            </w:r>
          </w:p>
        </w:tc>
      </w:tr>
      <w:tr>
        <w:tc>
          <w:tcPr>
            <w:tcW w:type="dxa" w:w="1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bCs/>
                <w:color w:val="0B1220"/>
                <w:sz w:val="18"/>
                <w:szCs w:val="18"/>
              </w:rPr>
              <w:t xml:space="preserve">Glean</w:t>
            </w:r>
          </w:p>
        </w:tc>
        <w:tc>
          <w:tcPr>
            <w:tcW w:type="dxa" w:w="2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1F2937"/>
                <w:sz w:val="18"/>
                <w:szCs w:val="18"/>
              </w:rPr>
              <w:t xml:space="preserve">"Work AI that works for users." (6 words)</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1F2937"/>
                <w:sz w:val="18"/>
                <w:szCs w:val="18"/>
              </w:rPr>
              <w:t xml:space="preserve">Product UI mockup: Agents/Assistant/Search cards + mascot</w:t>
            </w:r>
          </w:p>
        </w:tc>
        <w:tc>
          <w:tcPr>
            <w:tcW w:type="dxa" w:w="158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1F2937"/>
                <w:sz w:val="18"/>
                <w:szCs w:val="18"/>
              </w:rPr>
              <w:t xml:space="preserve">Get a demo + Watch video</w:t>
            </w:r>
          </w:p>
        </w:tc>
        <w:tc>
          <w:tcPr>
            <w:tcW w:type="dxa" w:w="158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1F2937"/>
                <w:sz w:val="18"/>
                <w:szCs w:val="18"/>
              </w:rPr>
              <w:t xml:space="preserve">Gartner 4.5/5.0 + G2 4.8/5.0 badges above headline</w:t>
            </w:r>
          </w:p>
        </w:tc>
      </w:tr>
      <w:tr>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bCs/>
                <w:color w:val="0B1220"/>
                <w:sz w:val="18"/>
                <w:szCs w:val="18"/>
              </w:rPr>
              <w:t xml:space="preserve">Writer</w:t>
            </w:r>
          </w:p>
        </w:tc>
        <w:tc>
          <w:tcPr>
            <w:tcW w:type="dxa" w:w="2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1F2937"/>
                <w:sz w:val="18"/>
                <w:szCs w:val="18"/>
              </w:rPr>
              <w:t xml:space="preserve">Word-rotating: "Your best [role] can't be everywhere. Their AI agents can."</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1F2937"/>
                <w:sz w:val="18"/>
                <w:szCs w:val="18"/>
              </w:rPr>
              <w:t xml:space="preserve">Minimalist gradient</w:t>
            </w:r>
          </w:p>
        </w:tc>
        <w:tc>
          <w:tcPr>
            <w:tcW w:type="dxa" w:w="158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1F2937"/>
                <w:sz w:val="18"/>
                <w:szCs w:val="18"/>
              </w:rPr>
              <w:t xml:space="preserve">Request a demo (inline email)</w:t>
            </w:r>
          </w:p>
        </w:tc>
        <w:tc>
          <w:tcPr>
            <w:tcW w:type="dxa" w:w="158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1F2937"/>
                <w:sz w:val="18"/>
                <w:szCs w:val="18"/>
              </w:rPr>
              <w:t xml:space="preserve">"Enterprise AI Platform" eyebrow</w:t>
            </w:r>
          </w:p>
        </w:tc>
      </w:tr>
      <w:tr>
        <w:tc>
          <w:tcPr>
            <w:tcW w:type="dxa" w:w="1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bCs/>
                <w:color w:val="0B1220"/>
                <w:sz w:val="18"/>
                <w:szCs w:val="18"/>
              </w:rPr>
              <w:t xml:space="preserve">CrewAI</w:t>
            </w:r>
          </w:p>
        </w:tc>
        <w:tc>
          <w:tcPr>
            <w:tcW w:type="dxa" w:w="25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1F2937"/>
                <w:sz w:val="18"/>
                <w:szCs w:val="18"/>
              </w:rPr>
              <w:t xml:space="preserve">"Accelerate AI agent adoption and start delivering production value." (9 words)</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1F2937"/>
                <w:sz w:val="18"/>
                <w:szCs w:val="18"/>
              </w:rPr>
              <w:t xml:space="preserve">Dark hero with interactive chatbot</w:t>
            </w:r>
          </w:p>
        </w:tc>
        <w:tc>
          <w:tcPr>
            <w:tcW w:type="dxa" w:w="158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1F2937"/>
                <w:sz w:val="18"/>
                <w:szCs w:val="18"/>
              </w:rPr>
              <w:t xml:space="preserve">Request a demo</w:t>
            </w:r>
          </w:p>
        </w:tc>
        <w:tc>
          <w:tcPr>
            <w:tcW w:type="dxa" w:w="158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1F2937"/>
                <w:sz w:val="18"/>
                <w:szCs w:val="18"/>
              </w:rPr>
              <w:t xml:space="preserve">"Loved by AI builders. Trusted by AI leaders."</w:t>
            </w:r>
          </w:p>
        </w:tc>
      </w:tr>
      <w:tr>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bCs/>
                <w:color w:val="0B1220"/>
                <w:sz w:val="18"/>
                <w:szCs w:val="18"/>
              </w:rPr>
              <w:t xml:space="preserve">Credo AI</w:t>
            </w:r>
          </w:p>
        </w:tc>
        <w:tc>
          <w:tcPr>
            <w:tcW w:type="dxa" w:w="2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1F2937"/>
                <w:sz w:val="18"/>
                <w:szCs w:val="18"/>
              </w:rPr>
              <w:t xml:space="preserve">"Govern AI Everywhere." (3 words)</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1F2937"/>
                <w:sz w:val="18"/>
                <w:szCs w:val="18"/>
              </w:rPr>
              <w:t xml:space="preserve">Dark split-screen; product panel right</w:t>
            </w:r>
          </w:p>
        </w:tc>
        <w:tc>
          <w:tcPr>
            <w:tcW w:type="dxa" w:w="158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1F2937"/>
                <w:sz w:val="18"/>
                <w:szCs w:val="18"/>
              </w:rPr>
              <w:t xml:space="preserve">Explore Platform + Talk to an AI Advisor</w:t>
            </w:r>
          </w:p>
        </w:tc>
        <w:tc>
          <w:tcPr>
            <w:tcW w:type="dxa" w:w="158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1F2937"/>
                <w:sz w:val="18"/>
                <w:szCs w:val="18"/>
              </w:rPr>
              <w:t xml:space="preserve">"Trusted by Fortune 500 leaders" pill; Fast Company ticker</w:t>
            </w:r>
          </w:p>
        </w:tc>
      </w:tr>
    </w:tbl>
    <w:p>
      <w:pPr>
        <w:spacing w:after="80" w:before="120"/>
      </w:pPr>
      <w:r>
        <w:rPr>
          <w:rFonts w:ascii="Calibri" w:cs="Calibri" w:eastAsia="Calibri" w:hAnsi="Calibri"/>
          <w:sz w:val="2"/>
          <w:szCs w:val="2"/>
        </w:rPr>
        <w:t xml:space="preserve"/>
      </w:r>
    </w:p>
    <w:p>
      <w:pPr>
        <w:pStyle w:val="Heading2"/>
        <w:spacing w:after="140" w:before="280"/>
      </w:pPr>
      <w:r>
        <w:rPr>
          <w:rFonts w:ascii="Calibri" w:cs="Calibri" w:eastAsia="Calibri" w:hAnsi="Calibri"/>
          <w:b/>
          <w:bCs/>
          <w:color w:val="0B1220"/>
          <w:sz w:val="28"/>
          <w:szCs w:val="28"/>
        </w:rPr>
        <w:t xml:space="preserve">What the matrix tells us</w:t>
      </w:r>
    </w:p>
    <w:p>
      <w:pPr>
        <w:pStyle w:val="ListParagraph"/>
        <w:numPr>
          <w:ilvl w:val="0"/>
          <w:numId w:val="2"/>
        </w:numPr>
        <w:spacing w:after="40" w:before="40" w:line="280"/>
      </w:pPr>
      <w:r>
        <w:rPr>
          <w:rFonts w:ascii="Calibri" w:cs="Calibri" w:eastAsia="Calibri" w:hAnsi="Calibri"/>
          <w:b/>
          <w:bCs/>
          <w:color w:val="1F2937"/>
          <w:sz w:val="22"/>
          <w:szCs w:val="22"/>
        </w:rPr>
        <w:t xml:space="preserve">Hero word count. </w:t>
      </w:r>
      <w:r>
        <w:rPr>
          <w:rFonts w:ascii="Calibri" w:cs="Calibri" w:eastAsia="Calibri" w:hAnsi="Calibri"/>
          <w:color w:val="1F2937"/>
          <w:sz w:val="22"/>
          <w:szCs w:val="22"/>
        </w:rPr>
        <w:t xml:space="preserve">Intellios is tied with CrewAI for the longest hero copy (9 words). The category norm is 3–6 words. Credo AI, the closest competitor, is shortest at 3 words.</w:t>
      </w:r>
    </w:p>
    <w:p>
      <w:pPr>
        <w:pStyle w:val="ListParagraph"/>
        <w:numPr>
          <w:ilvl w:val="0"/>
          <w:numId w:val="2"/>
        </w:numPr>
        <w:spacing w:after="40" w:before="40" w:line="280"/>
      </w:pPr>
      <w:r>
        <w:rPr>
          <w:rFonts w:ascii="Calibri" w:cs="Calibri" w:eastAsia="Calibri" w:hAnsi="Calibri"/>
          <w:b/>
          <w:bCs/>
          <w:color w:val="1F2937"/>
          <w:sz w:val="22"/>
          <w:szCs w:val="22"/>
        </w:rPr>
        <w:t xml:space="preserve">Hero visual. </w:t>
      </w:r>
      <w:r>
        <w:rPr>
          <w:rFonts w:ascii="Calibri" w:cs="Calibri" w:eastAsia="Calibri" w:hAnsi="Calibri"/>
          <w:color w:val="1F2937"/>
          <w:sz w:val="22"/>
          <w:szCs w:val="22"/>
        </w:rPr>
        <w:t xml:space="preserve">Five of six competitors show a product visual (mockup, chatbot, or motion video) in the hero. Intellios is the only page with no product visual above the fold.</w:t>
      </w:r>
    </w:p>
    <w:p>
      <w:pPr>
        <w:pStyle w:val="ListParagraph"/>
        <w:numPr>
          <w:ilvl w:val="0"/>
          <w:numId w:val="2"/>
        </w:numPr>
        <w:spacing w:after="40" w:before="40" w:line="280"/>
      </w:pPr>
      <w:r>
        <w:rPr>
          <w:rFonts w:ascii="Calibri" w:cs="Calibri" w:eastAsia="Calibri" w:hAnsi="Calibri"/>
          <w:b/>
          <w:bCs/>
          <w:color w:val="1F2937"/>
          <w:sz w:val="22"/>
          <w:szCs w:val="22"/>
        </w:rPr>
        <w:t xml:space="preserve">Inline email capture. </w:t>
      </w:r>
      <w:r>
        <w:rPr>
          <w:rFonts w:ascii="Calibri" w:cs="Calibri" w:eastAsia="Calibri" w:hAnsi="Calibri"/>
          <w:color w:val="1F2937"/>
          <w:sz w:val="22"/>
          <w:szCs w:val="22"/>
        </w:rPr>
        <w:t xml:space="preserve">Two of six competitors (Decagon, Writer) place an email field in the hero itself. Intellios requires a scroll to reach its only form.</w:t>
      </w:r>
    </w:p>
    <w:p>
      <w:pPr>
        <w:pStyle w:val="ListParagraph"/>
        <w:numPr>
          <w:ilvl w:val="0"/>
          <w:numId w:val="2"/>
        </w:numPr>
        <w:spacing w:after="40" w:before="40" w:line="280"/>
      </w:pPr>
      <w:r>
        <w:rPr>
          <w:rFonts w:ascii="Calibri" w:cs="Calibri" w:eastAsia="Calibri" w:hAnsi="Calibri"/>
          <w:b/>
          <w:bCs/>
          <w:color w:val="1F2937"/>
          <w:sz w:val="22"/>
          <w:szCs w:val="22"/>
        </w:rPr>
        <w:t xml:space="preserve">Single primary CTA. </w:t>
      </w:r>
      <w:r>
        <w:rPr>
          <w:rFonts w:ascii="Calibri" w:cs="Calibri" w:eastAsia="Calibri" w:hAnsi="Calibri"/>
          <w:color w:val="1F2937"/>
          <w:sz w:val="22"/>
          <w:szCs w:val="22"/>
        </w:rPr>
        <w:t xml:space="preserve">Four of six competitors lead with a single primary CTA. Intellios leads with two equally weighted CTAs.</w:t>
      </w:r>
    </w:p>
    <w:p>
      <w:pPr>
        <w:pStyle w:val="ListParagraph"/>
        <w:numPr>
          <w:ilvl w:val="0"/>
          <w:numId w:val="2"/>
        </w:numPr>
        <w:spacing w:after="40" w:before="40" w:line="280"/>
      </w:pPr>
      <w:r>
        <w:rPr>
          <w:rFonts w:ascii="Calibri" w:cs="Calibri" w:eastAsia="Calibri" w:hAnsi="Calibri"/>
          <w:b/>
          <w:bCs/>
          <w:color w:val="1F2937"/>
          <w:sz w:val="22"/>
          <w:szCs w:val="22"/>
        </w:rPr>
        <w:t xml:space="preserve">Visible proof. </w:t>
      </w:r>
      <w:r>
        <w:rPr>
          <w:rFonts w:ascii="Calibri" w:cs="Calibri" w:eastAsia="Calibri" w:hAnsi="Calibri"/>
          <w:color w:val="1F2937"/>
          <w:sz w:val="22"/>
          <w:szCs w:val="22"/>
        </w:rPr>
        <w:t xml:space="preserve">All six competitors show at least one verifiable trust element above the fold (logos, ratings, press hits, or the phrase "trusted by [specific cohort]"). Intellios shows only category chips.</w:t>
      </w:r>
    </w:p>
    <w:p>
      <w:pPr>
        <w:pStyle w:val="Heading1"/>
        <w:pageBreakBefore/>
        <w:spacing w:after="200" w:before="360"/>
      </w:pPr>
      <w:r>
        <w:rPr>
          <w:rFonts w:ascii="Calibri" w:cs="Calibri" w:eastAsia="Calibri" w:hAnsi="Calibri"/>
          <w:b/>
          <w:bCs/>
          <w:color w:val="0B1220"/>
          <w:sz w:val="36"/>
          <w:szCs w:val="36"/>
        </w:rPr>
        <w:t xml:space="preserve">Messaging and positioning</w:t>
      </w:r>
    </w:p>
    <w:p>
      <w:pPr>
        <w:pBdr>
          <w:bottom w:val="single" w:color="4F46E5" w:sz="6" w:space="1"/>
        </w:pBdr>
        <w:spacing w:after="160" w:before="80"/>
      </w:pPr>
      <w:r>
        <w:rPr>
          <w:rFonts w:ascii="Calibri" w:cs="Calibri" w:eastAsia="Calibri" w:hAnsi="Calibri"/>
          <w:sz w:val="2"/>
          <w:szCs w:val="2"/>
        </w:rPr>
        <w:t xml:space="preserve"/>
      </w:r>
    </w:p>
    <w:p>
      <w:pPr>
        <w:pStyle w:val="Heading2"/>
        <w:spacing w:after="140" w:before="280"/>
      </w:pPr>
      <w:r>
        <w:rPr>
          <w:rFonts w:ascii="Calibri" w:cs="Calibri" w:eastAsia="Calibri" w:hAnsi="Calibri"/>
          <w:b/>
          <w:bCs/>
          <w:color w:val="0B1220"/>
          <w:sz w:val="28"/>
          <w:szCs w:val="28"/>
        </w:rPr>
        <w:t xml:space="preserve">What is working</w:t>
      </w:r>
    </w:p>
    <w:p>
      <w:pPr>
        <w:spacing w:after="120" w:before="80" w:line="300"/>
      </w:pPr>
      <w:r>
        <w:rPr>
          <w:rFonts w:ascii="Calibri" w:cs="Calibri" w:eastAsia="Calibri" w:hAnsi="Calibri"/>
          <w:color w:val="1F2937"/>
          <w:sz w:val="22"/>
          <w:szCs w:val="22"/>
        </w:rPr>
        <w:t xml:space="preserve">The core positioning — "governed control plane for enterprise AI agents" — is a defensible wedge. It is specific enough to exclude most adjacent categories (runtimes, LLM gateways, agent-builder tools) and concrete enough that a CRO or CCO can immediately understand what they are buying. Anchoring on SR 11‑7 / MRM is a sharper positioning than Credo AI's broader "Govern AI Everywhere," because it signals familiarity with the specific regulatory language that your ideal buyer lives inside daily.</w:t>
      </w:r>
    </w:p>
    <w:p>
      <w:pPr>
        <w:spacing w:after="120" w:before="80" w:line="300"/>
      </w:pPr>
      <w:r>
        <w:rPr>
          <w:rFonts w:ascii="Calibri" w:cs="Calibri" w:eastAsia="Calibri" w:hAnsi="Calibri"/>
          <w:color w:val="1F2937"/>
          <w:sz w:val="22"/>
          <w:szCs w:val="22"/>
        </w:rPr>
        <w:t xml:space="preserve">The "We sell governance and trust. Our marketing should reflect both." paragraph is the best single sentence on the page. It is a promise you can point to when prospects ask whether you will fabricate reference accounts; the rest of the page backs it up. Do not remove this.</w:t>
      </w:r>
    </w:p>
    <w:p>
      <w:pPr>
        <w:spacing w:after="120" w:before="80" w:line="300"/>
      </w:pPr>
      <w:r>
        <w:rPr>
          <w:rFonts w:ascii="Calibri" w:cs="Calibri" w:eastAsia="Calibri" w:hAnsi="Calibri"/>
          <w:color w:val="1F2937"/>
          <w:sz w:val="22"/>
          <w:szCs w:val="22"/>
        </w:rPr>
        <w:t xml:space="preserve">The pain/with-Intellios persona structure on the Use Cases section is harder for a casual reader to skim than a pure benefits grid, but it reads as empathy and credibility. The quotes are written in voices that sound like real CROs, not like AI-generated marketing copy. Keep this format.</w:t>
      </w:r>
    </w:p>
    <w:p>
      <w:pPr>
        <w:pStyle w:val="Heading2"/>
        <w:spacing w:after="140" w:before="280"/>
      </w:pPr>
      <w:r>
        <w:rPr>
          <w:rFonts w:ascii="Calibri" w:cs="Calibri" w:eastAsia="Calibri" w:hAnsi="Calibri"/>
          <w:b/>
          <w:bCs/>
          <w:color w:val="0B1220"/>
          <w:sz w:val="28"/>
          <w:szCs w:val="28"/>
        </w:rPr>
        <w:t xml:space="preserve">What is not working</w:t>
      </w:r>
    </w:p>
    <w:p>
      <w:pPr>
        <w:pStyle w:val="Heading3"/>
        <w:spacing w:after="100" w:before="220"/>
      </w:pPr>
      <w:r>
        <w:rPr>
          <w:rFonts w:ascii="Calibri" w:cs="Calibri" w:eastAsia="Calibri" w:hAnsi="Calibri"/>
          <w:b/>
          <w:bCs/>
          <w:color w:val="4F46E5"/>
          <w:sz w:val="24"/>
          <w:szCs w:val="24"/>
        </w:rPr>
        <w:t xml:space="preserve">The hero headline tries to do too much</w:t>
      </w:r>
    </w:p>
    <w:p>
      <w:pPr>
        <w:spacing w:after="120" w:before="80" w:line="300"/>
      </w:pPr>
      <w:r>
        <w:rPr>
          <w:rFonts w:ascii="Calibri" w:cs="Calibri" w:eastAsia="Calibri" w:hAnsi="Calibri"/>
          <w:color w:val="1F2937"/>
          <w:sz w:val="22"/>
          <w:szCs w:val="22"/>
        </w:rPr>
        <w:t xml:space="preserve">"Every AI agent in your enterprise — governed, auditable, compliant." packs three attributes ("governed, auditable, compliant") into the noun phrase instead of committing to one. This is a very common enterprise-SaaS failure mode: the team could not agree which attribute is the wedge, so all three went in. The three are also close synonyms (auditable implies governed; compliant implies both), so the tricolon reads more like emphasis than differentiation.</w:t>
      </w:r>
    </w:p>
    <w:p>
      <w:pPr>
        <w:spacing w:after="120" w:before="80" w:line="300"/>
      </w:pPr>
      <w:r>
        <w:rPr>
          <w:rFonts w:ascii="Calibri" w:cs="Calibri" w:eastAsia="Calibri" w:hAnsi="Calibri"/>
          <w:color w:val="1F2937"/>
          <w:sz w:val="22"/>
          <w:szCs w:val="22"/>
        </w:rPr>
        <w:t xml:space="preserve">The comparable Credo AI hero ("Govern AI Everywhere.") is shorter because Credo committed. Decagon's "The AI concierge for every customer" committed to a single metaphor. Writer committed to a word-rotating pattern that holds attention. Intellios hedges.</w:t>
      </w:r>
    </w:p>
    <w:p>
      <w:pPr>
        <w:pStyle w:val="ListParagraph"/>
        <w:numPr>
          <w:ilvl w:val="0"/>
          <w:numId w:val="2"/>
        </w:numPr>
        <w:spacing w:after="40" w:before="40" w:line="280"/>
      </w:pPr>
      <w:r>
        <w:rPr>
          <w:rFonts w:ascii="Calibri" w:cs="Calibri" w:eastAsia="Calibri" w:hAnsi="Calibri"/>
          <w:b/>
          <w:bCs/>
          <w:color w:val="1F2937"/>
          <w:sz w:val="22"/>
          <w:szCs w:val="22"/>
        </w:rPr>
        <w:t xml:space="preserve">Test: </w:t>
      </w:r>
      <w:r>
        <w:rPr>
          <w:rFonts w:ascii="Calibri" w:cs="Calibri" w:eastAsia="Calibri" w:hAnsi="Calibri"/>
          <w:color w:val="1F2937"/>
          <w:sz w:val="22"/>
          <w:szCs w:val="22"/>
        </w:rPr>
        <w:t xml:space="preserve">"Governed AI agents for regulated enterprise." (5 words, specific industry, single adjective.)</w:t>
      </w:r>
    </w:p>
    <w:p>
      <w:pPr>
        <w:pStyle w:val="ListParagraph"/>
        <w:numPr>
          <w:ilvl w:val="0"/>
          <w:numId w:val="2"/>
        </w:numPr>
        <w:spacing w:after="40" w:before="40" w:line="280"/>
      </w:pPr>
      <w:r>
        <w:rPr>
          <w:rFonts w:ascii="Calibri" w:cs="Calibri" w:eastAsia="Calibri" w:hAnsi="Calibri"/>
          <w:b/>
          <w:bCs/>
          <w:color w:val="1F2937"/>
          <w:sz w:val="22"/>
          <w:szCs w:val="22"/>
        </w:rPr>
        <w:t xml:space="preserve">Test: </w:t>
      </w:r>
      <w:r>
        <w:rPr>
          <w:rFonts w:ascii="Calibri" w:cs="Calibri" w:eastAsia="Calibri" w:hAnsi="Calibri"/>
          <w:color w:val="1F2937"/>
          <w:sz w:val="22"/>
          <w:szCs w:val="22"/>
        </w:rPr>
        <w:t xml:space="preserve">"The control plane for enterprise AI agents." (7 words, category definition, product noun first.)</w:t>
      </w:r>
    </w:p>
    <w:p>
      <w:pPr>
        <w:pStyle w:val="ListParagraph"/>
        <w:numPr>
          <w:ilvl w:val="0"/>
          <w:numId w:val="2"/>
        </w:numPr>
        <w:spacing w:after="40" w:before="40" w:line="280"/>
      </w:pPr>
      <w:r>
        <w:rPr>
          <w:rFonts w:ascii="Calibri" w:cs="Calibri" w:eastAsia="Calibri" w:hAnsi="Calibri"/>
          <w:b/>
          <w:bCs/>
          <w:color w:val="1F2937"/>
          <w:sz w:val="22"/>
          <w:szCs w:val="22"/>
        </w:rPr>
        <w:t xml:space="preserve">Test: </w:t>
      </w:r>
      <w:r>
        <w:rPr>
          <w:rFonts w:ascii="Calibri" w:cs="Calibri" w:eastAsia="Calibri" w:hAnsi="Calibri"/>
          <w:color w:val="1F2937"/>
          <w:sz w:val="22"/>
          <w:szCs w:val="22"/>
        </w:rPr>
        <w:t xml:space="preserve">"Ship AI agents your auditors already trust." (6 words, persona-specific, active verb.)</w:t>
      </w:r>
    </w:p>
    <w:p>
      <w:pPr>
        <w:spacing w:after="120" w:before="80" w:line="300"/>
      </w:pPr>
      <w:r>
        <w:rPr>
          <w:rFonts w:ascii="Calibri" w:cs="Calibri" w:eastAsia="Calibri" w:hAnsi="Calibri"/>
          <w:color w:val="1F2937"/>
          <w:sz w:val="22"/>
          <w:szCs w:val="22"/>
        </w:rPr>
        <w:t xml:space="preserve">Any of these three would outperform the current headline in five-second usability tests. The current subhead ("Embed policy enforcement, automated audit trails, and continuous compliance into every AI agent—regardless of which cloud runs it.") does the explanatory work well and can stay largely intact.</w:t>
      </w:r>
    </w:p>
    <w:p>
      <w:pPr>
        <w:pStyle w:val="Heading3"/>
        <w:spacing w:after="100" w:before="220"/>
      </w:pPr>
      <w:r>
        <w:rPr>
          <w:rFonts w:ascii="Calibri" w:cs="Calibri" w:eastAsia="Calibri" w:hAnsi="Calibri"/>
          <w:b/>
          <w:bCs/>
          <w:color w:val="4F46E5"/>
          <w:sz w:val="24"/>
          <w:szCs w:val="24"/>
        </w:rPr>
        <w:t xml:space="preserve">The eyebrow pill duplicates the headline</w:t>
      </w:r>
    </w:p>
    <w:p>
      <w:pPr>
        <w:spacing w:after="120" w:before="80" w:line="300"/>
      </w:pPr>
      <w:r>
        <w:rPr>
          <w:rFonts w:ascii="Calibri" w:cs="Calibri" w:eastAsia="Calibri" w:hAnsi="Calibri"/>
          <w:color w:val="1F2937"/>
          <w:sz w:val="22"/>
          <w:szCs w:val="22"/>
        </w:rPr>
        <w:t xml:space="preserve">"The Governed Control Plane for AI Agents" above a headline that says "governed, auditable, compliant" repeats the word "governed" twice within 30 vertical pixels. The eyebrow is the one place where a category-defining phrase like "Enterprise AI Agent Governance" (your meta description's language) would earn its keep without stealing thunder from the headline.</w:t>
      </w:r>
    </w:p>
    <w:p>
      <w:pPr>
        <w:pStyle w:val="Heading3"/>
        <w:spacing w:after="100" w:before="220"/>
      </w:pPr>
      <w:r>
        <w:rPr>
          <w:rFonts w:ascii="Calibri" w:cs="Calibri" w:eastAsia="Calibri" w:hAnsi="Calibri"/>
          <w:b/>
          <w:bCs/>
          <w:color w:val="4F46E5"/>
          <w:sz w:val="24"/>
          <w:szCs w:val="24"/>
        </w:rPr>
        <w:t xml:space="preserve">"Engineered to collapse MRM audit prep from months to weeks" is buried</w:t>
      </w:r>
    </w:p>
    <w:p>
      <w:pPr>
        <w:spacing w:after="120" w:before="80" w:line="300"/>
      </w:pPr>
      <w:r>
        <w:rPr>
          <w:rFonts w:ascii="Calibri" w:cs="Calibri" w:eastAsia="Calibri" w:hAnsi="Calibri"/>
          <w:color w:val="1F2937"/>
          <w:sz w:val="22"/>
          <w:szCs w:val="22"/>
        </w:rPr>
        <w:t xml:space="preserve">This line appears as tertiary text under the subhead in the hero. It is the most specific and most monetizable promise on the entire page — every CRO reading the page will price this against their last 12-week audit prep cost — but it is styled as small secondary text in low contrast. Promote it to a pull quote or a stat card.</w:t>
      </w:r>
    </w:p>
    <w:p>
      <w:pPr>
        <w:pStyle w:val="Heading3"/>
        <w:spacing w:after="100" w:before="220"/>
      </w:pPr>
      <w:r>
        <w:rPr>
          <w:rFonts w:ascii="Calibri" w:cs="Calibri" w:eastAsia="Calibri" w:hAnsi="Calibri"/>
          <w:b/>
          <w:bCs/>
          <w:color w:val="4F46E5"/>
          <w:sz w:val="24"/>
          <w:szCs w:val="24"/>
        </w:rPr>
        <w:t xml:space="preserve">"Design Partners" vs "Early Access" vs "Get Access" is three labels for the same thing</w:t>
      </w:r>
    </w:p>
    <w:p>
      <w:pPr>
        <w:spacing w:after="120" w:before="80" w:line="300"/>
      </w:pPr>
      <w:r>
        <w:rPr>
          <w:rFonts w:ascii="Calibri" w:cs="Calibri" w:eastAsia="Calibri" w:hAnsi="Calibri"/>
          <w:color w:val="1F2937"/>
          <w:sz w:val="22"/>
          <w:szCs w:val="22"/>
        </w:rPr>
        <w:t xml:space="preserve">The hero says "Request Early Access." The navigation and closing CTA say "Get Access." The Why Intellios section closes with "Apply for Design Partnership." The Use Cases section ends with "Tell Us Your Use Case." These are four different labels for what is almost certainly the same form handler. Each relabel forces the visitor to re-evaluate whether they are applying for something new. Pick one (recommended: "Apply for Design Partnership" because it signals selectivity, which is on-brand for a trust product) and unify.</w:t>
      </w:r>
    </w:p>
    <w:p>
      <w:pPr>
        <w:pStyle w:val="Heading3"/>
        <w:spacing w:after="100" w:before="220"/>
      </w:pPr>
      <w:r>
        <w:rPr>
          <w:rFonts w:ascii="Calibri" w:cs="Calibri" w:eastAsia="Calibri" w:hAnsi="Calibri"/>
          <w:b/>
          <w:bCs/>
          <w:color w:val="4F46E5"/>
          <w:sz w:val="24"/>
          <w:szCs w:val="24"/>
        </w:rPr>
        <w:t xml:space="preserve">The "Work McKinsey calls agent sprawl..." line is out of place</w:t>
      </w:r>
    </w:p>
    <w:p>
      <w:pPr>
        <w:spacing w:after="120" w:before="80" w:line="300"/>
      </w:pPr>
      <w:r>
        <w:rPr>
          <w:rFonts w:ascii="Calibri" w:cs="Calibri" w:eastAsia="Calibri" w:hAnsi="Calibri"/>
          <w:color w:val="1F2937"/>
          <w:sz w:val="22"/>
          <w:szCs w:val="22"/>
        </w:rPr>
        <w:t xml:space="preserve">The paragraph "What McKinsey calls 'agent sprawl' — the unchecked proliferation of ungoverned agents — Intellios was designed to prevent." is strong copy but it is plastered on top of a secondary colored band between the three pillars and the How It Works flow. It reads as filler between sections rather than a distinct module. Either elevate it to a pull-quote module with clear spacing and a McKinsey attribution badge, or fold it into the opening of the governance gap statistics.</w:t>
      </w:r>
    </w:p>
    <w:p>
      <w:pPr>
        <w:pStyle w:val="Heading3"/>
        <w:spacing w:after="100" w:before="220"/>
      </w:pPr>
      <w:r>
        <w:rPr>
          <w:rFonts w:ascii="Calibri" w:cs="Calibri" w:eastAsia="Calibri" w:hAnsi="Calibri"/>
          <w:b/>
          <w:bCs/>
          <w:color w:val="4F46E5"/>
          <w:sz w:val="24"/>
          <w:szCs w:val="24"/>
        </w:rPr>
        <w:t xml:space="preserve">The FAQ does not answer the hardest question</w:t>
      </w:r>
    </w:p>
    <w:p>
      <w:pPr>
        <w:spacing w:after="120" w:before="80" w:line="300"/>
      </w:pPr>
      <w:r>
        <w:rPr>
          <w:rFonts w:ascii="Calibri" w:cs="Calibri" w:eastAsia="Calibri" w:hAnsi="Calibri"/>
          <w:color w:val="1F2937"/>
          <w:sz w:val="22"/>
          <w:szCs w:val="22"/>
        </w:rPr>
        <w:t xml:space="preserve">The five FAQ questions cover: cloud providers, implementation time, tenant isolation, compliance frameworks, free trial. None of them answer the one question a CRO will actually ask: "How is this different from Credo AI / Fiddler AI / Holistic AI / Protect AI?" You do not need to name competitors, but a question like "How does Intellios compare to broader AI governance platforms?" with an answer that positions on depth-of-regulated-industries and runtime-agnosticism would pre-empt the single biggest objection at first contact.</w:t>
      </w:r>
    </w:p>
    <w:p>
      <w:pPr>
        <w:pStyle w:val="Heading2"/>
        <w:spacing w:after="140" w:before="280"/>
      </w:pPr>
      <w:r>
        <w:rPr>
          <w:rFonts w:ascii="Calibri" w:cs="Calibri" w:eastAsia="Calibri" w:hAnsi="Calibri"/>
          <w:b/>
          <w:bCs/>
          <w:color w:val="0B1220"/>
          <w:sz w:val="28"/>
          <w:szCs w:val="28"/>
        </w:rPr>
        <w:t xml:space="preserve">Messaging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4160"/>
      </w:tblGrid>
      <w:tr>
        <w:trPr>
          <w:tblHeader/>
        </w:trPr>
        <w:tc>
          <w:tcPr>
            <w:tcW w:type="dxa" w:w="3600"/>
            <w:tcBorders>
              <w:top w:val="single" w:color="CBD5E1" w:sz="4"/>
              <w:left w:val="single" w:color="CBD5E1" w:sz="4"/>
              <w:bottom w:val="single" w:color="CBD5E1" w:sz="4"/>
              <w:right w:val="single" w:color="CBD5E1" w:sz="4"/>
            </w:tcBorders>
            <w:shd w:fill="EEF2FF" w:val="clear"/>
            <w:tcMar>
              <w:top w:type="dxa" w:w="100"/>
              <w:left w:type="dxa" w:w="140"/>
              <w:bottom w:type="dxa" w:w="100"/>
              <w:right w:type="dxa" w:w="140"/>
            </w:tcMar>
          </w:tcPr>
          <w:p>
            <w:pPr>
              <w:spacing w:after="20" w:before="20" w:line="260"/>
              <w:jc w:val="left"/>
            </w:pPr>
            <w:r>
              <w:rPr>
                <w:rFonts w:ascii="Calibri" w:cs="Calibri" w:eastAsia="Calibri" w:hAnsi="Calibri"/>
                <w:b/>
                <w:bCs/>
                <w:color w:val="0B1220"/>
                <w:sz w:val="20"/>
                <w:szCs w:val="20"/>
              </w:rPr>
              <w:t xml:space="preserve">Dimension</w:t>
            </w:r>
          </w:p>
        </w:tc>
        <w:tc>
          <w:tcPr>
            <w:tcW w:type="dxa" w:w="1600"/>
            <w:tcBorders>
              <w:top w:val="single" w:color="CBD5E1" w:sz="4"/>
              <w:left w:val="single" w:color="CBD5E1" w:sz="4"/>
              <w:bottom w:val="single" w:color="CBD5E1" w:sz="4"/>
              <w:right w:val="single" w:color="CBD5E1" w:sz="4"/>
            </w:tcBorders>
            <w:shd w:fill="EEF2FF" w:val="clear"/>
            <w:tcMar>
              <w:top w:type="dxa" w:w="100"/>
              <w:left w:type="dxa" w:w="140"/>
              <w:bottom w:type="dxa" w:w="100"/>
              <w:right w:type="dxa" w:w="140"/>
            </w:tcMar>
          </w:tcPr>
          <w:p>
            <w:pPr>
              <w:spacing w:after="20" w:before="20" w:line="260"/>
              <w:jc w:val="center"/>
            </w:pPr>
            <w:r>
              <w:rPr>
                <w:rFonts w:ascii="Calibri" w:cs="Calibri" w:eastAsia="Calibri" w:hAnsi="Calibri"/>
                <w:b/>
                <w:bCs/>
                <w:color w:val="0B1220"/>
                <w:sz w:val="20"/>
                <w:szCs w:val="20"/>
              </w:rPr>
              <w:t xml:space="preserve">Rating</w:t>
            </w:r>
          </w:p>
        </w:tc>
        <w:tc>
          <w:tcPr>
            <w:tcW w:type="dxa" w:w="4160"/>
            <w:tcBorders>
              <w:top w:val="single" w:color="CBD5E1" w:sz="4"/>
              <w:left w:val="single" w:color="CBD5E1" w:sz="4"/>
              <w:bottom w:val="single" w:color="CBD5E1" w:sz="4"/>
              <w:right w:val="single" w:color="CBD5E1" w:sz="4"/>
            </w:tcBorders>
            <w:shd w:fill="EEF2FF" w:val="clear"/>
            <w:tcMar>
              <w:top w:type="dxa" w:w="100"/>
              <w:left w:type="dxa" w:w="140"/>
              <w:bottom w:type="dxa" w:w="100"/>
              <w:right w:type="dxa" w:w="140"/>
            </w:tcMar>
          </w:tcPr>
          <w:p>
            <w:pPr>
              <w:spacing w:after="20" w:before="20" w:line="260"/>
              <w:jc w:val="left"/>
            </w:pPr>
            <w:r>
              <w:rPr>
                <w:rFonts w:ascii="Calibri" w:cs="Calibri" w:eastAsia="Calibri" w:hAnsi="Calibri"/>
                <w:b/>
                <w:bCs/>
                <w:color w:val="0B1220"/>
                <w:sz w:val="20"/>
                <w:szCs w:val="20"/>
              </w:rPr>
              <w:t xml:space="preserve">Notes</w:t>
            </w:r>
          </w:p>
        </w:tc>
      </w:tr>
      <w:tr>
        <w:tc>
          <w:tcPr>
            <w:tcW w:type="dxa" w:w="3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bCs/>
                <w:color w:val="1F2937"/>
                <w:sz w:val="20"/>
                <w:szCs w:val="20"/>
              </w:rPr>
              <w:t xml:space="preserve">Category clarity</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center"/>
            </w:pPr>
            <w:r>
              <w:rPr>
                <w:rFonts w:ascii="Calibri" w:cs="Calibri" w:eastAsia="Calibri" w:hAnsi="Calibri"/>
                <w:b/>
                <w:bCs/>
                <w:color w:val="047857"/>
                <w:sz w:val="20"/>
                <w:szCs w:val="20"/>
              </w:rPr>
              <w:t xml:space="preserve">Strong</w:t>
            </w:r>
          </w:p>
        </w:tc>
        <w:tc>
          <w:tcPr>
            <w:tcW w:type="dxa" w:w="4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475569"/>
                <w:sz w:val="20"/>
                <w:szCs w:val="20"/>
              </w:rPr>
              <w:t xml:space="preserve">Control plane for AI agents is a defensible wedge</w:t>
            </w:r>
          </w:p>
        </w:tc>
      </w:tr>
      <w:tr>
        <w:tc>
          <w:tcPr>
            <w:tcW w:type="dxa" w:w="3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bCs/>
                <w:color w:val="1F2937"/>
                <w:sz w:val="20"/>
                <w:szCs w:val="20"/>
              </w:rPr>
              <w:t xml:space="preserve">Target audience legibility</w:t>
            </w:r>
          </w:p>
        </w:tc>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center"/>
            </w:pPr>
            <w:r>
              <w:rPr>
                <w:rFonts w:ascii="Calibri" w:cs="Calibri" w:eastAsia="Calibri" w:hAnsi="Calibri"/>
                <w:b/>
                <w:bCs/>
                <w:color w:val="047857"/>
                <w:sz w:val="20"/>
                <w:szCs w:val="20"/>
              </w:rPr>
              <w:t xml:space="preserve">Strong</w:t>
            </w:r>
          </w:p>
        </w:tc>
        <w:tc>
          <w:tcPr>
            <w:tcW w:type="dxa" w:w="41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475569"/>
                <w:sz w:val="20"/>
                <w:szCs w:val="20"/>
              </w:rPr>
              <w:t xml:space="preserve">Regulated industries + CRO/CCO persona is explicit</w:t>
            </w:r>
          </w:p>
        </w:tc>
      </w:tr>
      <w:tr>
        <w:tc>
          <w:tcPr>
            <w:tcW w:type="dxa" w:w="3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bCs/>
                <w:color w:val="1F2937"/>
                <w:sz w:val="20"/>
                <w:szCs w:val="20"/>
              </w:rPr>
              <w:t xml:space="preserve">Headline brevity</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center"/>
            </w:pPr>
            <w:r>
              <w:rPr>
                <w:rFonts w:ascii="Calibri" w:cs="Calibri" w:eastAsia="Calibri" w:hAnsi="Calibri"/>
                <w:b/>
                <w:bCs/>
                <w:color w:val="B91C1C"/>
                <w:sz w:val="20"/>
                <w:szCs w:val="20"/>
              </w:rPr>
              <w:t xml:space="preserve">Weak</w:t>
            </w:r>
          </w:p>
        </w:tc>
        <w:tc>
          <w:tcPr>
            <w:tcW w:type="dxa" w:w="4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475569"/>
                <w:sz w:val="20"/>
                <w:szCs w:val="20"/>
              </w:rPr>
              <w:t xml:space="preserve">9 words vs category norm of 3–6</w:t>
            </w:r>
          </w:p>
        </w:tc>
      </w:tr>
      <w:tr>
        <w:tc>
          <w:tcPr>
            <w:tcW w:type="dxa" w:w="3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bCs/>
                <w:color w:val="1F2937"/>
                <w:sz w:val="20"/>
                <w:szCs w:val="20"/>
              </w:rPr>
              <w:t xml:space="preserve">Single promise per section</w:t>
            </w:r>
          </w:p>
        </w:tc>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center"/>
            </w:pPr>
            <w:r>
              <w:rPr>
                <w:rFonts w:ascii="Calibri" w:cs="Calibri" w:eastAsia="Calibri" w:hAnsi="Calibri"/>
                <w:b/>
                <w:bCs/>
                <w:color w:val="B45309"/>
                <w:sz w:val="20"/>
                <w:szCs w:val="20"/>
              </w:rPr>
              <w:t xml:space="preserve">Mixed</w:t>
            </w:r>
          </w:p>
        </w:tc>
        <w:tc>
          <w:tcPr>
            <w:tcW w:type="dxa" w:w="41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475569"/>
                <w:sz w:val="20"/>
                <w:szCs w:val="20"/>
              </w:rPr>
              <w:t xml:space="preserve">Three attributes in hero; Use Cases does one well</w:t>
            </w:r>
          </w:p>
        </w:tc>
      </w:tr>
      <w:tr>
        <w:tc>
          <w:tcPr>
            <w:tcW w:type="dxa" w:w="3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bCs/>
                <w:color w:val="1F2937"/>
                <w:sz w:val="20"/>
                <w:szCs w:val="20"/>
              </w:rPr>
              <w:t xml:space="preserve">Jargon calibration</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center"/>
            </w:pPr>
            <w:r>
              <w:rPr>
                <w:rFonts w:ascii="Calibri" w:cs="Calibri" w:eastAsia="Calibri" w:hAnsi="Calibri"/>
                <w:b/>
                <w:bCs/>
                <w:color w:val="047857"/>
                <w:sz w:val="20"/>
                <w:szCs w:val="20"/>
              </w:rPr>
              <w:t xml:space="preserve">Strong</w:t>
            </w:r>
          </w:p>
        </w:tc>
        <w:tc>
          <w:tcPr>
            <w:tcW w:type="dxa" w:w="4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475569"/>
                <w:sz w:val="20"/>
                <w:szCs w:val="20"/>
              </w:rPr>
              <w:t xml:space="preserve">SR 11‑7 / MRM is right level for buyer; not overdone</w:t>
            </w:r>
          </w:p>
        </w:tc>
      </w:tr>
      <w:tr>
        <w:tc>
          <w:tcPr>
            <w:tcW w:type="dxa" w:w="3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bCs/>
                <w:color w:val="1F2937"/>
                <w:sz w:val="20"/>
                <w:szCs w:val="20"/>
              </w:rPr>
              <w:t xml:space="preserve">Specific vs generic claims</w:t>
            </w:r>
          </w:p>
        </w:tc>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center"/>
            </w:pPr>
            <w:r>
              <w:rPr>
                <w:rFonts w:ascii="Calibri" w:cs="Calibri" w:eastAsia="Calibri" w:hAnsi="Calibri"/>
                <w:b/>
                <w:bCs/>
                <w:color w:val="047857"/>
                <w:sz w:val="20"/>
                <w:szCs w:val="20"/>
              </w:rPr>
              <w:t xml:space="preserve">Strong</w:t>
            </w:r>
          </w:p>
        </w:tc>
        <w:tc>
          <w:tcPr>
            <w:tcW w:type="dxa" w:w="41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475569"/>
                <w:sz w:val="20"/>
                <w:szCs w:val="20"/>
              </w:rPr>
              <w:t xml:space="preserve">"12 weeks to 2" beats "faster audits"</w:t>
            </w:r>
          </w:p>
        </w:tc>
      </w:tr>
      <w:tr>
        <w:tc>
          <w:tcPr>
            <w:tcW w:type="dxa" w:w="3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bCs/>
                <w:color w:val="1F2937"/>
                <w:sz w:val="20"/>
                <w:szCs w:val="20"/>
              </w:rPr>
              <w:t xml:space="preserve">Objection handling</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center"/>
            </w:pPr>
            <w:r>
              <w:rPr>
                <w:rFonts w:ascii="Calibri" w:cs="Calibri" w:eastAsia="Calibri" w:hAnsi="Calibri"/>
                <w:b/>
                <w:bCs/>
                <w:color w:val="047857"/>
                <w:sz w:val="20"/>
                <w:szCs w:val="20"/>
              </w:rPr>
              <w:t xml:space="preserve">Strong</w:t>
            </w:r>
          </w:p>
        </w:tc>
        <w:tc>
          <w:tcPr>
            <w:tcW w:type="dxa" w:w="4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475569"/>
                <w:sz w:val="20"/>
                <w:szCs w:val="20"/>
              </w:rPr>
              <w:t xml:space="preserve">vs-DIY / vs-cloud / vs-point comparison blocks</w:t>
            </w:r>
          </w:p>
        </w:tc>
      </w:tr>
      <w:tr>
        <w:tc>
          <w:tcPr>
            <w:tcW w:type="dxa" w:w="3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bCs/>
                <w:color w:val="1F2937"/>
                <w:sz w:val="20"/>
                <w:szCs w:val="20"/>
              </w:rPr>
              <w:t xml:space="preserve">Differentiation from Credo AI</w:t>
            </w:r>
          </w:p>
        </w:tc>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center"/>
            </w:pPr>
            <w:r>
              <w:rPr>
                <w:rFonts w:ascii="Calibri" w:cs="Calibri" w:eastAsia="Calibri" w:hAnsi="Calibri"/>
                <w:b/>
                <w:bCs/>
                <w:color w:val="B91C1C"/>
                <w:sz w:val="20"/>
                <w:szCs w:val="20"/>
              </w:rPr>
              <w:t xml:space="preserve">Weak</w:t>
            </w:r>
          </w:p>
        </w:tc>
        <w:tc>
          <w:tcPr>
            <w:tcW w:type="dxa" w:w="41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475569"/>
                <w:sz w:val="20"/>
                <w:szCs w:val="20"/>
              </w:rPr>
              <w:t xml:space="preserve">Depth-of-regulated-industries angle is implicit, not stated</w:t>
            </w:r>
          </w:p>
        </w:tc>
      </w:tr>
      <w:tr>
        <w:tc>
          <w:tcPr>
            <w:tcW w:type="dxa" w:w="3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bCs/>
                <w:color w:val="1F2937"/>
                <w:sz w:val="20"/>
                <w:szCs w:val="20"/>
              </w:rPr>
              <w:t xml:space="preserve">Social proof</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center"/>
            </w:pPr>
            <w:r>
              <w:rPr>
                <w:rFonts w:ascii="Calibri" w:cs="Calibri" w:eastAsia="Calibri" w:hAnsi="Calibri"/>
                <w:b/>
                <w:bCs/>
                <w:color w:val="B91C1C"/>
                <w:sz w:val="20"/>
                <w:szCs w:val="20"/>
              </w:rPr>
              <w:t xml:space="preserve">Weak</w:t>
            </w:r>
          </w:p>
        </w:tc>
        <w:tc>
          <w:tcPr>
            <w:tcW w:type="dxa" w:w="4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475569"/>
                <w:sz w:val="20"/>
                <w:szCs w:val="20"/>
              </w:rPr>
              <w:t xml:space="preserve">No logos, ratings, press, or advisor names above fold</w:t>
            </w:r>
          </w:p>
        </w:tc>
      </w:tr>
      <w:tr>
        <w:tc>
          <w:tcPr>
            <w:tcW w:type="dxa" w:w="3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bCs/>
                <w:color w:val="1F2937"/>
                <w:sz w:val="20"/>
                <w:szCs w:val="20"/>
              </w:rPr>
              <w:t xml:space="preserve">Voice consistency</w:t>
            </w:r>
          </w:p>
        </w:tc>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center"/>
            </w:pPr>
            <w:r>
              <w:rPr>
                <w:rFonts w:ascii="Calibri" w:cs="Calibri" w:eastAsia="Calibri" w:hAnsi="Calibri"/>
                <w:b/>
                <w:bCs/>
                <w:color w:val="047857"/>
                <w:sz w:val="20"/>
                <w:szCs w:val="20"/>
              </w:rPr>
              <w:t xml:space="preserve">Strong</w:t>
            </w:r>
          </w:p>
        </w:tc>
        <w:tc>
          <w:tcPr>
            <w:tcW w:type="dxa" w:w="41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475569"/>
                <w:sz w:val="20"/>
                <w:szCs w:val="20"/>
              </w:rPr>
              <w:t xml:space="preserve">"We sell governance and trust" anchor paragraph holds</w:t>
            </w:r>
          </w:p>
        </w:tc>
      </w:tr>
    </w:tbl>
    <w:p>
      <w:pPr>
        <w:pStyle w:val="Heading1"/>
        <w:pageBreakBefore/>
        <w:spacing w:after="200" w:before="360"/>
      </w:pPr>
      <w:r>
        <w:rPr>
          <w:rFonts w:ascii="Calibri" w:cs="Calibri" w:eastAsia="Calibri" w:hAnsi="Calibri"/>
          <w:b/>
          <w:bCs/>
          <w:color w:val="0B1220"/>
          <w:sz w:val="36"/>
          <w:szCs w:val="36"/>
        </w:rPr>
        <w:t xml:space="preserve">Visual design and hierarchy</w:t>
      </w:r>
    </w:p>
    <w:p>
      <w:pPr>
        <w:pBdr>
          <w:bottom w:val="single" w:color="4F46E5" w:sz="6" w:space="1"/>
        </w:pBdr>
        <w:spacing w:after="160" w:before="80"/>
      </w:pPr>
      <w:r>
        <w:rPr>
          <w:rFonts w:ascii="Calibri" w:cs="Calibri" w:eastAsia="Calibri" w:hAnsi="Calibri"/>
          <w:sz w:val="2"/>
          <w:szCs w:val="2"/>
        </w:rPr>
        <w:t xml:space="preserve"/>
      </w:r>
    </w:p>
    <w:p>
      <w:pPr>
        <w:pStyle w:val="Heading2"/>
        <w:spacing w:after="140" w:before="280"/>
      </w:pPr>
      <w:r>
        <w:rPr>
          <w:rFonts w:ascii="Calibri" w:cs="Calibri" w:eastAsia="Calibri" w:hAnsi="Calibri"/>
          <w:b/>
          <w:bCs/>
          <w:color w:val="0B1220"/>
          <w:sz w:val="28"/>
          <w:szCs w:val="28"/>
        </w:rPr>
        <w:t xml:space="preserve">What is working</w:t>
      </w:r>
    </w:p>
    <w:p>
      <w:pPr>
        <w:spacing w:after="120" w:before="80" w:line="300"/>
      </w:pPr>
      <w:r>
        <w:rPr>
          <w:rFonts w:ascii="Calibri" w:cs="Calibri" w:eastAsia="Calibri" w:hAnsi="Calibri"/>
          <w:color w:val="1F2937"/>
          <w:sz w:val="22"/>
          <w:szCs w:val="22"/>
        </w:rPr>
        <w:t xml:space="preserve">The overall aesthetic is restrained and on-trend for enterprise AI 2026: dark navy gradients, indigo/violet accent palette, large sans-serif type, generous vertical spacing, and noise/gradient-mesh overlays that give the background texture without distracting. The color palette reads as "serious infrastructure," which is exactly what a trust product should look like. Typography is a workhorse pairing (Geist Sans plus Plus Jakarta Sans per the loaded font files) that handles both large hero text and dense body copy well.</w:t>
      </w:r>
    </w:p>
    <w:p>
      <w:pPr>
        <w:spacing w:after="120" w:before="80" w:line="300"/>
      </w:pPr>
      <w:r>
        <w:rPr>
          <w:rFonts w:ascii="Calibri" w:cs="Calibri" w:eastAsia="Calibri" w:hAnsi="Calibri"/>
          <w:color w:val="1F2937"/>
          <w:sz w:val="22"/>
          <w:szCs w:val="22"/>
        </w:rPr>
        <w:t xml:space="preserve">The shield iconography is cohesive: the same indigo shield appears in the logo, the hero diagram center, the "Intellios" label inside the agent flow, and the How It Works step markers. This is a real brand asset and is used consistently.</w:t>
      </w:r>
    </w:p>
    <w:p>
      <w:pPr>
        <w:spacing w:after="120" w:before="80" w:line="300"/>
      </w:pPr>
      <w:r>
        <w:rPr>
          <w:rFonts w:ascii="Calibri" w:cs="Calibri" w:eastAsia="Calibri" w:hAnsi="Calibri"/>
          <w:color w:val="1F2937"/>
          <w:sz w:val="22"/>
          <w:szCs w:val="22"/>
        </w:rPr>
        <w:t xml:space="preserve">The Catalyst UI kit foundation (per CLAUDE.md) is a strong choice — you inherit Tailwind Labs' polish without paying the maintenance cost of a hand-rolled system. The sections feel like they belong to the same product.</w:t>
      </w:r>
    </w:p>
    <w:p>
      <w:pPr>
        <w:pStyle w:val="Heading2"/>
        <w:spacing w:after="140" w:before="280"/>
      </w:pPr>
      <w:r>
        <w:rPr>
          <w:rFonts w:ascii="Calibri" w:cs="Calibri" w:eastAsia="Calibri" w:hAnsi="Calibri"/>
          <w:b/>
          <w:bCs/>
          <w:color w:val="0B1220"/>
          <w:sz w:val="28"/>
          <w:szCs w:val="28"/>
        </w:rPr>
        <w:t xml:space="preserve">What is not working</w:t>
      </w:r>
    </w:p>
    <w:p>
      <w:pPr>
        <w:pStyle w:val="Heading3"/>
        <w:spacing w:after="100" w:before="220"/>
      </w:pPr>
      <w:r>
        <w:rPr>
          <w:rFonts w:ascii="Calibri" w:cs="Calibri" w:eastAsia="Calibri" w:hAnsi="Calibri"/>
          <w:b/>
          <w:bCs/>
          <w:color w:val="4F46E5"/>
          <w:sz w:val="24"/>
          <w:szCs w:val="24"/>
        </w:rPr>
        <w:t xml:space="preserve">The hero is a wall of type</w:t>
      </w:r>
    </w:p>
    <w:p>
      <w:pPr>
        <w:spacing w:after="120" w:before="80" w:line="300"/>
      </w:pPr>
      <w:r>
        <w:rPr>
          <w:rFonts w:ascii="Calibri" w:cs="Calibri" w:eastAsia="Calibri" w:hAnsi="Calibri"/>
          <w:color w:val="1F2937"/>
          <w:sz w:val="22"/>
          <w:szCs w:val="22"/>
        </w:rPr>
        <w:t xml:space="preserve">Above the fold the visitor sees: logo, 5-item nav, 2 CTAs, eyebrow pill, 9-word headline, 2-line subhead, small tertiary line, 2 CTAs again, and an industry chip row. That is 12 text elements and zero visual elements above the fold. The gradient-mesh background carries the visual weight alone. By contrast, Glean shows a full product mockup in the right half of its hero, Credo AI shows a product panel, CrewAI shows an interactive chatbot, and Writer leans on large whitespace to make the headline itself the visual.</w:t>
      </w:r>
    </w:p>
    <w:p>
      <w:pPr>
        <w:spacing w:after="120" w:before="80" w:line="300"/>
      </w:pPr>
      <w:r>
        <w:rPr>
          <w:rFonts w:ascii="Calibri" w:cs="Calibri" w:eastAsia="Calibri" w:hAnsi="Calibri"/>
          <w:color w:val="1F2937"/>
          <w:sz w:val="22"/>
          <w:szCs w:val="22"/>
        </w:rPr>
        <w:t xml:space="preserve">Recommendation: move the animated SVG diagram (currently in a second pane below the hero) into the right half of the hero at full opacity and larger scale, or replace it with an actual Blueprint Review UI screenshot. The repo has a working review panel at src/components/review/ that would be instantly recognizable as "a product."</w:t>
      </w:r>
    </w:p>
    <w:p>
      <w:pPr>
        <w:pStyle w:val="Heading3"/>
        <w:spacing w:after="100" w:before="220"/>
      </w:pPr>
      <w:r>
        <w:rPr>
          <w:rFonts w:ascii="Calibri" w:cs="Calibri" w:eastAsia="Calibri" w:hAnsi="Calibri"/>
          <w:b/>
          <w:bCs/>
          <w:color w:val="4F46E5"/>
          <w:sz w:val="24"/>
          <w:szCs w:val="24"/>
        </w:rPr>
        <w:t xml:space="preserve">Hero type contrast fails WCAG during the reveal window</w:t>
      </w:r>
    </w:p>
    <w:p>
      <w:pPr>
        <w:spacing w:after="120" w:before="80" w:line="300"/>
      </w:pPr>
      <w:r>
        <w:rPr>
          <w:rFonts w:ascii="Calibri" w:cs="Calibri" w:eastAsia="Calibri" w:hAnsi="Calibri"/>
          <w:color w:val="1F2937"/>
          <w:sz w:val="22"/>
          <w:szCs w:val="22"/>
        </w:rPr>
        <w:t xml:space="preserve">The scroll-triggered reveal system starts 54 .reveal elements at opacity 0. During the 600ms transition (opacity 0.6s cubic-bezier(0.16, 1, 0.3, 1)), the hero headline is rendered with an effective color of dark-gray-on-dark-navy — well below WCAG AA 4.5:1 for normal text. In testing, the first paint of the page showed the headline at this low-contrast state; a visitor scanning the first second of the page will see the most important copy as washed out. This is a real accessibility failure (WCAG 1.4.3 Contrast Minimum) and a branding failure (the most expensive line of type on the page looks broken).</w:t>
      </w:r>
    </w:p>
    <w:p>
      <w:pPr>
        <w:pStyle w:val="Heading3"/>
        <w:spacing w:after="100" w:before="220"/>
      </w:pPr>
      <w:r>
        <w:rPr>
          <w:rFonts w:ascii="Calibri" w:cs="Calibri" w:eastAsia="Calibri" w:hAnsi="Calibri"/>
          <w:b/>
          <w:bCs/>
          <w:color w:val="4F46E5"/>
          <w:sz w:val="24"/>
          <w:szCs w:val="24"/>
        </w:rPr>
        <w:t xml:space="preserve">The hero diagram is hidden below the fold and hard to read</w:t>
      </w:r>
    </w:p>
    <w:p>
      <w:pPr>
        <w:spacing w:after="120" w:before="80" w:line="300"/>
      </w:pPr>
      <w:r>
        <w:rPr>
          <w:rFonts w:ascii="Calibri" w:cs="Calibri" w:eastAsia="Calibri" w:hAnsi="Calibri"/>
          <w:color w:val="1F2937"/>
          <w:sz w:val="22"/>
          <w:szCs w:val="22"/>
        </w:rPr>
        <w:t xml:space="preserve">The animated SVG showing Claims-Triage-Agent and Risk-Scoring-Agent flowing through the Intellios shield into Approved/Blocked/Production is a genuinely clever illustration. It tells the full story of the product in a single image. But at current styling it is (a) sized at max-w-2xl (roughly 672px) which is smaller than it deserves, (b) drawn at opacity-80 in light mode and opacity-60 in dark mode which further de-emphasizes it, and (c) placed below the hero text block so a visitor only sees it after scrolling. This is the single highest-leverage visual asset on the page and it is treated as secondary.</w:t>
      </w:r>
    </w:p>
    <w:p>
      <w:pPr>
        <w:pStyle w:val="Heading3"/>
        <w:spacing w:after="100" w:before="220"/>
      </w:pPr>
      <w:r>
        <w:rPr>
          <w:rFonts w:ascii="Calibri" w:cs="Calibri" w:eastAsia="Calibri" w:hAnsi="Calibri"/>
          <w:b/>
          <w:bCs/>
          <w:color w:val="4F46E5"/>
          <w:sz w:val="24"/>
          <w:szCs w:val="24"/>
        </w:rPr>
        <w:t xml:space="preserve">Typography scale flattens at section headings</w:t>
      </w:r>
    </w:p>
    <w:p>
      <w:pPr>
        <w:spacing w:after="120" w:before="80" w:line="300"/>
      </w:pPr>
      <w:r>
        <w:rPr>
          <w:rFonts w:ascii="Calibri" w:cs="Calibri" w:eastAsia="Calibri" w:hAnsi="Calibri"/>
          <w:color w:val="1F2937"/>
          <w:sz w:val="22"/>
          <w:szCs w:val="22"/>
        </w:rPr>
        <w:t xml:space="preserve">All section H2s ("The Governance Gap," "The Platform," "How It Works," "Use Cases," "Why Intellios," "Where We Are," "ROI") are rendered at similar sizes with similar weights and the same indigo accent color. This makes scrolling the page feel like a uniform texture rather than a hierarchy. The strongest competitive pages establish a rhythm: big bold H2, smaller muted H3 eyebrow, then body. Intellios has the eyebrow pattern (e.g., "The Platform" above "Three pillars of governed AI agent delivery") but the ratio between eyebrow and headline is too small to create visual punctuation.</w:t>
      </w:r>
    </w:p>
    <w:p>
      <w:pPr>
        <w:pStyle w:val="Heading3"/>
        <w:spacing w:after="100" w:before="220"/>
      </w:pPr>
      <w:r>
        <w:rPr>
          <w:rFonts w:ascii="Calibri" w:cs="Calibri" w:eastAsia="Calibri" w:hAnsi="Calibri"/>
          <w:b/>
          <w:bCs/>
          <w:color w:val="4F46E5"/>
          <w:sz w:val="24"/>
          <w:szCs w:val="24"/>
        </w:rPr>
        <w:t xml:space="preserve">Color contrast inside the governance gap statistics</w:t>
      </w:r>
    </w:p>
    <w:p>
      <w:pPr>
        <w:spacing w:after="120" w:before="80" w:line="300"/>
      </w:pPr>
      <w:r>
        <w:rPr>
          <w:rFonts w:ascii="Calibri" w:cs="Calibri" w:eastAsia="Calibri" w:hAnsi="Calibri"/>
          <w:color w:val="1F2937"/>
          <w:sz w:val="22"/>
          <w:szCs w:val="22"/>
        </w:rPr>
        <w:t xml:space="preserve">The 40% / 78% / 63% statistic block uses light indigo numerals on a light gray-50 background. In dark mode this inverts to light-on-dark and contrast is fine; in light mode the numerals fall below 4.5:1 at small sizes in secondary label text ("Source: Gartner, August 2025"). This is a minor but fixable issue.</w:t>
      </w:r>
    </w:p>
    <w:p>
      <w:pPr>
        <w:pStyle w:val="Heading3"/>
        <w:spacing w:after="100" w:before="220"/>
      </w:pPr>
      <w:r>
        <w:rPr>
          <w:rFonts w:ascii="Calibri" w:cs="Calibri" w:eastAsia="Calibri" w:hAnsi="Calibri"/>
          <w:b/>
          <w:bCs/>
          <w:color w:val="4F46E5"/>
          <w:sz w:val="24"/>
          <w:szCs w:val="24"/>
        </w:rPr>
        <w:t xml:space="preserve">No raster images at all</w:t>
      </w:r>
    </w:p>
    <w:p>
      <w:pPr>
        <w:spacing w:after="120" w:before="80" w:line="300"/>
      </w:pPr>
      <w:r>
        <w:rPr>
          <w:rFonts w:ascii="Calibri" w:cs="Calibri" w:eastAsia="Calibri" w:hAnsi="Calibri"/>
          <w:color w:val="1F2937"/>
          <w:sz w:val="22"/>
          <w:szCs w:val="22"/>
        </w:rPr>
        <w:t xml:space="preserve">Zero &lt;img&gt; tags on the page. Every visual is inline SVG. SVG is the right choice for icons, logos, and flow diagrams, but the lack of any raster asset means no photography, no product screenshots, no team photos, no Blueprint Review UI captures, no hands-on office imagery. The page feels abstract in a way that peer pages do not. For an enterprise audience evaluating a trust product, a single photograph of the actual dashboard (or a team headshot on an About section) would add a disproportionate amount of realism.</w:t>
      </w:r>
    </w:p>
    <w:p>
      <w:pPr>
        <w:pStyle w:val="Heading2"/>
        <w:spacing w:after="140" w:before="280"/>
      </w:pPr>
      <w:r>
        <w:rPr>
          <w:rFonts w:ascii="Calibri" w:cs="Calibri" w:eastAsia="Calibri" w:hAnsi="Calibri"/>
          <w:b/>
          <w:bCs/>
          <w:color w:val="0B1220"/>
          <w:sz w:val="28"/>
          <w:szCs w:val="28"/>
        </w:rPr>
        <w:t xml:space="preserve">Visual hierarchy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4160"/>
      </w:tblGrid>
      <w:tr>
        <w:trPr>
          <w:tblHeader/>
        </w:trPr>
        <w:tc>
          <w:tcPr>
            <w:tcW w:type="dxa" w:w="3600"/>
            <w:tcBorders>
              <w:top w:val="single" w:color="CBD5E1" w:sz="4"/>
              <w:left w:val="single" w:color="CBD5E1" w:sz="4"/>
              <w:bottom w:val="single" w:color="CBD5E1" w:sz="4"/>
              <w:right w:val="single" w:color="CBD5E1" w:sz="4"/>
            </w:tcBorders>
            <w:shd w:fill="EEF2FF" w:val="clear"/>
            <w:tcMar>
              <w:top w:type="dxa" w:w="100"/>
              <w:left w:type="dxa" w:w="140"/>
              <w:bottom w:type="dxa" w:w="100"/>
              <w:right w:type="dxa" w:w="140"/>
            </w:tcMar>
          </w:tcPr>
          <w:p>
            <w:pPr>
              <w:spacing w:after="20" w:before="20" w:line="260"/>
              <w:jc w:val="left"/>
            </w:pPr>
            <w:r>
              <w:rPr>
                <w:rFonts w:ascii="Calibri" w:cs="Calibri" w:eastAsia="Calibri" w:hAnsi="Calibri"/>
                <w:b/>
                <w:bCs/>
                <w:color w:val="0B1220"/>
                <w:sz w:val="20"/>
                <w:szCs w:val="20"/>
              </w:rPr>
              <w:t xml:space="preserve">Dimension</w:t>
            </w:r>
          </w:p>
        </w:tc>
        <w:tc>
          <w:tcPr>
            <w:tcW w:type="dxa" w:w="1600"/>
            <w:tcBorders>
              <w:top w:val="single" w:color="CBD5E1" w:sz="4"/>
              <w:left w:val="single" w:color="CBD5E1" w:sz="4"/>
              <w:bottom w:val="single" w:color="CBD5E1" w:sz="4"/>
              <w:right w:val="single" w:color="CBD5E1" w:sz="4"/>
            </w:tcBorders>
            <w:shd w:fill="EEF2FF" w:val="clear"/>
            <w:tcMar>
              <w:top w:type="dxa" w:w="100"/>
              <w:left w:type="dxa" w:w="140"/>
              <w:bottom w:type="dxa" w:w="100"/>
              <w:right w:type="dxa" w:w="140"/>
            </w:tcMar>
          </w:tcPr>
          <w:p>
            <w:pPr>
              <w:spacing w:after="20" w:before="20" w:line="260"/>
              <w:jc w:val="center"/>
            </w:pPr>
            <w:r>
              <w:rPr>
                <w:rFonts w:ascii="Calibri" w:cs="Calibri" w:eastAsia="Calibri" w:hAnsi="Calibri"/>
                <w:b/>
                <w:bCs/>
                <w:color w:val="0B1220"/>
                <w:sz w:val="20"/>
                <w:szCs w:val="20"/>
              </w:rPr>
              <w:t xml:space="preserve">Rating</w:t>
            </w:r>
          </w:p>
        </w:tc>
        <w:tc>
          <w:tcPr>
            <w:tcW w:type="dxa" w:w="4160"/>
            <w:tcBorders>
              <w:top w:val="single" w:color="CBD5E1" w:sz="4"/>
              <w:left w:val="single" w:color="CBD5E1" w:sz="4"/>
              <w:bottom w:val="single" w:color="CBD5E1" w:sz="4"/>
              <w:right w:val="single" w:color="CBD5E1" w:sz="4"/>
            </w:tcBorders>
            <w:shd w:fill="EEF2FF" w:val="clear"/>
            <w:tcMar>
              <w:top w:type="dxa" w:w="100"/>
              <w:left w:type="dxa" w:w="140"/>
              <w:bottom w:type="dxa" w:w="100"/>
              <w:right w:type="dxa" w:w="140"/>
            </w:tcMar>
          </w:tcPr>
          <w:p>
            <w:pPr>
              <w:spacing w:after="20" w:before="20" w:line="260"/>
              <w:jc w:val="left"/>
            </w:pPr>
            <w:r>
              <w:rPr>
                <w:rFonts w:ascii="Calibri" w:cs="Calibri" w:eastAsia="Calibri" w:hAnsi="Calibri"/>
                <w:b/>
                <w:bCs/>
                <w:color w:val="0B1220"/>
                <w:sz w:val="20"/>
                <w:szCs w:val="20"/>
              </w:rPr>
              <w:t xml:space="preserve">Notes</w:t>
            </w:r>
          </w:p>
        </w:tc>
      </w:tr>
      <w:tr>
        <w:tc>
          <w:tcPr>
            <w:tcW w:type="dxa" w:w="3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bCs/>
                <w:color w:val="1F2937"/>
                <w:sz w:val="20"/>
                <w:szCs w:val="20"/>
              </w:rPr>
              <w:t xml:space="preserve">Color palette coherence</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center"/>
            </w:pPr>
            <w:r>
              <w:rPr>
                <w:rFonts w:ascii="Calibri" w:cs="Calibri" w:eastAsia="Calibri" w:hAnsi="Calibri"/>
                <w:b/>
                <w:bCs/>
                <w:color w:val="047857"/>
                <w:sz w:val="20"/>
                <w:szCs w:val="20"/>
              </w:rPr>
              <w:t xml:space="preserve">Strong</w:t>
            </w:r>
          </w:p>
        </w:tc>
        <w:tc>
          <w:tcPr>
            <w:tcW w:type="dxa" w:w="4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475569"/>
                <w:sz w:val="20"/>
                <w:szCs w:val="20"/>
              </w:rPr>
              <w:t xml:space="preserve">Indigo/navy/violet reads as serious infrastructure</w:t>
            </w:r>
          </w:p>
        </w:tc>
      </w:tr>
      <w:tr>
        <w:tc>
          <w:tcPr>
            <w:tcW w:type="dxa" w:w="3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bCs/>
                <w:color w:val="1F2937"/>
                <w:sz w:val="20"/>
                <w:szCs w:val="20"/>
              </w:rPr>
              <w:t xml:space="preserve">Typography pairing</w:t>
            </w:r>
          </w:p>
        </w:tc>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center"/>
            </w:pPr>
            <w:r>
              <w:rPr>
                <w:rFonts w:ascii="Calibri" w:cs="Calibri" w:eastAsia="Calibri" w:hAnsi="Calibri"/>
                <w:b/>
                <w:bCs/>
                <w:color w:val="047857"/>
                <w:sz w:val="20"/>
                <w:szCs w:val="20"/>
              </w:rPr>
              <w:t xml:space="preserve">Strong</w:t>
            </w:r>
          </w:p>
        </w:tc>
        <w:tc>
          <w:tcPr>
            <w:tcW w:type="dxa" w:w="41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475569"/>
                <w:sz w:val="20"/>
                <w:szCs w:val="20"/>
              </w:rPr>
              <w:t xml:space="preserve">Geist Sans + Plus Jakarta Sans handles scale well</w:t>
            </w:r>
          </w:p>
        </w:tc>
      </w:tr>
      <w:tr>
        <w:tc>
          <w:tcPr>
            <w:tcW w:type="dxa" w:w="3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bCs/>
                <w:color w:val="1F2937"/>
                <w:sz w:val="20"/>
                <w:szCs w:val="20"/>
              </w:rPr>
              <w:t xml:space="preserve">Logo and icon system</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center"/>
            </w:pPr>
            <w:r>
              <w:rPr>
                <w:rFonts w:ascii="Calibri" w:cs="Calibri" w:eastAsia="Calibri" w:hAnsi="Calibri"/>
                <w:b/>
                <w:bCs/>
                <w:color w:val="047857"/>
                <w:sz w:val="20"/>
                <w:szCs w:val="20"/>
              </w:rPr>
              <w:t xml:space="preserve">Strong</w:t>
            </w:r>
          </w:p>
        </w:tc>
        <w:tc>
          <w:tcPr>
            <w:tcW w:type="dxa" w:w="4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475569"/>
                <w:sz w:val="20"/>
                <w:szCs w:val="20"/>
              </w:rPr>
              <w:t xml:space="preserve">Shield is used consistently throughout</w:t>
            </w:r>
          </w:p>
        </w:tc>
      </w:tr>
      <w:tr>
        <w:tc>
          <w:tcPr>
            <w:tcW w:type="dxa" w:w="3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bCs/>
                <w:color w:val="1F2937"/>
                <w:sz w:val="20"/>
                <w:szCs w:val="20"/>
              </w:rPr>
              <w:t xml:space="preserve">Whitespace discipline</w:t>
            </w:r>
          </w:p>
        </w:tc>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center"/>
            </w:pPr>
            <w:r>
              <w:rPr>
                <w:rFonts w:ascii="Calibri" w:cs="Calibri" w:eastAsia="Calibri" w:hAnsi="Calibri"/>
                <w:b/>
                <w:bCs/>
                <w:color w:val="B45309"/>
                <w:sz w:val="20"/>
                <w:szCs w:val="20"/>
              </w:rPr>
              <w:t xml:space="preserve">Mixed</w:t>
            </w:r>
          </w:p>
        </w:tc>
        <w:tc>
          <w:tcPr>
            <w:tcW w:type="dxa" w:w="41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475569"/>
                <w:sz w:val="20"/>
                <w:szCs w:val="20"/>
              </w:rPr>
              <w:t xml:space="preserve">Generous, but hero feels text-heavy</w:t>
            </w:r>
          </w:p>
        </w:tc>
      </w:tr>
      <w:tr>
        <w:tc>
          <w:tcPr>
            <w:tcW w:type="dxa" w:w="3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bCs/>
                <w:color w:val="1F2937"/>
                <w:sz w:val="20"/>
                <w:szCs w:val="20"/>
              </w:rPr>
              <w:t xml:space="preserve">Above-fold visual weight</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center"/>
            </w:pPr>
            <w:r>
              <w:rPr>
                <w:rFonts w:ascii="Calibri" w:cs="Calibri" w:eastAsia="Calibri" w:hAnsi="Calibri"/>
                <w:b/>
                <w:bCs/>
                <w:color w:val="B91C1C"/>
                <w:sz w:val="20"/>
                <w:szCs w:val="20"/>
              </w:rPr>
              <w:t xml:space="preserve">Weak</w:t>
            </w:r>
          </w:p>
        </w:tc>
        <w:tc>
          <w:tcPr>
            <w:tcW w:type="dxa" w:w="4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475569"/>
                <w:sz w:val="20"/>
                <w:szCs w:val="20"/>
              </w:rPr>
              <w:t xml:space="preserve">Zero product imagery in hero</w:t>
            </w:r>
          </w:p>
        </w:tc>
      </w:tr>
      <w:tr>
        <w:tc>
          <w:tcPr>
            <w:tcW w:type="dxa" w:w="3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bCs/>
                <w:color w:val="1F2937"/>
                <w:sz w:val="20"/>
                <w:szCs w:val="20"/>
              </w:rPr>
              <w:t xml:space="preserve">Type contrast (reveal state)</w:t>
            </w:r>
          </w:p>
        </w:tc>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center"/>
            </w:pPr>
            <w:r>
              <w:rPr>
                <w:rFonts w:ascii="Calibri" w:cs="Calibri" w:eastAsia="Calibri" w:hAnsi="Calibri"/>
                <w:b/>
                <w:bCs/>
                <w:color w:val="B91C1C"/>
                <w:sz w:val="20"/>
                <w:szCs w:val="20"/>
              </w:rPr>
              <w:t xml:space="preserve">Fail</w:t>
            </w:r>
          </w:p>
        </w:tc>
        <w:tc>
          <w:tcPr>
            <w:tcW w:type="dxa" w:w="41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475569"/>
                <w:sz w:val="20"/>
                <w:szCs w:val="20"/>
              </w:rPr>
              <w:t xml:space="preserve">Hero headline fails WCAG during opacity transition</w:t>
            </w:r>
          </w:p>
        </w:tc>
      </w:tr>
      <w:tr>
        <w:tc>
          <w:tcPr>
            <w:tcW w:type="dxa" w:w="3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bCs/>
                <w:color w:val="1F2937"/>
                <w:sz w:val="20"/>
                <w:szCs w:val="20"/>
              </w:rPr>
              <w:t xml:space="preserve">Section rhythm</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center"/>
            </w:pPr>
            <w:r>
              <w:rPr>
                <w:rFonts w:ascii="Calibri" w:cs="Calibri" w:eastAsia="Calibri" w:hAnsi="Calibri"/>
                <w:b/>
                <w:bCs/>
                <w:color w:val="B45309"/>
                <w:sz w:val="20"/>
                <w:szCs w:val="20"/>
              </w:rPr>
              <w:t xml:space="preserve">Mixed</w:t>
            </w:r>
          </w:p>
        </w:tc>
        <w:tc>
          <w:tcPr>
            <w:tcW w:type="dxa" w:w="4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475569"/>
                <w:sz w:val="20"/>
                <w:szCs w:val="20"/>
              </w:rPr>
              <w:t xml:space="preserve">H2s flatten; need stronger eyebrow pattern</w:t>
            </w:r>
          </w:p>
        </w:tc>
      </w:tr>
      <w:tr>
        <w:tc>
          <w:tcPr>
            <w:tcW w:type="dxa" w:w="3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bCs/>
                <w:color w:val="1F2937"/>
                <w:sz w:val="20"/>
                <w:szCs w:val="20"/>
              </w:rPr>
              <w:t xml:space="preserve">Use of photography</w:t>
            </w:r>
          </w:p>
        </w:tc>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center"/>
            </w:pPr>
            <w:r>
              <w:rPr>
                <w:rFonts w:ascii="Calibri" w:cs="Calibri" w:eastAsia="Calibri" w:hAnsi="Calibri"/>
                <w:b/>
                <w:bCs/>
                <w:color w:val="B91C1C"/>
                <w:sz w:val="20"/>
                <w:szCs w:val="20"/>
              </w:rPr>
              <w:t xml:space="preserve">Absent</w:t>
            </w:r>
          </w:p>
        </w:tc>
        <w:tc>
          <w:tcPr>
            <w:tcW w:type="dxa" w:w="41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475569"/>
                <w:sz w:val="20"/>
                <w:szCs w:val="20"/>
              </w:rPr>
              <w:t xml:space="preserve">Zero raster images; no product screenshots</w:t>
            </w:r>
          </w:p>
        </w:tc>
      </w:tr>
      <w:tr>
        <w:tc>
          <w:tcPr>
            <w:tcW w:type="dxa" w:w="3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bCs/>
                <w:color w:val="1F2937"/>
                <w:sz w:val="20"/>
                <w:szCs w:val="20"/>
              </w:rPr>
              <w:t xml:space="preserve">Motion design</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center"/>
            </w:pPr>
            <w:r>
              <w:rPr>
                <w:rFonts w:ascii="Calibri" w:cs="Calibri" w:eastAsia="Calibri" w:hAnsi="Calibri"/>
                <w:b/>
                <w:bCs/>
                <w:color w:val="047857"/>
                <w:sz w:val="20"/>
                <w:szCs w:val="20"/>
              </w:rPr>
              <w:t xml:space="preserve">Strong</w:t>
            </w:r>
          </w:p>
        </w:tc>
        <w:tc>
          <w:tcPr>
            <w:tcW w:type="dxa" w:w="4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475569"/>
                <w:sz w:val="20"/>
                <w:szCs w:val="20"/>
              </w:rPr>
              <w:t xml:space="preserve">SVG flow animation is clever and on-brand</w:t>
            </w:r>
          </w:p>
        </w:tc>
      </w:tr>
      <w:tr>
        <w:tc>
          <w:tcPr>
            <w:tcW w:type="dxa" w:w="3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bCs/>
                <w:color w:val="1F2937"/>
                <w:sz w:val="20"/>
                <w:szCs w:val="20"/>
              </w:rPr>
              <w:t xml:space="preserve">Dark-mode polish</w:t>
            </w:r>
          </w:p>
        </w:tc>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center"/>
            </w:pPr>
            <w:r>
              <w:rPr>
                <w:rFonts w:ascii="Calibri" w:cs="Calibri" w:eastAsia="Calibri" w:hAnsi="Calibri"/>
                <w:b/>
                <w:bCs/>
                <w:color w:val="047857"/>
                <w:sz w:val="20"/>
                <w:szCs w:val="20"/>
              </w:rPr>
              <w:t xml:space="preserve">Strong</w:t>
            </w:r>
          </w:p>
        </w:tc>
        <w:tc>
          <w:tcPr>
            <w:tcW w:type="dxa" w:w="41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475569"/>
                <w:sz w:val="20"/>
                <w:szCs w:val="20"/>
              </w:rPr>
              <w:t xml:space="preserve">Gradient mesh, noise overlay, reveal animation are well-executed</w:t>
            </w:r>
          </w:p>
        </w:tc>
      </w:tr>
    </w:tbl>
    <w:p>
      <w:pPr>
        <w:pStyle w:val="Heading1"/>
        <w:pageBreakBefore/>
        <w:spacing w:after="200" w:before="360"/>
      </w:pPr>
      <w:r>
        <w:rPr>
          <w:rFonts w:ascii="Calibri" w:cs="Calibri" w:eastAsia="Calibri" w:hAnsi="Calibri"/>
          <w:b/>
          <w:bCs/>
          <w:color w:val="0B1220"/>
          <w:sz w:val="36"/>
          <w:szCs w:val="36"/>
        </w:rPr>
        <w:t xml:space="preserve">Conversion and UX flow</w:t>
      </w:r>
    </w:p>
    <w:p>
      <w:pPr>
        <w:pBdr>
          <w:bottom w:val="single" w:color="4F46E5" w:sz="6" w:space="1"/>
        </w:pBdr>
        <w:spacing w:after="160" w:before="80"/>
      </w:pPr>
      <w:r>
        <w:rPr>
          <w:rFonts w:ascii="Calibri" w:cs="Calibri" w:eastAsia="Calibri" w:hAnsi="Calibri"/>
          <w:sz w:val="2"/>
          <w:szCs w:val="2"/>
        </w:rPr>
        <w:t xml:space="preserve"/>
      </w:r>
    </w:p>
    <w:p>
      <w:pPr>
        <w:pStyle w:val="Heading2"/>
        <w:spacing w:after="140" w:before="280"/>
      </w:pPr>
      <w:r>
        <w:rPr>
          <w:rFonts w:ascii="Calibri" w:cs="Calibri" w:eastAsia="Calibri" w:hAnsi="Calibri"/>
          <w:b/>
          <w:bCs/>
          <w:color w:val="0B1220"/>
          <w:sz w:val="28"/>
          <w:szCs w:val="28"/>
        </w:rPr>
        <w:t xml:space="preserve">What is working</w:t>
      </w:r>
    </w:p>
    <w:p>
      <w:pPr>
        <w:spacing w:after="120" w:before="80" w:line="300"/>
      </w:pPr>
      <w:r>
        <w:rPr>
          <w:rFonts w:ascii="Calibri" w:cs="Calibri" w:eastAsia="Calibri" w:hAnsi="Calibri"/>
          <w:color w:val="1F2937"/>
          <w:sz w:val="22"/>
          <w:szCs w:val="22"/>
        </w:rPr>
        <w:t xml:space="preserve">The page respects the visitor. There is no pop-up exit intent, no chat bot cold-starting a conversation, no aggressive cookie banner, no auto-play video, and no email gate in front of the content. For an audience of CROs and compliance teams — people whose days are full of intrusive B2B marketing — this restraint earns goodwill.</w:t>
      </w:r>
    </w:p>
    <w:p>
      <w:pPr>
        <w:spacing w:after="120" w:before="80" w:line="300"/>
      </w:pPr>
      <w:r>
        <w:rPr>
          <w:rFonts w:ascii="Calibri" w:cs="Calibri" w:eastAsia="Calibri" w:hAnsi="Calibri"/>
          <w:color w:val="1F2937"/>
          <w:sz w:val="22"/>
          <w:szCs w:val="22"/>
        </w:rPr>
        <w:t xml:space="preserve">The four-step How It Works diagram is the clearest mental model on the page: Author → Validate → Approve → Deploy. It maps onto the existing CLAUDE.md subsystems (Intake → Generation → Governance Validator → Registry) without using jargon the visitor would not know. The "Without Intellios" contrast column is a nice addition that most competitor pages skip.</w:t>
      </w:r>
    </w:p>
    <w:p>
      <w:pPr>
        <w:spacing w:after="120" w:before="80" w:line="300"/>
      </w:pPr>
      <w:r>
        <w:rPr>
          <w:rFonts w:ascii="Calibri" w:cs="Calibri" w:eastAsia="Calibri" w:hAnsi="Calibri"/>
          <w:color w:val="1F2937"/>
          <w:sz w:val="22"/>
          <w:szCs w:val="22"/>
        </w:rPr>
        <w:t xml:space="preserve">The "Where We Are" transparency section (Live / Now accepting / Planned) is a genuinely novel conversion asset. Most pre-revenue enterprise startups hide where they are on the maturity curve; making it a feature turns a perceived weakness into a filtering tool — visitors who need SOC 2 Type II today will self-disqualify, and the visitors who remain are exactly the design partner profile you want.</w:t>
      </w:r>
    </w:p>
    <w:p>
      <w:pPr>
        <w:pStyle w:val="Heading2"/>
        <w:spacing w:after="140" w:before="280"/>
      </w:pPr>
      <w:r>
        <w:rPr>
          <w:rFonts w:ascii="Calibri" w:cs="Calibri" w:eastAsia="Calibri" w:hAnsi="Calibri"/>
          <w:b/>
          <w:bCs/>
          <w:color w:val="0B1220"/>
          <w:sz w:val="28"/>
          <w:szCs w:val="28"/>
        </w:rPr>
        <w:t xml:space="preserve">What is not working</w:t>
      </w:r>
    </w:p>
    <w:p>
      <w:pPr>
        <w:pStyle w:val="Heading3"/>
        <w:spacing w:after="100" w:before="220"/>
      </w:pPr>
      <w:r>
        <w:rPr>
          <w:rFonts w:ascii="Calibri" w:cs="Calibri" w:eastAsia="Calibri" w:hAnsi="Calibri"/>
          <w:b/>
          <w:bCs/>
          <w:color w:val="4F46E5"/>
          <w:sz w:val="24"/>
          <w:szCs w:val="24"/>
        </w:rPr>
        <w:t xml:space="preserve">Too many CTAs, too many labels</w:t>
      </w:r>
    </w:p>
    <w:p>
      <w:pPr>
        <w:spacing w:after="120" w:before="80" w:line="300"/>
      </w:pPr>
      <w:r>
        <w:rPr>
          <w:rFonts w:ascii="Calibri" w:cs="Calibri" w:eastAsia="Calibri" w:hAnsi="Calibri"/>
          <w:color w:val="1F2937"/>
          <w:sz w:val="22"/>
          <w:szCs w:val="22"/>
        </w:rPr>
        <w:t xml:space="preserve">The page has 11 CTA elements. Across them, "Request Early Access," "Get Access," "See How It Works," "Tell Us Your Use Case," "Apply for Design Partnership," "Talk to Sales," "Send me the guide," and the nav's "Sign in" compete for attention. A visitor who decides to act has to re-read the current section to figure out which button is right for their situation. This is decision fatigue; in A/B tests, consolidating to a single primary action per section typically lifts conversion 10–20%.</w:t>
      </w:r>
    </w:p>
    <w:p>
      <w:pPr>
        <w:spacing w:after="120" w:before="80" w:line="300"/>
      </w:pPr>
      <w:r>
        <w:rPr>
          <w:rFonts w:ascii="Calibri" w:cs="Calibri" w:eastAsia="Calibri" w:hAnsi="Calibri"/>
          <w:color w:val="1F2937"/>
          <w:sz w:val="22"/>
          <w:szCs w:val="22"/>
        </w:rPr>
        <w:t xml:space="preserve">Recommended ladder:</w:t>
      </w:r>
    </w:p>
    <w:p>
      <w:pPr>
        <w:pStyle w:val="ListParagraph"/>
        <w:numPr>
          <w:ilvl w:val="0"/>
          <w:numId w:val="2"/>
        </w:numPr>
        <w:spacing w:after="40" w:before="40" w:line="280"/>
      </w:pPr>
      <w:r>
        <w:rPr>
          <w:rFonts w:ascii="Calibri" w:cs="Calibri" w:eastAsia="Calibri" w:hAnsi="Calibri"/>
          <w:b/>
          <w:bCs/>
          <w:color w:val="1F2937"/>
          <w:sz w:val="22"/>
          <w:szCs w:val="22"/>
        </w:rPr>
        <w:t xml:space="preserve">Primary (all sections): </w:t>
      </w:r>
      <w:r>
        <w:rPr>
          <w:rFonts w:ascii="Calibri" w:cs="Calibri" w:eastAsia="Calibri" w:hAnsi="Calibri"/>
          <w:color w:val="1F2937"/>
          <w:sz w:val="22"/>
          <w:szCs w:val="22"/>
        </w:rPr>
        <w:t xml:space="preserve">"Apply for Design Partnership" (same form handler, same label, same button style throughout).</w:t>
      </w:r>
    </w:p>
    <w:p>
      <w:pPr>
        <w:pStyle w:val="ListParagraph"/>
        <w:numPr>
          <w:ilvl w:val="0"/>
          <w:numId w:val="2"/>
        </w:numPr>
        <w:spacing w:after="40" w:before="40" w:line="280"/>
      </w:pPr>
      <w:r>
        <w:rPr>
          <w:rFonts w:ascii="Calibri" w:cs="Calibri" w:eastAsia="Calibri" w:hAnsi="Calibri"/>
          <w:b/>
          <w:bCs/>
          <w:color w:val="1F2937"/>
          <w:sz w:val="22"/>
          <w:szCs w:val="22"/>
        </w:rPr>
        <w:t xml:space="preserve">Secondary (hero only): </w:t>
      </w:r>
      <w:r>
        <w:rPr>
          <w:rFonts w:ascii="Calibri" w:cs="Calibri" w:eastAsia="Calibri" w:hAnsi="Calibri"/>
          <w:color w:val="1F2937"/>
          <w:sz w:val="22"/>
          <w:szCs w:val="22"/>
        </w:rPr>
        <w:t xml:space="preserve">"Watch a 2-minute walkthrough" (links to a short Loom/embed showing Blueprint Review in action).</w:t>
      </w:r>
    </w:p>
    <w:p>
      <w:pPr>
        <w:pStyle w:val="ListParagraph"/>
        <w:numPr>
          <w:ilvl w:val="0"/>
          <w:numId w:val="2"/>
        </w:numPr>
        <w:spacing w:after="40" w:before="40" w:line="280"/>
      </w:pPr>
      <w:r>
        <w:rPr>
          <w:rFonts w:ascii="Calibri" w:cs="Calibri" w:eastAsia="Calibri" w:hAnsi="Calibri"/>
          <w:b/>
          <w:bCs/>
          <w:color w:val="1F2937"/>
          <w:sz w:val="22"/>
          <w:szCs w:val="22"/>
        </w:rPr>
        <w:t xml:space="preserve">Tertiary (footer of Use Cases section): </w:t>
      </w:r>
      <w:r>
        <w:rPr>
          <w:rFonts w:ascii="Calibri" w:cs="Calibri" w:eastAsia="Calibri" w:hAnsi="Calibri"/>
          <w:color w:val="1F2937"/>
          <w:sz w:val="22"/>
          <w:szCs w:val="22"/>
        </w:rPr>
        <w:t xml:space="preserve">"Talk to sales" (low-commitment escape hatch for visitors not ready to apply).</w:t>
      </w:r>
    </w:p>
    <w:p>
      <w:pPr>
        <w:pStyle w:val="ListParagraph"/>
        <w:numPr>
          <w:ilvl w:val="0"/>
          <w:numId w:val="2"/>
        </w:numPr>
        <w:spacing w:after="40" w:before="40" w:line="280"/>
      </w:pPr>
      <w:r>
        <w:rPr>
          <w:rFonts w:ascii="Calibri" w:cs="Calibri" w:eastAsia="Calibri" w:hAnsi="Calibri"/>
          <w:b/>
          <w:bCs/>
          <w:color w:val="1F2937"/>
          <w:sz w:val="22"/>
          <w:szCs w:val="22"/>
        </w:rPr>
        <w:t xml:space="preserve">Content: </w:t>
      </w:r>
      <w:r>
        <w:rPr>
          <w:rFonts w:ascii="Calibri" w:cs="Calibri" w:eastAsia="Calibri" w:hAnsi="Calibri"/>
          <w:color w:val="1F2937"/>
          <w:sz w:val="22"/>
          <w:szCs w:val="22"/>
        </w:rPr>
        <w:t xml:space="preserve">"Send me the guide" stays but is anchored in a dedicated resources section, not mixed with the sales CTA.</w:t>
      </w:r>
    </w:p>
    <w:p>
      <w:pPr>
        <w:pStyle w:val="Heading3"/>
        <w:spacing w:after="100" w:before="220"/>
      </w:pPr>
      <w:r>
        <w:rPr>
          <w:rFonts w:ascii="Calibri" w:cs="Calibri" w:eastAsia="Calibri" w:hAnsi="Calibri"/>
          <w:b/>
          <w:bCs/>
          <w:color w:val="4F46E5"/>
          <w:sz w:val="24"/>
          <w:szCs w:val="24"/>
        </w:rPr>
        <w:t xml:space="preserve">The hero has no inline form</w:t>
      </w:r>
    </w:p>
    <w:p>
      <w:pPr>
        <w:spacing w:after="120" w:before="80" w:line="300"/>
      </w:pPr>
      <w:r>
        <w:rPr>
          <w:rFonts w:ascii="Calibri" w:cs="Calibri" w:eastAsia="Calibri" w:hAnsi="Calibri"/>
          <w:color w:val="1F2937"/>
          <w:sz w:val="22"/>
          <w:szCs w:val="22"/>
        </w:rPr>
        <w:t xml:space="preserve">Decagon and Writer both place an email field directly in the hero. This cuts the commit-to-apply distance from "click button → navigate → fill form → submit" to "type email → press enter." For Intellios, which needs to qualify design partners anyway, a single email field + a "Continue" button that progressively discloses the full form would convert materially better than the current "Request Early Access" button that leaves conversion to a downstream page (not visible from this audit).</w:t>
      </w:r>
    </w:p>
    <w:p>
      <w:pPr>
        <w:pStyle w:val="Heading3"/>
        <w:spacing w:after="100" w:before="220"/>
      </w:pPr>
      <w:r>
        <w:rPr>
          <w:rFonts w:ascii="Calibri" w:cs="Calibri" w:eastAsia="Calibri" w:hAnsi="Calibri"/>
          <w:b/>
          <w:bCs/>
          <w:color w:val="4F46E5"/>
          <w:sz w:val="24"/>
          <w:szCs w:val="24"/>
        </w:rPr>
        <w:t xml:space="preserve">The Use Cases section buries the CTA</w:t>
      </w:r>
    </w:p>
    <w:p>
      <w:pPr>
        <w:spacing w:after="120" w:before="80" w:line="300"/>
      </w:pPr>
      <w:r>
        <w:rPr>
          <w:rFonts w:ascii="Calibri" w:cs="Calibri" w:eastAsia="Calibri" w:hAnsi="Calibri"/>
          <w:color w:val="1F2937"/>
          <w:sz w:val="22"/>
          <w:szCs w:val="22"/>
        </w:rPr>
        <w:t xml:space="preserve">The Use Cases section has three persona cards, each with a "Pain" and "With Intellios" block, followed by a single shared CTA ("Tell Us Your Use Case") at the end of all three. A visitor who recognizes themselves in the CRO card has to scroll past the other two personas to take action. Each persona card should end with its own CTA labeled for that persona (e.g., "CROs: Apply for design partnership"). This adds two CTAs but they are scoped to a persona, not repeated.</w:t>
      </w:r>
    </w:p>
    <w:p>
      <w:pPr>
        <w:pStyle w:val="Heading3"/>
        <w:spacing w:after="100" w:before="220"/>
      </w:pPr>
      <w:r>
        <w:rPr>
          <w:rFonts w:ascii="Calibri" w:cs="Calibri" w:eastAsia="Calibri" w:hAnsi="Calibri"/>
          <w:b/>
          <w:bCs/>
          <w:color w:val="4F46E5"/>
          <w:sz w:val="24"/>
          <w:szCs w:val="24"/>
        </w:rPr>
        <w:t xml:space="preserve">Scroll anchors do not trigger reveal</w:t>
      </w:r>
    </w:p>
    <w:p>
      <w:pPr>
        <w:spacing w:after="120" w:before="80" w:line="300"/>
      </w:pPr>
      <w:r>
        <w:rPr>
          <w:rFonts w:ascii="Calibri" w:cs="Calibri" w:eastAsia="Calibri" w:hAnsi="Calibri"/>
          <w:color w:val="1F2937"/>
          <w:sz w:val="22"/>
          <w:szCs w:val="22"/>
        </w:rPr>
        <w:t xml:space="preserve">Clicking the nav items (Features, Use Cases, Security, Templates, ROI) scrolls to the section but does not always trigger the IntersectionObserver that fires the reveal animation. This means a visitor who uses the nav to skip ahead may land on a section where half the content is still at opacity 0. This is a real bug that actively breaks core navigation. Fix by either (a) running the observer on scroll events and scroll-end, not just on entry, or (b) setting a very large rootMargin so elements are marked revealed before the user reaches them, or (c) using a simpler "once any reveal fires, unlock all of them" approach for the first viewport only.</w:t>
      </w:r>
    </w:p>
    <w:p>
      <w:pPr>
        <w:pStyle w:val="Heading3"/>
        <w:spacing w:after="100" w:before="220"/>
      </w:pPr>
      <w:r>
        <w:rPr>
          <w:rFonts w:ascii="Calibri" w:cs="Calibri" w:eastAsia="Calibri" w:hAnsi="Calibri"/>
          <w:b/>
          <w:bCs/>
          <w:color w:val="4F46E5"/>
          <w:sz w:val="24"/>
          <w:szCs w:val="24"/>
        </w:rPr>
        <w:t xml:space="preserve">FAQ does not deep-link</w:t>
      </w:r>
    </w:p>
    <w:p>
      <w:pPr>
        <w:spacing w:after="120" w:before="80" w:line="300"/>
      </w:pPr>
      <w:r>
        <w:rPr>
          <w:rFonts w:ascii="Calibri" w:cs="Calibri" w:eastAsia="Calibri" w:hAnsi="Calibri"/>
          <w:color w:val="1F2937"/>
          <w:sz w:val="22"/>
          <w:szCs w:val="22"/>
        </w:rPr>
        <w:t xml:space="preserve">The FAQ questions ("What cloud providers does Intellios work with?", etc.) are accordion-collapsed by default and do not have stable URL fragments. A sales rep cannot share a link like /landing#faq-cloud-providers to point a prospect at a specific answer. This is a small fix (id attributes on each FAQ item) with meaningful payoff for the sales motion.</w:t>
      </w:r>
    </w:p>
    <w:p>
      <w:pPr>
        <w:pStyle w:val="Heading3"/>
        <w:spacing w:after="100" w:before="220"/>
      </w:pPr>
      <w:r>
        <w:rPr>
          <w:rFonts w:ascii="Calibri" w:cs="Calibri" w:eastAsia="Calibri" w:hAnsi="Calibri"/>
          <w:b/>
          <w:bCs/>
          <w:color w:val="4F46E5"/>
          <w:sz w:val="24"/>
          <w:szCs w:val="24"/>
        </w:rPr>
        <w:t xml:space="preserve">No trust artifacts between the hero and the first section</w:t>
      </w:r>
    </w:p>
    <w:p>
      <w:pPr>
        <w:spacing w:after="120" w:before="80" w:line="300"/>
      </w:pPr>
      <w:r>
        <w:rPr>
          <w:rFonts w:ascii="Calibri" w:cs="Calibri" w:eastAsia="Calibri" w:hAnsi="Calibri"/>
          <w:color w:val="1F2937"/>
          <w:sz w:val="22"/>
          <w:szCs w:val="22"/>
        </w:rPr>
        <w:t xml:space="preserve">Most enterprise SaaS pages place a compact "trusted by" logo strip immediately below the hero as a visual breath between the pitch and the first explanatory section. Intellios goes straight from the hero into a 3-column statistic block. The statistics are sourced to Gartner, WalkMe, and IBM Ponemon, but they are framed as market context, not trust signals about Intellios itself. Add a strip between the hero and the governance gap section that says something like:</w:t>
      </w:r>
    </w:p>
    <w:p>
      <w:pPr>
        <w:pStyle w:val="ListParagraph"/>
        <w:numPr>
          <w:ilvl w:val="0"/>
          <w:numId w:val="2"/>
        </w:numPr>
        <w:spacing w:after="40" w:before="40" w:line="280"/>
      </w:pPr>
      <w:r>
        <w:rPr>
          <w:rFonts w:ascii="Calibri" w:cs="Calibri" w:eastAsia="Calibri" w:hAnsi="Calibri"/>
          <w:color w:val="1F2937"/>
          <w:sz w:val="22"/>
          <w:szCs w:val="22"/>
        </w:rPr>
        <w:t xml:space="preserve">"Governance architecture designed around SR 11‑7 / EU AI Act / NIST AI RMF / GDPR / HIPAA" (currently this line appears in the Where We Are section — move it up.)</w:t>
      </w:r>
    </w:p>
    <w:p>
      <w:pPr>
        <w:pStyle w:val="ListParagraph"/>
        <w:numPr>
          <w:ilvl w:val="0"/>
          <w:numId w:val="2"/>
        </w:numPr>
        <w:spacing w:after="40" w:before="40" w:line="280"/>
      </w:pPr>
      <w:r>
        <w:rPr>
          <w:rFonts w:ascii="Calibri" w:cs="Calibri" w:eastAsia="Calibri" w:hAnsi="Calibri"/>
          <w:color w:val="1F2937"/>
          <w:sz w:val="22"/>
          <w:szCs w:val="22"/>
        </w:rPr>
        <w:t xml:space="preserve">"Frameworks we publicly map to" with five visual framework badges (regulator seals or stylized chips), clickable to the relevant section.</w:t>
      </w:r>
    </w:p>
    <w:p>
      <w:pPr>
        <w:pStyle w:val="ListParagraph"/>
        <w:numPr>
          <w:ilvl w:val="0"/>
          <w:numId w:val="2"/>
        </w:numPr>
        <w:spacing w:after="40" w:before="40" w:line="280"/>
      </w:pPr>
      <w:r>
        <w:rPr>
          <w:rFonts w:ascii="Calibri" w:cs="Calibri" w:eastAsia="Calibri" w:hAnsi="Calibri"/>
          <w:color w:val="1F2937"/>
          <w:sz w:val="22"/>
          <w:szCs w:val="22"/>
        </w:rPr>
        <w:t xml:space="preserve">"Active design partner conversations with N enterprises across [industries]" if there is any real number to report.</w:t>
      </w:r>
    </w:p>
    <w:p>
      <w:pPr>
        <w:pStyle w:val="Heading2"/>
        <w:spacing w:after="140" w:before="280"/>
      </w:pPr>
      <w:r>
        <w:rPr>
          <w:rFonts w:ascii="Calibri" w:cs="Calibri" w:eastAsia="Calibri" w:hAnsi="Calibri"/>
          <w:b/>
          <w:bCs/>
          <w:color w:val="0B1220"/>
          <w:sz w:val="28"/>
          <w:szCs w:val="28"/>
        </w:rPr>
        <w:t xml:space="preserve">Conversion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4160"/>
      </w:tblGrid>
      <w:tr>
        <w:trPr>
          <w:tblHeader/>
        </w:trPr>
        <w:tc>
          <w:tcPr>
            <w:tcW w:type="dxa" w:w="3600"/>
            <w:tcBorders>
              <w:top w:val="single" w:color="CBD5E1" w:sz="4"/>
              <w:left w:val="single" w:color="CBD5E1" w:sz="4"/>
              <w:bottom w:val="single" w:color="CBD5E1" w:sz="4"/>
              <w:right w:val="single" w:color="CBD5E1" w:sz="4"/>
            </w:tcBorders>
            <w:shd w:fill="EEF2FF" w:val="clear"/>
            <w:tcMar>
              <w:top w:type="dxa" w:w="100"/>
              <w:left w:type="dxa" w:w="140"/>
              <w:bottom w:type="dxa" w:w="100"/>
              <w:right w:type="dxa" w:w="140"/>
            </w:tcMar>
          </w:tcPr>
          <w:p>
            <w:pPr>
              <w:spacing w:after="20" w:before="20" w:line="260"/>
              <w:jc w:val="left"/>
            </w:pPr>
            <w:r>
              <w:rPr>
                <w:rFonts w:ascii="Calibri" w:cs="Calibri" w:eastAsia="Calibri" w:hAnsi="Calibri"/>
                <w:b/>
                <w:bCs/>
                <w:color w:val="0B1220"/>
                <w:sz w:val="20"/>
                <w:szCs w:val="20"/>
              </w:rPr>
              <w:t xml:space="preserve">Dimension</w:t>
            </w:r>
          </w:p>
        </w:tc>
        <w:tc>
          <w:tcPr>
            <w:tcW w:type="dxa" w:w="1600"/>
            <w:tcBorders>
              <w:top w:val="single" w:color="CBD5E1" w:sz="4"/>
              <w:left w:val="single" w:color="CBD5E1" w:sz="4"/>
              <w:bottom w:val="single" w:color="CBD5E1" w:sz="4"/>
              <w:right w:val="single" w:color="CBD5E1" w:sz="4"/>
            </w:tcBorders>
            <w:shd w:fill="EEF2FF" w:val="clear"/>
            <w:tcMar>
              <w:top w:type="dxa" w:w="100"/>
              <w:left w:type="dxa" w:w="140"/>
              <w:bottom w:type="dxa" w:w="100"/>
              <w:right w:type="dxa" w:w="140"/>
            </w:tcMar>
          </w:tcPr>
          <w:p>
            <w:pPr>
              <w:spacing w:after="20" w:before="20" w:line="260"/>
              <w:jc w:val="center"/>
            </w:pPr>
            <w:r>
              <w:rPr>
                <w:rFonts w:ascii="Calibri" w:cs="Calibri" w:eastAsia="Calibri" w:hAnsi="Calibri"/>
                <w:b/>
                <w:bCs/>
                <w:color w:val="0B1220"/>
                <w:sz w:val="20"/>
                <w:szCs w:val="20"/>
              </w:rPr>
              <w:t xml:space="preserve">Rating</w:t>
            </w:r>
          </w:p>
        </w:tc>
        <w:tc>
          <w:tcPr>
            <w:tcW w:type="dxa" w:w="4160"/>
            <w:tcBorders>
              <w:top w:val="single" w:color="CBD5E1" w:sz="4"/>
              <w:left w:val="single" w:color="CBD5E1" w:sz="4"/>
              <w:bottom w:val="single" w:color="CBD5E1" w:sz="4"/>
              <w:right w:val="single" w:color="CBD5E1" w:sz="4"/>
            </w:tcBorders>
            <w:shd w:fill="EEF2FF" w:val="clear"/>
            <w:tcMar>
              <w:top w:type="dxa" w:w="100"/>
              <w:left w:type="dxa" w:w="140"/>
              <w:bottom w:type="dxa" w:w="100"/>
              <w:right w:type="dxa" w:w="140"/>
            </w:tcMar>
          </w:tcPr>
          <w:p>
            <w:pPr>
              <w:spacing w:after="20" w:before="20" w:line="260"/>
              <w:jc w:val="left"/>
            </w:pPr>
            <w:r>
              <w:rPr>
                <w:rFonts w:ascii="Calibri" w:cs="Calibri" w:eastAsia="Calibri" w:hAnsi="Calibri"/>
                <w:b/>
                <w:bCs/>
                <w:color w:val="0B1220"/>
                <w:sz w:val="20"/>
                <w:szCs w:val="20"/>
              </w:rPr>
              <w:t xml:space="preserve">Notes</w:t>
            </w:r>
          </w:p>
        </w:tc>
      </w:tr>
      <w:tr>
        <w:tc>
          <w:tcPr>
            <w:tcW w:type="dxa" w:w="3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bCs/>
                <w:color w:val="1F2937"/>
                <w:sz w:val="20"/>
                <w:szCs w:val="20"/>
              </w:rPr>
              <w:t xml:space="preserve">Number of primary CTAs</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center"/>
            </w:pPr>
            <w:r>
              <w:rPr>
                <w:rFonts w:ascii="Calibri" w:cs="Calibri" w:eastAsia="Calibri" w:hAnsi="Calibri"/>
                <w:b/>
                <w:bCs/>
                <w:color w:val="B91C1C"/>
                <w:sz w:val="20"/>
                <w:szCs w:val="20"/>
              </w:rPr>
              <w:t xml:space="preserve">Weak</w:t>
            </w:r>
          </w:p>
        </w:tc>
        <w:tc>
          <w:tcPr>
            <w:tcW w:type="dxa" w:w="4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475569"/>
                <w:sz w:val="20"/>
                <w:szCs w:val="20"/>
              </w:rPr>
              <w:t xml:space="preserve">11 CTA elements; 4 different labels for same action</w:t>
            </w:r>
          </w:p>
        </w:tc>
      </w:tr>
      <w:tr>
        <w:tc>
          <w:tcPr>
            <w:tcW w:type="dxa" w:w="3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bCs/>
                <w:color w:val="1F2937"/>
                <w:sz w:val="20"/>
                <w:szCs w:val="20"/>
              </w:rPr>
              <w:t xml:space="preserve">Hero conversion mechanics</w:t>
            </w:r>
          </w:p>
        </w:tc>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center"/>
            </w:pPr>
            <w:r>
              <w:rPr>
                <w:rFonts w:ascii="Calibri" w:cs="Calibri" w:eastAsia="Calibri" w:hAnsi="Calibri"/>
                <w:b/>
                <w:bCs/>
                <w:color w:val="B91C1C"/>
                <w:sz w:val="20"/>
                <w:szCs w:val="20"/>
              </w:rPr>
              <w:t xml:space="preserve">Weak</w:t>
            </w:r>
          </w:p>
        </w:tc>
        <w:tc>
          <w:tcPr>
            <w:tcW w:type="dxa" w:w="41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475569"/>
                <w:sz w:val="20"/>
                <w:szCs w:val="20"/>
              </w:rPr>
              <w:t xml:space="preserve">No inline form; binary button choice without default</w:t>
            </w:r>
          </w:p>
        </w:tc>
      </w:tr>
      <w:tr>
        <w:tc>
          <w:tcPr>
            <w:tcW w:type="dxa" w:w="3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bCs/>
                <w:color w:val="1F2937"/>
                <w:sz w:val="20"/>
                <w:szCs w:val="20"/>
              </w:rPr>
              <w:t xml:space="preserve">Visitor goal clarity per section</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center"/>
            </w:pPr>
            <w:r>
              <w:rPr>
                <w:rFonts w:ascii="Calibri" w:cs="Calibri" w:eastAsia="Calibri" w:hAnsi="Calibri"/>
                <w:b/>
                <w:bCs/>
                <w:color w:val="B45309"/>
                <w:sz w:val="20"/>
                <w:szCs w:val="20"/>
              </w:rPr>
              <w:t xml:space="preserve">Mixed</w:t>
            </w:r>
          </w:p>
        </w:tc>
        <w:tc>
          <w:tcPr>
            <w:tcW w:type="dxa" w:w="4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475569"/>
                <w:sz w:val="20"/>
                <w:szCs w:val="20"/>
              </w:rPr>
              <w:t xml:space="preserve">Use Cases section buries CTAs; Where We Are is strong</w:t>
            </w:r>
          </w:p>
        </w:tc>
      </w:tr>
      <w:tr>
        <w:tc>
          <w:tcPr>
            <w:tcW w:type="dxa" w:w="3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bCs/>
                <w:color w:val="1F2937"/>
                <w:sz w:val="20"/>
                <w:szCs w:val="20"/>
              </w:rPr>
              <w:t xml:space="preserve">Friction (pop-ups, gates, chat)</w:t>
            </w:r>
          </w:p>
        </w:tc>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center"/>
            </w:pPr>
            <w:r>
              <w:rPr>
                <w:rFonts w:ascii="Calibri" w:cs="Calibri" w:eastAsia="Calibri" w:hAnsi="Calibri"/>
                <w:b/>
                <w:bCs/>
                <w:color w:val="047857"/>
                <w:sz w:val="20"/>
                <w:szCs w:val="20"/>
              </w:rPr>
              <w:t xml:space="preserve">Strong</w:t>
            </w:r>
          </w:p>
        </w:tc>
        <w:tc>
          <w:tcPr>
            <w:tcW w:type="dxa" w:w="41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475569"/>
                <w:sz w:val="20"/>
                <w:szCs w:val="20"/>
              </w:rPr>
              <w:t xml:space="preserve">No intrusive overlays; respects visitor attention</w:t>
            </w:r>
          </w:p>
        </w:tc>
      </w:tr>
      <w:tr>
        <w:tc>
          <w:tcPr>
            <w:tcW w:type="dxa" w:w="3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bCs/>
                <w:color w:val="1F2937"/>
                <w:sz w:val="20"/>
                <w:szCs w:val="20"/>
              </w:rPr>
              <w:t xml:space="preserve">Scroll architecture</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center"/>
            </w:pPr>
            <w:r>
              <w:rPr>
                <w:rFonts w:ascii="Calibri" w:cs="Calibri" w:eastAsia="Calibri" w:hAnsi="Calibri"/>
                <w:b/>
                <w:bCs/>
                <w:color w:val="B45309"/>
                <w:sz w:val="20"/>
                <w:szCs w:val="20"/>
              </w:rPr>
              <w:t xml:space="preserve">Mixed</w:t>
            </w:r>
          </w:p>
        </w:tc>
        <w:tc>
          <w:tcPr>
            <w:tcW w:type="dxa" w:w="4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475569"/>
                <w:sz w:val="20"/>
                <w:szCs w:val="20"/>
              </w:rPr>
              <w:t xml:space="preserve">Long page with clear sections but reveal bug breaks anchor nav</w:t>
            </w:r>
          </w:p>
        </w:tc>
      </w:tr>
      <w:tr>
        <w:tc>
          <w:tcPr>
            <w:tcW w:type="dxa" w:w="3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bCs/>
                <w:color w:val="1F2937"/>
                <w:sz w:val="20"/>
                <w:szCs w:val="20"/>
              </w:rPr>
              <w:t xml:space="preserve">Trust ladder (hero → proof → deep dive)</w:t>
            </w:r>
          </w:p>
        </w:tc>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center"/>
            </w:pPr>
            <w:r>
              <w:rPr>
                <w:rFonts w:ascii="Calibri" w:cs="Calibri" w:eastAsia="Calibri" w:hAnsi="Calibri"/>
                <w:b/>
                <w:bCs/>
                <w:color w:val="B91C1C"/>
                <w:sz w:val="20"/>
                <w:szCs w:val="20"/>
              </w:rPr>
              <w:t xml:space="preserve">Weak</w:t>
            </w:r>
          </w:p>
        </w:tc>
        <w:tc>
          <w:tcPr>
            <w:tcW w:type="dxa" w:w="41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475569"/>
                <w:sz w:val="20"/>
                <w:szCs w:val="20"/>
              </w:rPr>
              <w:t xml:space="preserve">No proof breath between hero and first content section</w:t>
            </w:r>
          </w:p>
        </w:tc>
      </w:tr>
      <w:tr>
        <w:tc>
          <w:tcPr>
            <w:tcW w:type="dxa" w:w="3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bCs/>
                <w:color w:val="1F2937"/>
                <w:sz w:val="20"/>
                <w:szCs w:val="20"/>
              </w:rPr>
              <w:t xml:space="preserve">Self-service escape hatches</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center"/>
            </w:pPr>
            <w:r>
              <w:rPr>
                <w:rFonts w:ascii="Calibri" w:cs="Calibri" w:eastAsia="Calibri" w:hAnsi="Calibri"/>
                <w:b/>
                <w:bCs/>
                <w:color w:val="B91C1C"/>
                <w:sz w:val="20"/>
                <w:szCs w:val="20"/>
              </w:rPr>
              <w:t xml:space="preserve">Weak</w:t>
            </w:r>
          </w:p>
        </w:tc>
        <w:tc>
          <w:tcPr>
            <w:tcW w:type="dxa" w:w="4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475569"/>
                <w:sz w:val="20"/>
                <w:szCs w:val="20"/>
              </w:rPr>
              <w:t xml:space="preserve">No pricing, no docs, no try-before-apply path</w:t>
            </w:r>
          </w:p>
        </w:tc>
      </w:tr>
      <w:tr>
        <w:tc>
          <w:tcPr>
            <w:tcW w:type="dxa" w:w="3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bCs/>
                <w:color w:val="1F2937"/>
                <w:sz w:val="20"/>
                <w:szCs w:val="20"/>
              </w:rPr>
              <w:t xml:space="preserve">FAQ positioning</w:t>
            </w:r>
          </w:p>
        </w:tc>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center"/>
            </w:pPr>
            <w:r>
              <w:rPr>
                <w:rFonts w:ascii="Calibri" w:cs="Calibri" w:eastAsia="Calibri" w:hAnsi="Calibri"/>
                <w:b/>
                <w:bCs/>
                <w:color w:val="B45309"/>
                <w:sz w:val="20"/>
                <w:szCs w:val="20"/>
              </w:rPr>
              <w:t xml:space="preserve">Mixed</w:t>
            </w:r>
          </w:p>
        </w:tc>
        <w:tc>
          <w:tcPr>
            <w:tcW w:type="dxa" w:w="41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475569"/>
                <w:sz w:val="20"/>
                <w:szCs w:val="20"/>
              </w:rPr>
              <w:t xml:space="preserve">Good questions; missing competitor comparison; no deep links</w:t>
            </w:r>
          </w:p>
        </w:tc>
      </w:tr>
      <w:tr>
        <w:tc>
          <w:tcPr>
            <w:tcW w:type="dxa" w:w="3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bCs/>
                <w:color w:val="1F2937"/>
                <w:sz w:val="20"/>
                <w:szCs w:val="20"/>
              </w:rPr>
              <w:t xml:space="preserve">"Without Intellios" contrast</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center"/>
            </w:pPr>
            <w:r>
              <w:rPr>
                <w:rFonts w:ascii="Calibri" w:cs="Calibri" w:eastAsia="Calibri" w:hAnsi="Calibri"/>
                <w:b/>
                <w:bCs/>
                <w:color w:val="047857"/>
                <w:sz w:val="20"/>
                <w:szCs w:val="20"/>
              </w:rPr>
              <w:t xml:space="preserve">Strong</w:t>
            </w:r>
          </w:p>
        </w:tc>
        <w:tc>
          <w:tcPr>
            <w:tcW w:type="dxa" w:w="4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475569"/>
                <w:sz w:val="20"/>
                <w:szCs w:val="20"/>
              </w:rPr>
              <w:t xml:space="preserve">Comparison column on How It Works is rare and effective</w:t>
            </w:r>
          </w:p>
        </w:tc>
      </w:tr>
      <w:tr>
        <w:tc>
          <w:tcPr>
            <w:tcW w:type="dxa" w:w="3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bCs/>
                <w:color w:val="1F2937"/>
                <w:sz w:val="20"/>
                <w:szCs w:val="20"/>
              </w:rPr>
              <w:t xml:space="preserve">Closing CTA urgency</w:t>
            </w:r>
          </w:p>
        </w:tc>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center"/>
            </w:pPr>
            <w:r>
              <w:rPr>
                <w:rFonts w:ascii="Calibri" w:cs="Calibri" w:eastAsia="Calibri" w:hAnsi="Calibri"/>
                <w:b/>
                <w:bCs/>
                <w:color w:val="047857"/>
                <w:sz w:val="20"/>
                <w:szCs w:val="20"/>
              </w:rPr>
              <w:t xml:space="preserve">Strong</w:t>
            </w:r>
          </w:p>
        </w:tc>
        <w:tc>
          <w:tcPr>
            <w:tcW w:type="dxa" w:w="41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475569"/>
                <w:sz w:val="20"/>
                <w:szCs w:val="20"/>
              </w:rPr>
              <w:t xml:space="preserve">"Your regulators are asking..." line is sharp</w:t>
            </w:r>
          </w:p>
        </w:tc>
      </w:tr>
    </w:tbl>
    <w:p>
      <w:pPr>
        <w:pStyle w:val="Heading1"/>
        <w:pageBreakBefore/>
        <w:spacing w:after="200" w:before="360"/>
      </w:pPr>
      <w:r>
        <w:rPr>
          <w:rFonts w:ascii="Calibri" w:cs="Calibri" w:eastAsia="Calibri" w:hAnsi="Calibri"/>
          <w:b/>
          <w:bCs/>
          <w:color w:val="0B1220"/>
          <w:sz w:val="36"/>
          <w:szCs w:val="36"/>
        </w:rPr>
        <w:t xml:space="preserve">Technical and performance</w:t>
      </w:r>
    </w:p>
    <w:p>
      <w:pPr>
        <w:pBdr>
          <w:bottom w:val="single" w:color="4F46E5" w:sz="6" w:space="1"/>
        </w:pBdr>
        <w:spacing w:after="160" w:before="80"/>
      </w:pPr>
      <w:r>
        <w:rPr>
          <w:rFonts w:ascii="Calibri" w:cs="Calibri" w:eastAsia="Calibri" w:hAnsi="Calibri"/>
          <w:sz w:val="2"/>
          <w:szCs w:val="2"/>
        </w:rPr>
        <w:t xml:space="preserve"/>
      </w:r>
    </w:p>
    <w:p>
      <w:pPr>
        <w:pStyle w:val="Heading2"/>
        <w:spacing w:after="140" w:before="280"/>
      </w:pPr>
      <w:r>
        <w:rPr>
          <w:rFonts w:ascii="Calibri" w:cs="Calibri" w:eastAsia="Calibri" w:hAnsi="Calibri"/>
          <w:b/>
          <w:bCs/>
          <w:color w:val="0B1220"/>
          <w:sz w:val="28"/>
          <w:szCs w:val="28"/>
        </w:rPr>
        <w:t xml:space="preserve">Core Web Vitals surrogates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rPr>
          <w:tblHeader/>
        </w:trPr>
        <w:tc>
          <w:tcPr>
            <w:tcW w:type="dxa" w:w="3200"/>
            <w:tcBorders>
              <w:top w:val="single" w:color="CBD5E1" w:sz="4"/>
              <w:left w:val="single" w:color="CBD5E1" w:sz="4"/>
              <w:bottom w:val="single" w:color="CBD5E1" w:sz="4"/>
              <w:right w:val="single" w:color="CBD5E1" w:sz="4"/>
            </w:tcBorders>
            <w:shd w:fill="EEF2FF" w:val="clear"/>
            <w:tcMar>
              <w:top w:type="dxa" w:w="100"/>
              <w:left w:type="dxa" w:w="140"/>
              <w:bottom w:type="dxa" w:w="100"/>
              <w:right w:type="dxa" w:w="140"/>
            </w:tcMar>
          </w:tcPr>
          <w:p>
            <w:pPr>
              <w:spacing w:after="20" w:before="20" w:line="260"/>
              <w:jc w:val="left"/>
            </w:pPr>
            <w:r>
              <w:rPr>
                <w:rFonts w:ascii="Calibri" w:cs="Calibri" w:eastAsia="Calibri" w:hAnsi="Calibri"/>
                <w:b/>
                <w:bCs/>
                <w:color w:val="0B1220"/>
                <w:sz w:val="20"/>
                <w:szCs w:val="20"/>
              </w:rPr>
              <w:t xml:space="preserve">Metric</w:t>
            </w:r>
          </w:p>
        </w:tc>
        <w:tc>
          <w:tcPr>
            <w:tcW w:type="dxa" w:w="2000"/>
            <w:tcBorders>
              <w:top w:val="single" w:color="CBD5E1" w:sz="4"/>
              <w:left w:val="single" w:color="CBD5E1" w:sz="4"/>
              <w:bottom w:val="single" w:color="CBD5E1" w:sz="4"/>
              <w:right w:val="single" w:color="CBD5E1" w:sz="4"/>
            </w:tcBorders>
            <w:shd w:fill="EEF2FF" w:val="clear"/>
            <w:tcMar>
              <w:top w:type="dxa" w:w="100"/>
              <w:left w:type="dxa" w:w="140"/>
              <w:bottom w:type="dxa" w:w="100"/>
              <w:right w:type="dxa" w:w="140"/>
            </w:tcMar>
          </w:tcPr>
          <w:p>
            <w:pPr>
              <w:spacing w:after="20" w:before="20" w:line="260"/>
              <w:jc w:val="center"/>
            </w:pPr>
            <w:r>
              <w:rPr>
                <w:rFonts w:ascii="Calibri" w:cs="Calibri" w:eastAsia="Calibri" w:hAnsi="Calibri"/>
                <w:b/>
                <w:bCs/>
                <w:color w:val="0B1220"/>
                <w:sz w:val="20"/>
                <w:szCs w:val="20"/>
              </w:rPr>
              <w:t xml:space="preserve">Intellios</w:t>
            </w:r>
          </w:p>
        </w:tc>
        <w:tc>
          <w:tcPr>
            <w:tcW w:type="dxa" w:w="2000"/>
            <w:tcBorders>
              <w:top w:val="single" w:color="CBD5E1" w:sz="4"/>
              <w:left w:val="single" w:color="CBD5E1" w:sz="4"/>
              <w:bottom w:val="single" w:color="CBD5E1" w:sz="4"/>
              <w:right w:val="single" w:color="CBD5E1" w:sz="4"/>
            </w:tcBorders>
            <w:shd w:fill="EEF2FF" w:val="clear"/>
            <w:tcMar>
              <w:top w:type="dxa" w:w="100"/>
              <w:left w:type="dxa" w:w="140"/>
              <w:bottom w:type="dxa" w:w="100"/>
              <w:right w:type="dxa" w:w="140"/>
            </w:tcMar>
          </w:tcPr>
          <w:p>
            <w:pPr>
              <w:spacing w:after="20" w:before="20" w:line="260"/>
              <w:jc w:val="center"/>
            </w:pPr>
            <w:r>
              <w:rPr>
                <w:rFonts w:ascii="Calibri" w:cs="Calibri" w:eastAsia="Calibri" w:hAnsi="Calibri"/>
                <w:b/>
                <w:bCs/>
                <w:color w:val="0B1220"/>
                <w:sz w:val="20"/>
                <w:szCs w:val="20"/>
              </w:rPr>
              <w:t xml:space="preserve">Good threshold</w:t>
            </w:r>
          </w:p>
        </w:tc>
        <w:tc>
          <w:tcPr>
            <w:tcW w:type="dxa" w:w="2160"/>
            <w:tcBorders>
              <w:top w:val="single" w:color="CBD5E1" w:sz="4"/>
              <w:left w:val="single" w:color="CBD5E1" w:sz="4"/>
              <w:bottom w:val="single" w:color="CBD5E1" w:sz="4"/>
              <w:right w:val="single" w:color="CBD5E1" w:sz="4"/>
            </w:tcBorders>
            <w:shd w:fill="EEF2FF" w:val="clear"/>
            <w:tcMar>
              <w:top w:type="dxa" w:w="100"/>
              <w:left w:type="dxa" w:w="140"/>
              <w:bottom w:type="dxa" w:w="100"/>
              <w:right w:type="dxa" w:w="140"/>
            </w:tcMar>
          </w:tcPr>
          <w:p>
            <w:pPr>
              <w:spacing w:after="20" w:before="20" w:line="260"/>
              <w:jc w:val="left"/>
            </w:pPr>
            <w:r>
              <w:rPr>
                <w:rFonts w:ascii="Calibri" w:cs="Calibri" w:eastAsia="Calibri" w:hAnsi="Calibri"/>
                <w:b/>
                <w:bCs/>
                <w:color w:val="0B1220"/>
                <w:sz w:val="20"/>
                <w:szCs w:val="20"/>
              </w:rPr>
              <w:t xml:space="preserve">Verdict</w:t>
            </w:r>
          </w:p>
        </w:tc>
      </w:tr>
      <w:tr>
        <w:tc>
          <w:tcPr>
            <w:tcW w:type="dxa" w:w="3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bCs/>
                <w:color w:val="1F2937"/>
                <w:sz w:val="20"/>
                <w:szCs w:val="20"/>
              </w:rPr>
              <w:t xml:space="preserve">Time to First Byte (TTFB)</w:t>
            </w:r>
          </w:p>
        </w:tc>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center"/>
            </w:pPr>
            <w:r>
              <w:rPr>
                <w:rFonts w:ascii="Calibri" w:cs="Calibri" w:eastAsia="Calibri" w:hAnsi="Calibri"/>
                <w:b w:val="false"/>
                <w:bCs w:val="false"/>
                <w:color w:val="1F2937"/>
                <w:sz w:val="20"/>
                <w:szCs w:val="20"/>
              </w:rPr>
              <w:t xml:space="preserve">229 ms</w:t>
            </w:r>
          </w:p>
        </w:tc>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center"/>
            </w:pPr>
            <w:r>
              <w:rPr>
                <w:rFonts w:ascii="Calibri" w:cs="Calibri" w:eastAsia="Calibri" w:hAnsi="Calibri"/>
                <w:b w:val="false"/>
                <w:bCs w:val="false"/>
                <w:color w:val="475569"/>
                <w:sz w:val="20"/>
                <w:szCs w:val="20"/>
              </w:rPr>
              <w:t xml:space="preserve">&lt; 800 ms</w:t>
            </w:r>
          </w:p>
        </w:tc>
        <w:tc>
          <w:tcPr>
            <w:tcW w:type="dxa" w:w="2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bCs/>
                <w:color w:val="047857"/>
                <w:sz w:val="20"/>
                <w:szCs w:val="20"/>
              </w:rPr>
              <w:t xml:space="preserve">Good</w:t>
            </w:r>
          </w:p>
        </w:tc>
      </w:tr>
      <w:tr>
        <w:tc>
          <w:tcPr>
            <w:tcW w:type="dxa" w:w="3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bCs/>
                <w:color w:val="1F2937"/>
                <w:sz w:val="20"/>
                <w:szCs w:val="20"/>
              </w:rPr>
              <w:t xml:space="preserve">DOMContentLoaded</w:t>
            </w:r>
          </w:p>
        </w:tc>
        <w:tc>
          <w:tcPr>
            <w:tcW w:type="dxa" w:w="2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center"/>
            </w:pPr>
            <w:r>
              <w:rPr>
                <w:rFonts w:ascii="Calibri" w:cs="Calibri" w:eastAsia="Calibri" w:hAnsi="Calibri"/>
                <w:b w:val="false"/>
                <w:bCs w:val="false"/>
                <w:color w:val="1F2937"/>
                <w:sz w:val="20"/>
                <w:szCs w:val="20"/>
              </w:rPr>
              <w:t xml:space="preserve">732 ms</w:t>
            </w:r>
          </w:p>
        </w:tc>
        <w:tc>
          <w:tcPr>
            <w:tcW w:type="dxa" w:w="2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center"/>
            </w:pPr>
            <w:r>
              <w:rPr>
                <w:rFonts w:ascii="Calibri" w:cs="Calibri" w:eastAsia="Calibri" w:hAnsi="Calibri"/>
                <w:b w:val="false"/>
                <w:bCs w:val="false"/>
                <w:color w:val="475569"/>
                <w:sz w:val="20"/>
                <w:szCs w:val="20"/>
              </w:rPr>
              <w:t xml:space="preserve">&lt; 1500 ms</w:t>
            </w:r>
          </w:p>
        </w:tc>
        <w:tc>
          <w:tcPr>
            <w:tcW w:type="dxa" w:w="21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bCs/>
                <w:color w:val="047857"/>
                <w:sz w:val="20"/>
                <w:szCs w:val="20"/>
              </w:rPr>
              <w:t xml:space="preserve">Good</w:t>
            </w:r>
          </w:p>
        </w:tc>
      </w:tr>
      <w:tr>
        <w:tc>
          <w:tcPr>
            <w:tcW w:type="dxa" w:w="3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bCs/>
                <w:color w:val="1F2937"/>
                <w:sz w:val="20"/>
                <w:szCs w:val="20"/>
              </w:rPr>
              <w:t xml:space="preserve">Load complete</w:t>
            </w:r>
          </w:p>
        </w:tc>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center"/>
            </w:pPr>
            <w:r>
              <w:rPr>
                <w:rFonts w:ascii="Calibri" w:cs="Calibri" w:eastAsia="Calibri" w:hAnsi="Calibri"/>
                <w:b w:val="false"/>
                <w:bCs w:val="false"/>
                <w:color w:val="1F2937"/>
                <w:sz w:val="20"/>
                <w:szCs w:val="20"/>
              </w:rPr>
              <w:t xml:space="preserve">977 ms</w:t>
            </w:r>
          </w:p>
        </w:tc>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center"/>
            </w:pPr>
            <w:r>
              <w:rPr>
                <w:rFonts w:ascii="Calibri" w:cs="Calibri" w:eastAsia="Calibri" w:hAnsi="Calibri"/>
                <w:b w:val="false"/>
                <w:bCs w:val="false"/>
                <w:color w:val="475569"/>
                <w:sz w:val="20"/>
                <w:szCs w:val="20"/>
              </w:rPr>
              <w:t xml:space="preserve">&lt; 2500 ms</w:t>
            </w:r>
          </w:p>
        </w:tc>
        <w:tc>
          <w:tcPr>
            <w:tcW w:type="dxa" w:w="2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bCs/>
                <w:color w:val="047857"/>
                <w:sz w:val="20"/>
                <w:szCs w:val="20"/>
              </w:rPr>
              <w:t xml:space="preserve">Good</w:t>
            </w:r>
          </w:p>
        </w:tc>
      </w:tr>
      <w:tr>
        <w:tc>
          <w:tcPr>
            <w:tcW w:type="dxa" w:w="3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bCs/>
                <w:color w:val="1F2937"/>
                <w:sz w:val="20"/>
                <w:szCs w:val="20"/>
              </w:rPr>
              <w:t xml:space="preserve">Hero paint start</w:t>
            </w:r>
          </w:p>
        </w:tc>
        <w:tc>
          <w:tcPr>
            <w:tcW w:type="dxa" w:w="2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center"/>
            </w:pPr>
            <w:r>
              <w:rPr>
                <w:rFonts w:ascii="Calibri" w:cs="Calibri" w:eastAsia="Calibri" w:hAnsi="Calibri"/>
                <w:b w:val="false"/>
                <w:bCs w:val="false"/>
                <w:color w:val="1F2937"/>
                <w:sz w:val="20"/>
                <w:szCs w:val="20"/>
              </w:rPr>
              <w:t xml:space="preserve">~4,592 ms</w:t>
            </w:r>
          </w:p>
        </w:tc>
        <w:tc>
          <w:tcPr>
            <w:tcW w:type="dxa" w:w="2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center"/>
            </w:pPr>
            <w:r>
              <w:rPr>
                <w:rFonts w:ascii="Calibri" w:cs="Calibri" w:eastAsia="Calibri" w:hAnsi="Calibri"/>
                <w:b w:val="false"/>
                <w:bCs w:val="false"/>
                <w:color w:val="475569"/>
                <w:sz w:val="20"/>
                <w:szCs w:val="20"/>
              </w:rPr>
              <w:t xml:space="preserve">&lt; 2500 ms</w:t>
            </w:r>
          </w:p>
        </w:tc>
        <w:tc>
          <w:tcPr>
            <w:tcW w:type="dxa" w:w="21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bCs/>
                <w:color w:val="B91C1C"/>
                <w:sz w:val="20"/>
                <w:szCs w:val="20"/>
              </w:rPr>
              <w:t xml:space="preserve">Fail</w:t>
            </w:r>
          </w:p>
        </w:tc>
      </w:tr>
      <w:tr>
        <w:tc>
          <w:tcPr>
            <w:tcW w:type="dxa" w:w="3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bCs/>
                <w:color w:val="1F2937"/>
                <w:sz w:val="20"/>
                <w:szCs w:val="20"/>
              </w:rPr>
              <w:t xml:space="preserve">Largest Contentful Paint (hero)</w:t>
            </w:r>
          </w:p>
        </w:tc>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center"/>
            </w:pPr>
            <w:r>
              <w:rPr>
                <w:rFonts w:ascii="Calibri" w:cs="Calibri" w:eastAsia="Calibri" w:hAnsi="Calibri"/>
                <w:b w:val="false"/>
                <w:bCs w:val="false"/>
                <w:color w:val="1F2937"/>
                <w:sz w:val="20"/>
                <w:szCs w:val="20"/>
              </w:rPr>
              <w:t xml:space="preserve">~4,592 ms</w:t>
            </w:r>
          </w:p>
        </w:tc>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center"/>
            </w:pPr>
            <w:r>
              <w:rPr>
                <w:rFonts w:ascii="Calibri" w:cs="Calibri" w:eastAsia="Calibri" w:hAnsi="Calibri"/>
                <w:b w:val="false"/>
                <w:bCs w:val="false"/>
                <w:color w:val="475569"/>
                <w:sz w:val="20"/>
                <w:szCs w:val="20"/>
              </w:rPr>
              <w:t xml:space="preserve">&lt; 2500 ms</w:t>
            </w:r>
          </w:p>
        </w:tc>
        <w:tc>
          <w:tcPr>
            <w:tcW w:type="dxa" w:w="2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bCs/>
                <w:color w:val="B91C1C"/>
                <w:sz w:val="20"/>
                <w:szCs w:val="20"/>
              </w:rPr>
              <w:t xml:space="preserve">Fail</w:t>
            </w:r>
          </w:p>
        </w:tc>
      </w:tr>
      <w:tr>
        <w:tc>
          <w:tcPr>
            <w:tcW w:type="dxa" w:w="3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bCs/>
                <w:color w:val="1F2937"/>
                <w:sz w:val="20"/>
                <w:szCs w:val="20"/>
              </w:rPr>
              <w:t xml:space="preserve">Reveal elements at opacity 0 on load</w:t>
            </w:r>
          </w:p>
        </w:tc>
        <w:tc>
          <w:tcPr>
            <w:tcW w:type="dxa" w:w="2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center"/>
            </w:pPr>
            <w:r>
              <w:rPr>
                <w:rFonts w:ascii="Calibri" w:cs="Calibri" w:eastAsia="Calibri" w:hAnsi="Calibri"/>
                <w:b w:val="false"/>
                <w:bCs w:val="false"/>
                <w:color w:val="1F2937"/>
                <w:sz w:val="20"/>
                <w:szCs w:val="20"/>
              </w:rPr>
              <w:t xml:space="preserve">54</w:t>
            </w:r>
          </w:p>
        </w:tc>
        <w:tc>
          <w:tcPr>
            <w:tcW w:type="dxa" w:w="2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center"/>
            </w:pPr>
            <w:r>
              <w:rPr>
                <w:rFonts w:ascii="Calibri" w:cs="Calibri" w:eastAsia="Calibri" w:hAnsi="Calibri"/>
                <w:b w:val="false"/>
                <w:bCs w:val="false"/>
                <w:color w:val="475569"/>
                <w:sz w:val="20"/>
                <w:szCs w:val="20"/>
              </w:rPr>
              <w:t xml:space="preserve">n/a</w:t>
            </w:r>
          </w:p>
        </w:tc>
        <w:tc>
          <w:tcPr>
            <w:tcW w:type="dxa" w:w="21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475569"/>
                <w:sz w:val="20"/>
                <w:szCs w:val="20"/>
              </w:rPr>
              <w:t xml:space="preserve">Root cause</w:t>
            </w:r>
          </w:p>
        </w:tc>
      </w:tr>
    </w:tbl>
    <w:p>
      <w:pPr>
        <w:pStyle w:val="Heading2"/>
        <w:spacing w:after="140" w:before="280"/>
      </w:pPr>
      <w:r>
        <w:rPr>
          <w:rFonts w:ascii="Calibri" w:cs="Calibri" w:eastAsia="Calibri" w:hAnsi="Calibri"/>
          <w:b/>
          <w:bCs/>
          <w:color w:val="0B1220"/>
          <w:sz w:val="28"/>
          <w:szCs w:val="28"/>
        </w:rPr>
        <w:t xml:space="preserve">What the numbers mean</w:t>
      </w:r>
    </w:p>
    <w:p>
      <w:pPr>
        <w:spacing w:after="120" w:before="80" w:line="300"/>
      </w:pPr>
      <w:r>
        <w:rPr>
          <w:rFonts w:ascii="Calibri" w:cs="Calibri" w:eastAsia="Calibri" w:hAnsi="Calibri"/>
          <w:color w:val="1F2937"/>
          <w:sz w:val="22"/>
          <w:szCs w:val="22"/>
        </w:rPr>
        <w:t xml:space="preserve">DOMContentLoaded and load complete times are both sub-second, which means the server and the JS bundle are healthy. TTFB at 229ms suggests Vercel (or comparable) edge hosting is working well. The problem is concentrated at the hero paint layer: the navbar paints early (FCP is fine), but the hero — which is the largest contentful element on the page and therefore the metric users actually notice — is gated by a client-side opacity transition that fires after hydration. That pushes LCP well past what any modern marketing site should ship. For reference, Stripe’s marketing pages LCP in roughly 1 second, Linear in roughly 0.8 seconds, Vercel itself in roughly 1.2 seconds. Intellios is 3–4x slower than category expectation on LCP even though the underlying infrastructure is not the bottleneck.</w:t>
      </w:r>
    </w:p>
    <w:p>
      <w:pPr>
        <w:spacing w:after="120" w:before="80" w:line="300"/>
      </w:pPr>
      <w:r>
        <w:rPr>
          <w:rFonts w:ascii="Calibri" w:cs="Calibri" w:eastAsia="Calibri" w:hAnsi="Calibri"/>
          <w:color w:val="1F2937"/>
          <w:sz w:val="22"/>
          <w:szCs w:val="22"/>
        </w:rPr>
        <w:t xml:space="preserve">The proximate cause is the reveal animation system. Fifty-four .reveal elements load with opacity: 0 and transform: translateY(...) and rely on an IntersectionObserver to add a .revealed class that transitions them in over 600ms. Because the observer fires only after React hydration completes and after the browser has calculated layout, the first few hundred milliseconds of the page are blank by design. The browser dutifully reports this as "first paint" only when something meaningful actually appears.</w:t>
      </w:r>
    </w:p>
    <w:p>
      <w:pPr>
        <w:spacing w:after="120" w:before="80" w:line="300"/>
      </w:pPr>
      <w:r>
        <w:rPr>
          <w:rFonts w:ascii="Calibri" w:cs="Calibri" w:eastAsia="Calibri" w:hAnsi="Calibri"/>
          <w:color w:val="1F2937"/>
          <w:sz w:val="22"/>
          <w:szCs w:val="22"/>
        </w:rPr>
        <w:t xml:space="preserve">There are three defensible fixes, ordered by shipping speed:</w:t>
      </w:r>
    </w:p>
    <w:p>
      <w:pPr>
        <w:pStyle w:val="ListParagraph"/>
        <w:numPr>
          <w:ilvl w:val="0"/>
          <w:numId w:val="2"/>
        </w:numPr>
        <w:spacing w:after="40" w:before="40" w:line="280"/>
      </w:pPr>
      <w:r>
        <w:rPr>
          <w:rFonts w:ascii="Calibri" w:cs="Calibri" w:eastAsia="Calibri" w:hAnsi="Calibri"/>
          <w:b/>
          <w:bCs/>
          <w:color w:val="1F2937"/>
          <w:sz w:val="22"/>
          <w:szCs w:val="22"/>
        </w:rPr>
        <w:t xml:space="preserve">(a) Static fallback. </w:t>
      </w:r>
      <w:r>
        <w:rPr>
          <w:rFonts w:ascii="Calibri" w:cs="Calibri" w:eastAsia="Calibri" w:hAnsi="Calibri"/>
          <w:color w:val="1F2937"/>
          <w:sz w:val="22"/>
          <w:szCs w:val="22"/>
        </w:rPr>
        <w:t xml:space="preserve">Render the hero content at full opacity in initial server-side HTML, and only apply the reveal animation to elements that enter the viewport after the initial paint. This gives you the animation for the delightful parts of the page without the paint penalty. Effort: 2–4 hours.</w:t>
      </w:r>
    </w:p>
    <w:p>
      <w:pPr>
        <w:pStyle w:val="ListParagraph"/>
        <w:numPr>
          <w:ilvl w:val="0"/>
          <w:numId w:val="2"/>
        </w:numPr>
        <w:spacing w:after="40" w:before="40" w:line="280"/>
      </w:pPr>
      <w:r>
        <w:rPr>
          <w:rFonts w:ascii="Calibri" w:cs="Calibri" w:eastAsia="Calibri" w:hAnsi="Calibri"/>
          <w:b/>
          <w:bCs/>
          <w:color w:val="1F2937"/>
          <w:sz w:val="22"/>
          <w:szCs w:val="22"/>
        </w:rPr>
        <w:t xml:space="preserve">(b) prefers-reduced-motion default. </w:t>
      </w:r>
      <w:r>
        <w:rPr>
          <w:rFonts w:ascii="Calibri" w:cs="Calibri" w:eastAsia="Calibri" w:hAnsi="Calibri"/>
          <w:color w:val="1F2937"/>
          <w:sz w:val="22"/>
          <w:szCs w:val="22"/>
        </w:rPr>
        <w:t xml:space="preserve">The page already honors prefers-reduced-motion with a @media block. Extend that logic to always render the initial viewport's reveals as already-revealed, regardless of the user preference. Effort: 1–2 hours.</w:t>
      </w:r>
    </w:p>
    <w:p>
      <w:pPr>
        <w:pStyle w:val="ListParagraph"/>
        <w:numPr>
          <w:ilvl w:val="0"/>
          <w:numId w:val="2"/>
        </w:numPr>
        <w:spacing w:after="40" w:before="40" w:line="280"/>
      </w:pPr>
      <w:r>
        <w:rPr>
          <w:rFonts w:ascii="Calibri" w:cs="Calibri" w:eastAsia="Calibri" w:hAnsi="Calibri"/>
          <w:b/>
          <w:bCs/>
          <w:color w:val="1F2937"/>
          <w:sz w:val="22"/>
          <w:szCs w:val="22"/>
        </w:rPr>
        <w:t xml:space="preserve">(c) Observer rootMargin. </w:t>
      </w:r>
      <w:r>
        <w:rPr>
          <w:rFonts w:ascii="Calibri" w:cs="Calibri" w:eastAsia="Calibri" w:hAnsi="Calibri"/>
          <w:color w:val="1F2937"/>
          <w:sz w:val="22"/>
          <w:szCs w:val="22"/>
        </w:rPr>
        <w:t xml:space="preserve">Set the IntersectionObserver rootMargin to something aggressive like "0px 0px 200% 0px" so everything in the first ~3 viewports is considered "intersecting" immediately on observe(). Effort: 30 minutes. Downside: the whole page animates at once on load, which may feel chaotic.</w:t>
      </w:r>
    </w:p>
    <w:p>
      <w:pPr>
        <w:spacing w:after="120" w:before="80" w:line="300"/>
      </w:pPr>
      <w:r>
        <w:rPr>
          <w:rFonts w:ascii="Calibri" w:cs="Calibri" w:eastAsia="Calibri" w:hAnsi="Calibri"/>
          <w:color w:val="1F2937"/>
          <w:sz w:val="22"/>
          <w:szCs w:val="22"/>
        </w:rPr>
        <w:t xml:space="preserve">Recommendation: ship (a) + (b) together.</w:t>
      </w:r>
    </w:p>
    <w:p>
      <w:pPr>
        <w:pStyle w:val="Heading2"/>
        <w:spacing w:after="140" w:before="280"/>
      </w:pPr>
      <w:r>
        <w:rPr>
          <w:rFonts w:ascii="Calibri" w:cs="Calibri" w:eastAsia="Calibri" w:hAnsi="Calibri"/>
          <w:b/>
          <w:bCs/>
          <w:color w:val="0B1220"/>
          <w:sz w:val="28"/>
          <w:szCs w:val="28"/>
        </w:rPr>
        <w:t xml:space="preserve">Accessibility</w:t>
      </w:r>
    </w:p>
    <w:p>
      <w:pPr>
        <w:spacing w:after="120" w:before="80" w:line="300"/>
      </w:pPr>
      <w:r>
        <w:rPr>
          <w:rFonts w:ascii="Calibri" w:cs="Calibri" w:eastAsia="Calibri" w:hAnsi="Calibri"/>
          <w:color w:val="1F2937"/>
          <w:sz w:val="22"/>
          <w:szCs w:val="22"/>
        </w:rPr>
        <w:t xml:space="preserve">Overall the page demonstrates awareness of accessibility concerns: a prefers-reduced-motion media query is present, images (when used) have alt text slots, headings are hierarchical, and there is a single H1. Two specific issues are worth fixing:</w:t>
      </w:r>
    </w:p>
    <w:p>
      <w:pPr>
        <w:pStyle w:val="ListParagraph"/>
        <w:numPr>
          <w:ilvl w:val="0"/>
          <w:numId w:val="2"/>
        </w:numPr>
        <w:spacing w:after="40" w:before="40" w:line="280"/>
      </w:pPr>
      <w:r>
        <w:rPr>
          <w:rFonts w:ascii="Calibri" w:cs="Calibri" w:eastAsia="Calibri" w:hAnsi="Calibri"/>
          <w:b/>
          <w:bCs/>
          <w:color w:val="1F2937"/>
          <w:sz w:val="22"/>
          <w:szCs w:val="22"/>
        </w:rPr>
        <w:t xml:space="preserve">Hero contrast during reveal. </w:t>
      </w:r>
      <w:r>
        <w:rPr>
          <w:rFonts w:ascii="Calibri" w:cs="Calibri" w:eastAsia="Calibri" w:hAnsi="Calibri"/>
          <w:color w:val="1F2937"/>
          <w:sz w:val="22"/>
          <w:szCs w:val="22"/>
        </w:rPr>
        <w:t xml:space="preserve">As noted in the visual section, hero text transitions through a dark-gray-on-dark-navy state that fails WCAG 1.4.3 Contrast Minimum (4.5:1 for normal text). Render initial state at final contrast.</w:t>
      </w:r>
    </w:p>
    <w:p>
      <w:pPr>
        <w:pStyle w:val="ListParagraph"/>
        <w:numPr>
          <w:ilvl w:val="0"/>
          <w:numId w:val="2"/>
        </w:numPr>
        <w:spacing w:after="40" w:before="40" w:line="280"/>
      </w:pPr>
      <w:r>
        <w:rPr>
          <w:rFonts w:ascii="Calibri" w:cs="Calibri" w:eastAsia="Calibri" w:hAnsi="Calibri"/>
          <w:b/>
          <w:bCs/>
          <w:color w:val="1F2937"/>
          <w:sz w:val="22"/>
          <w:szCs w:val="22"/>
        </w:rPr>
        <w:t xml:space="preserve">Decorative icons missing aria-hidden. </w:t>
      </w:r>
      <w:r>
        <w:rPr>
          <w:rFonts w:ascii="Calibri" w:cs="Calibri" w:eastAsia="Calibri" w:hAnsi="Calibri"/>
          <w:color w:val="1F2937"/>
          <w:sz w:val="22"/>
          <w:szCs w:val="22"/>
        </w:rPr>
        <w:t xml:space="preserve">A spot check of the hero SVG did not find aria-hidden on decorative graphics. Screen readers will attempt to announce the inline animation markup ("Claims TriageAgentv2.1 · DraftRisk ScoringAgent..."). Add aria-hidden="true" to the decorative SVG or wrap with role="img" and a single summary aria-label.</w:t>
      </w:r>
    </w:p>
    <w:p>
      <w:pPr>
        <w:pStyle w:val="ListParagraph"/>
        <w:numPr>
          <w:ilvl w:val="0"/>
          <w:numId w:val="2"/>
        </w:numPr>
        <w:spacing w:after="40" w:before="40" w:line="280"/>
      </w:pPr>
      <w:r>
        <w:rPr>
          <w:rFonts w:ascii="Calibri" w:cs="Calibri" w:eastAsia="Calibri" w:hAnsi="Calibri"/>
          <w:b/>
          <w:bCs/>
          <w:color w:val="1F2937"/>
          <w:sz w:val="22"/>
          <w:szCs w:val="22"/>
        </w:rPr>
        <w:t xml:space="preserve">FAQ accordion semantics. </w:t>
      </w:r>
      <w:r>
        <w:rPr>
          <w:rFonts w:ascii="Calibri" w:cs="Calibri" w:eastAsia="Calibri" w:hAnsi="Calibri"/>
          <w:color w:val="1F2937"/>
          <w:sz w:val="22"/>
          <w:szCs w:val="22"/>
        </w:rPr>
        <w:t xml:space="preserve">If the FAQ is built with &lt;details&gt;/&lt;summary&gt;, it is accessible by default. If it is a custom &lt;div&gt;-based accordion, verify aria-expanded toggling and keyboard (Enter/Space) activation.</w:t>
      </w:r>
    </w:p>
    <w:p>
      <w:pPr>
        <w:pStyle w:val="Heading2"/>
        <w:spacing w:after="140" w:before="280"/>
      </w:pPr>
      <w:r>
        <w:rPr>
          <w:rFonts w:ascii="Calibri" w:cs="Calibri" w:eastAsia="Calibri" w:hAnsi="Calibri"/>
          <w:b/>
          <w:bCs/>
          <w:color w:val="0B1220"/>
          <w:sz w:val="28"/>
          <w:szCs w:val="28"/>
        </w:rPr>
        <w:t xml:space="preserve">SEO and discoverability</w:t>
      </w:r>
    </w:p>
    <w:p>
      <w:pPr>
        <w:spacing w:after="120" w:before="80" w:line="300"/>
      </w:pPr>
      <w:r>
        <w:rPr>
          <w:rFonts w:ascii="Calibri" w:cs="Calibri" w:eastAsia="Calibri" w:hAnsi="Calibri"/>
          <w:color w:val="1F2937"/>
          <w:sz w:val="22"/>
          <w:szCs w:val="22"/>
        </w:rPr>
        <w:t xml:space="preserve">The page is well-configured for organic reach and LLM citation:</w:t>
      </w:r>
    </w:p>
    <w:p>
      <w:pPr>
        <w:pStyle w:val="ListParagraph"/>
        <w:numPr>
          <w:ilvl w:val="0"/>
          <w:numId w:val="2"/>
        </w:numPr>
        <w:spacing w:after="40" w:before="40" w:line="280"/>
      </w:pPr>
      <w:r>
        <w:rPr>
          <w:rFonts w:ascii="Calibri" w:cs="Calibri" w:eastAsia="Calibri" w:hAnsi="Calibri"/>
          <w:color w:val="1F2937"/>
          <w:sz w:val="22"/>
          <w:szCs w:val="22"/>
        </w:rPr>
        <w:t xml:space="preserve">Single H1, 9 H2s, 17 H3s — clean, hierarchical, easy to crawl.</w:t>
      </w:r>
    </w:p>
    <w:p>
      <w:pPr>
        <w:pStyle w:val="ListParagraph"/>
        <w:numPr>
          <w:ilvl w:val="0"/>
          <w:numId w:val="2"/>
        </w:numPr>
        <w:spacing w:after="40" w:before="40" w:line="280"/>
      </w:pPr>
      <w:r>
        <w:rPr>
          <w:rFonts w:ascii="Calibri" w:cs="Calibri" w:eastAsia="Calibri" w:hAnsi="Calibri"/>
          <w:color w:val="1F2937"/>
          <w:sz w:val="22"/>
          <w:szCs w:val="22"/>
        </w:rPr>
        <w:t xml:space="preserve">Three schema.org JSON-LD blocks: Organization, SoftwareApplication, FAQPage. This is best-practice and will help both Google Rich Results and LLM citations.</w:t>
      </w:r>
    </w:p>
    <w:p>
      <w:pPr>
        <w:pStyle w:val="ListParagraph"/>
        <w:numPr>
          <w:ilvl w:val="0"/>
          <w:numId w:val="2"/>
        </w:numPr>
        <w:spacing w:after="40" w:before="40" w:line="280"/>
      </w:pPr>
      <w:r>
        <w:rPr>
          <w:rFonts w:ascii="Calibri" w:cs="Calibri" w:eastAsia="Calibri" w:hAnsi="Calibri"/>
          <w:color w:val="1F2937"/>
          <w:sz w:val="22"/>
          <w:szCs w:val="22"/>
        </w:rPr>
        <w:t xml:space="preserve">Meta description is 264 characters (slightly over Google's ~160-char display limit but fine as a longer summary for other crawlers).</w:t>
      </w:r>
    </w:p>
    <w:p>
      <w:pPr>
        <w:pStyle w:val="ListParagraph"/>
        <w:numPr>
          <w:ilvl w:val="0"/>
          <w:numId w:val="2"/>
        </w:numPr>
        <w:spacing w:after="40" w:before="40" w:line="280"/>
      </w:pPr>
      <w:r>
        <w:rPr>
          <w:rFonts w:ascii="Calibri" w:cs="Calibri" w:eastAsia="Calibri" w:hAnsi="Calibri"/>
          <w:color w:val="1F2937"/>
          <w:sz w:val="22"/>
          <w:szCs w:val="22"/>
        </w:rPr>
        <w:t xml:space="preserve">OG title, OG image, and Twitter card (summary_large_image) are all present. OG image is hosted at intellios.app/og-image.png.</w:t>
      </w:r>
    </w:p>
    <w:p>
      <w:pPr>
        <w:pStyle w:val="ListParagraph"/>
        <w:numPr>
          <w:ilvl w:val="0"/>
          <w:numId w:val="2"/>
        </w:numPr>
        <w:spacing w:after="40" w:before="40" w:line="280"/>
      </w:pPr>
      <w:r>
        <w:rPr>
          <w:rFonts w:ascii="Calibri" w:cs="Calibri" w:eastAsia="Calibri" w:hAnsi="Calibri"/>
          <w:color w:val="1F2937"/>
          <w:sz w:val="22"/>
          <w:szCs w:val="22"/>
        </w:rPr>
        <w:t xml:space="preserve">robots: "index, follow" is correctly set for a public marketing page.</w:t>
      </w:r>
    </w:p>
    <w:p>
      <w:pPr>
        <w:spacing w:after="120" w:before="80" w:line="300"/>
      </w:pPr>
      <w:r>
        <w:rPr>
          <w:rFonts w:ascii="Calibri" w:cs="Calibri" w:eastAsia="Calibri" w:hAnsi="Calibri"/>
          <w:color w:val="1F2937"/>
          <w:sz w:val="22"/>
          <w:szCs w:val="22"/>
        </w:rPr>
        <w:t xml:space="preserve">Gaps to close:</w:t>
      </w:r>
    </w:p>
    <w:p>
      <w:pPr>
        <w:pStyle w:val="ListParagraph"/>
        <w:numPr>
          <w:ilvl w:val="0"/>
          <w:numId w:val="2"/>
        </w:numPr>
        <w:spacing w:after="40" w:before="40" w:line="280"/>
      </w:pPr>
      <w:r>
        <w:rPr>
          <w:rFonts w:ascii="Calibri" w:cs="Calibri" w:eastAsia="Calibri" w:hAnsi="Calibri"/>
          <w:color w:val="1F2937"/>
          <w:sz w:val="22"/>
          <w:szCs w:val="22"/>
        </w:rPr>
        <w:t xml:space="preserve">No blog or /resources path linked from the page, so there is no surface for long-tail SEO around SR 11‑7 templates, EU AI Act deadlines, agent sprawl, etc. These are the exact queries your ideal buyer is running into a search engine or an LLM right now.</w:t>
      </w:r>
    </w:p>
    <w:p>
      <w:pPr>
        <w:pStyle w:val="ListParagraph"/>
        <w:numPr>
          <w:ilvl w:val="0"/>
          <w:numId w:val="2"/>
        </w:numPr>
        <w:spacing w:after="40" w:before="40" w:line="280"/>
      </w:pPr>
      <w:r>
        <w:rPr>
          <w:rFonts w:ascii="Calibri" w:cs="Calibri" w:eastAsia="Calibri" w:hAnsi="Calibri"/>
          <w:color w:val="1F2937"/>
          <w:sz w:val="22"/>
          <w:szCs w:val="22"/>
        </w:rPr>
        <w:t xml:space="preserve">No sitemap.xml reference in the page metadata (not visible from this client-side audit; worth verifying).</w:t>
      </w:r>
    </w:p>
    <w:p>
      <w:pPr>
        <w:pStyle w:val="ListParagraph"/>
        <w:numPr>
          <w:ilvl w:val="0"/>
          <w:numId w:val="2"/>
        </w:numPr>
        <w:spacing w:after="40" w:before="40" w:line="280"/>
      </w:pPr>
      <w:r>
        <w:rPr>
          <w:rFonts w:ascii="Calibri" w:cs="Calibri" w:eastAsia="Calibri" w:hAnsi="Calibri"/>
          <w:color w:val="1F2937"/>
          <w:sz w:val="22"/>
          <w:szCs w:val="22"/>
        </w:rPr>
        <w:t xml:space="preserve">No hreflang tags; if Intellios is pursuing EU enterprises under the EU AI Act angle, regional alternates would help.</w:t>
      </w:r>
    </w:p>
    <w:p>
      <w:pPr>
        <w:pStyle w:val="Heading2"/>
        <w:spacing w:after="140" w:before="280"/>
      </w:pPr>
      <w:r>
        <w:rPr>
          <w:rFonts w:ascii="Calibri" w:cs="Calibri" w:eastAsia="Calibri" w:hAnsi="Calibri"/>
          <w:b/>
          <w:bCs/>
          <w:color w:val="0B1220"/>
          <w:sz w:val="28"/>
          <w:szCs w:val="28"/>
        </w:rPr>
        <w:t xml:space="preserve">Technical and performance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4160"/>
      </w:tblGrid>
      <w:tr>
        <w:trPr>
          <w:tblHeader/>
        </w:trPr>
        <w:tc>
          <w:tcPr>
            <w:tcW w:type="dxa" w:w="3600"/>
            <w:tcBorders>
              <w:top w:val="single" w:color="CBD5E1" w:sz="4"/>
              <w:left w:val="single" w:color="CBD5E1" w:sz="4"/>
              <w:bottom w:val="single" w:color="CBD5E1" w:sz="4"/>
              <w:right w:val="single" w:color="CBD5E1" w:sz="4"/>
            </w:tcBorders>
            <w:shd w:fill="EEF2FF" w:val="clear"/>
            <w:tcMar>
              <w:top w:type="dxa" w:w="100"/>
              <w:left w:type="dxa" w:w="140"/>
              <w:bottom w:type="dxa" w:w="100"/>
              <w:right w:type="dxa" w:w="140"/>
            </w:tcMar>
          </w:tcPr>
          <w:p>
            <w:pPr>
              <w:spacing w:after="20" w:before="20" w:line="260"/>
              <w:jc w:val="left"/>
            </w:pPr>
            <w:r>
              <w:rPr>
                <w:rFonts w:ascii="Calibri" w:cs="Calibri" w:eastAsia="Calibri" w:hAnsi="Calibri"/>
                <w:b/>
                <w:bCs/>
                <w:color w:val="0B1220"/>
                <w:sz w:val="20"/>
                <w:szCs w:val="20"/>
              </w:rPr>
              <w:t xml:space="preserve">Dimension</w:t>
            </w:r>
          </w:p>
        </w:tc>
        <w:tc>
          <w:tcPr>
            <w:tcW w:type="dxa" w:w="1600"/>
            <w:tcBorders>
              <w:top w:val="single" w:color="CBD5E1" w:sz="4"/>
              <w:left w:val="single" w:color="CBD5E1" w:sz="4"/>
              <w:bottom w:val="single" w:color="CBD5E1" w:sz="4"/>
              <w:right w:val="single" w:color="CBD5E1" w:sz="4"/>
            </w:tcBorders>
            <w:shd w:fill="EEF2FF" w:val="clear"/>
            <w:tcMar>
              <w:top w:type="dxa" w:w="100"/>
              <w:left w:type="dxa" w:w="140"/>
              <w:bottom w:type="dxa" w:w="100"/>
              <w:right w:type="dxa" w:w="140"/>
            </w:tcMar>
          </w:tcPr>
          <w:p>
            <w:pPr>
              <w:spacing w:after="20" w:before="20" w:line="260"/>
              <w:jc w:val="center"/>
            </w:pPr>
            <w:r>
              <w:rPr>
                <w:rFonts w:ascii="Calibri" w:cs="Calibri" w:eastAsia="Calibri" w:hAnsi="Calibri"/>
                <w:b/>
                <w:bCs/>
                <w:color w:val="0B1220"/>
                <w:sz w:val="20"/>
                <w:szCs w:val="20"/>
              </w:rPr>
              <w:t xml:space="preserve">Rating</w:t>
            </w:r>
          </w:p>
        </w:tc>
        <w:tc>
          <w:tcPr>
            <w:tcW w:type="dxa" w:w="4160"/>
            <w:tcBorders>
              <w:top w:val="single" w:color="CBD5E1" w:sz="4"/>
              <w:left w:val="single" w:color="CBD5E1" w:sz="4"/>
              <w:bottom w:val="single" w:color="CBD5E1" w:sz="4"/>
              <w:right w:val="single" w:color="CBD5E1" w:sz="4"/>
            </w:tcBorders>
            <w:shd w:fill="EEF2FF" w:val="clear"/>
            <w:tcMar>
              <w:top w:type="dxa" w:w="100"/>
              <w:left w:type="dxa" w:w="140"/>
              <w:bottom w:type="dxa" w:w="100"/>
              <w:right w:type="dxa" w:w="140"/>
            </w:tcMar>
          </w:tcPr>
          <w:p>
            <w:pPr>
              <w:spacing w:after="20" w:before="20" w:line="260"/>
              <w:jc w:val="left"/>
            </w:pPr>
            <w:r>
              <w:rPr>
                <w:rFonts w:ascii="Calibri" w:cs="Calibri" w:eastAsia="Calibri" w:hAnsi="Calibri"/>
                <w:b/>
                <w:bCs/>
                <w:color w:val="0B1220"/>
                <w:sz w:val="20"/>
                <w:szCs w:val="20"/>
              </w:rPr>
              <w:t xml:space="preserve">Notes</w:t>
            </w:r>
          </w:p>
        </w:tc>
      </w:tr>
      <w:tr>
        <w:tc>
          <w:tcPr>
            <w:tcW w:type="dxa" w:w="3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bCs/>
                <w:color w:val="1F2937"/>
                <w:sz w:val="20"/>
                <w:szCs w:val="20"/>
              </w:rPr>
              <w:t xml:space="preserve">Server / TTFB</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center"/>
            </w:pPr>
            <w:r>
              <w:rPr>
                <w:rFonts w:ascii="Calibri" w:cs="Calibri" w:eastAsia="Calibri" w:hAnsi="Calibri"/>
                <w:b/>
                <w:bCs/>
                <w:color w:val="047857"/>
                <w:sz w:val="20"/>
                <w:szCs w:val="20"/>
              </w:rPr>
              <w:t xml:space="preserve">Strong</w:t>
            </w:r>
          </w:p>
        </w:tc>
        <w:tc>
          <w:tcPr>
            <w:tcW w:type="dxa" w:w="4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475569"/>
                <w:sz w:val="20"/>
                <w:szCs w:val="20"/>
              </w:rPr>
              <w:t xml:space="preserve">229 ms; infrastructure healthy</w:t>
            </w:r>
          </w:p>
        </w:tc>
      </w:tr>
      <w:tr>
        <w:tc>
          <w:tcPr>
            <w:tcW w:type="dxa" w:w="3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bCs/>
                <w:color w:val="1F2937"/>
                <w:sz w:val="20"/>
                <w:szCs w:val="20"/>
              </w:rPr>
              <w:t xml:space="preserve">JS bundle / DOMContentLoaded</w:t>
            </w:r>
          </w:p>
        </w:tc>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center"/>
            </w:pPr>
            <w:r>
              <w:rPr>
                <w:rFonts w:ascii="Calibri" w:cs="Calibri" w:eastAsia="Calibri" w:hAnsi="Calibri"/>
                <w:b/>
                <w:bCs/>
                <w:color w:val="047857"/>
                <w:sz w:val="20"/>
                <w:szCs w:val="20"/>
              </w:rPr>
              <w:t xml:space="preserve">Strong</w:t>
            </w:r>
          </w:p>
        </w:tc>
        <w:tc>
          <w:tcPr>
            <w:tcW w:type="dxa" w:w="41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475569"/>
                <w:sz w:val="20"/>
                <w:szCs w:val="20"/>
              </w:rPr>
              <w:t xml:space="preserve">732 ms; Next.js hydration efficient</w:t>
            </w:r>
          </w:p>
        </w:tc>
      </w:tr>
      <w:tr>
        <w:tc>
          <w:tcPr>
            <w:tcW w:type="dxa" w:w="3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bCs/>
                <w:color w:val="1F2937"/>
                <w:sz w:val="20"/>
                <w:szCs w:val="20"/>
              </w:rPr>
              <w:t xml:space="preserve">Hero LCP</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center"/>
            </w:pPr>
            <w:r>
              <w:rPr>
                <w:rFonts w:ascii="Calibri" w:cs="Calibri" w:eastAsia="Calibri" w:hAnsi="Calibri"/>
                <w:b/>
                <w:bCs/>
                <w:color w:val="B91C1C"/>
                <w:sz w:val="20"/>
                <w:szCs w:val="20"/>
              </w:rPr>
              <w:t xml:space="preserve">Fail</w:t>
            </w:r>
          </w:p>
        </w:tc>
        <w:tc>
          <w:tcPr>
            <w:tcW w:type="dxa" w:w="4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475569"/>
                <w:sz w:val="20"/>
                <w:szCs w:val="20"/>
              </w:rPr>
              <w:t xml:space="preserve">~4.6 s; 3–4x slower than category</w:t>
            </w:r>
          </w:p>
        </w:tc>
      </w:tr>
      <w:tr>
        <w:tc>
          <w:tcPr>
            <w:tcW w:type="dxa" w:w="3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bCs/>
                <w:color w:val="1F2937"/>
                <w:sz w:val="20"/>
                <w:szCs w:val="20"/>
              </w:rPr>
              <w:t xml:space="preserve">Hero type contrast (reveal)</w:t>
            </w:r>
          </w:p>
        </w:tc>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center"/>
            </w:pPr>
            <w:r>
              <w:rPr>
                <w:rFonts w:ascii="Calibri" w:cs="Calibri" w:eastAsia="Calibri" w:hAnsi="Calibri"/>
                <w:b/>
                <w:bCs/>
                <w:color w:val="B91C1C"/>
                <w:sz w:val="20"/>
                <w:szCs w:val="20"/>
              </w:rPr>
              <w:t xml:space="preserve">Fail</w:t>
            </w:r>
          </w:p>
        </w:tc>
        <w:tc>
          <w:tcPr>
            <w:tcW w:type="dxa" w:w="41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475569"/>
                <w:sz w:val="20"/>
                <w:szCs w:val="20"/>
              </w:rPr>
              <w:t xml:space="preserve">Below WCAG AA 4.5:1 during transition</w:t>
            </w:r>
          </w:p>
        </w:tc>
      </w:tr>
      <w:tr>
        <w:tc>
          <w:tcPr>
            <w:tcW w:type="dxa" w:w="3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bCs/>
                <w:color w:val="1F2937"/>
                <w:sz w:val="20"/>
                <w:szCs w:val="20"/>
              </w:rPr>
              <w:t xml:space="preserve">Schema.org markup</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center"/>
            </w:pPr>
            <w:r>
              <w:rPr>
                <w:rFonts w:ascii="Calibri" w:cs="Calibri" w:eastAsia="Calibri" w:hAnsi="Calibri"/>
                <w:b/>
                <w:bCs/>
                <w:color w:val="047857"/>
                <w:sz w:val="20"/>
                <w:szCs w:val="20"/>
              </w:rPr>
              <w:t xml:space="preserve">Strong</w:t>
            </w:r>
          </w:p>
        </w:tc>
        <w:tc>
          <w:tcPr>
            <w:tcW w:type="dxa" w:w="4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475569"/>
                <w:sz w:val="20"/>
                <w:szCs w:val="20"/>
              </w:rPr>
              <w:t xml:space="preserve">Organization + SoftwareApplication + FAQPage present</w:t>
            </w:r>
          </w:p>
        </w:tc>
      </w:tr>
      <w:tr>
        <w:tc>
          <w:tcPr>
            <w:tcW w:type="dxa" w:w="3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bCs/>
                <w:color w:val="1F2937"/>
                <w:sz w:val="20"/>
                <w:szCs w:val="20"/>
              </w:rPr>
              <w:t xml:space="preserve">Open Graph / Twitter card</w:t>
            </w:r>
          </w:p>
        </w:tc>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center"/>
            </w:pPr>
            <w:r>
              <w:rPr>
                <w:rFonts w:ascii="Calibri" w:cs="Calibri" w:eastAsia="Calibri" w:hAnsi="Calibri"/>
                <w:b/>
                <w:bCs/>
                <w:color w:val="047857"/>
                <w:sz w:val="20"/>
                <w:szCs w:val="20"/>
              </w:rPr>
              <w:t xml:space="preserve">Strong</w:t>
            </w:r>
          </w:p>
        </w:tc>
        <w:tc>
          <w:tcPr>
            <w:tcW w:type="dxa" w:w="41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475569"/>
                <w:sz w:val="20"/>
                <w:szCs w:val="20"/>
              </w:rPr>
              <w:t xml:space="preserve">OG image, title, and Twitter card all set</w:t>
            </w:r>
          </w:p>
        </w:tc>
      </w:tr>
      <w:tr>
        <w:tc>
          <w:tcPr>
            <w:tcW w:type="dxa" w:w="3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bCs/>
                <w:color w:val="1F2937"/>
                <w:sz w:val="20"/>
                <w:szCs w:val="20"/>
              </w:rPr>
              <w:t xml:space="preserve">Heading hierarchy</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center"/>
            </w:pPr>
            <w:r>
              <w:rPr>
                <w:rFonts w:ascii="Calibri" w:cs="Calibri" w:eastAsia="Calibri" w:hAnsi="Calibri"/>
                <w:b/>
                <w:bCs/>
                <w:color w:val="047857"/>
                <w:sz w:val="20"/>
                <w:szCs w:val="20"/>
              </w:rPr>
              <w:t xml:space="preserve">Strong</w:t>
            </w:r>
          </w:p>
        </w:tc>
        <w:tc>
          <w:tcPr>
            <w:tcW w:type="dxa" w:w="4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475569"/>
                <w:sz w:val="20"/>
                <w:szCs w:val="20"/>
              </w:rPr>
              <w:t xml:space="preserve">1 H1, 9 H2, 17 H3; clean structure</w:t>
            </w:r>
          </w:p>
        </w:tc>
      </w:tr>
      <w:tr>
        <w:tc>
          <w:tcPr>
            <w:tcW w:type="dxa" w:w="3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bCs/>
                <w:color w:val="1F2937"/>
                <w:sz w:val="20"/>
                <w:szCs w:val="20"/>
              </w:rPr>
              <w:t xml:space="preserve">Alt text coverage</w:t>
            </w:r>
          </w:p>
        </w:tc>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center"/>
            </w:pPr>
            <w:r>
              <w:rPr>
                <w:rFonts w:ascii="Calibri" w:cs="Calibri" w:eastAsia="Calibri" w:hAnsi="Calibri"/>
                <w:b/>
                <w:bCs/>
                <w:color w:val="B45309"/>
                <w:sz w:val="20"/>
                <w:szCs w:val="20"/>
              </w:rPr>
              <w:t xml:space="preserve">n/a</w:t>
            </w:r>
          </w:p>
        </w:tc>
        <w:tc>
          <w:tcPr>
            <w:tcW w:type="dxa" w:w="41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475569"/>
                <w:sz w:val="20"/>
                <w:szCs w:val="20"/>
              </w:rPr>
              <w:t xml:space="preserve">Zero raster images; no &lt;img&gt; alts to audit</w:t>
            </w:r>
          </w:p>
        </w:tc>
      </w:tr>
      <w:tr>
        <w:tc>
          <w:tcPr>
            <w:tcW w:type="dxa" w:w="3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bCs/>
                <w:color w:val="1F2937"/>
                <w:sz w:val="20"/>
                <w:szCs w:val="20"/>
              </w:rPr>
              <w:t xml:space="preserve">Mobile responsiveness</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center"/>
            </w:pPr>
            <w:r>
              <w:rPr>
                <w:rFonts w:ascii="Calibri" w:cs="Calibri" w:eastAsia="Calibri" w:hAnsi="Calibri"/>
                <w:b/>
                <w:bCs/>
                <w:color w:val="B45309"/>
                <w:sz w:val="20"/>
                <w:szCs w:val="20"/>
              </w:rPr>
              <w:t xml:space="preserve">Unverified</w:t>
            </w:r>
          </w:p>
        </w:tc>
        <w:tc>
          <w:tcPr>
            <w:tcW w:type="dxa" w:w="4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475569"/>
                <w:sz w:val="20"/>
                <w:szCs w:val="20"/>
              </w:rPr>
              <w:t xml:space="preserve">Viewport meta correct; needs visual QA on iOS Safari</w:t>
            </w:r>
          </w:p>
        </w:tc>
      </w:tr>
      <w:tr>
        <w:tc>
          <w:tcPr>
            <w:tcW w:type="dxa" w:w="3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bCs/>
                <w:color w:val="1F2937"/>
                <w:sz w:val="20"/>
                <w:szCs w:val="20"/>
              </w:rPr>
              <w:t xml:space="preserve">Reveal animation on programmatic scroll</w:t>
            </w:r>
          </w:p>
        </w:tc>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center"/>
            </w:pPr>
            <w:r>
              <w:rPr>
                <w:rFonts w:ascii="Calibri" w:cs="Calibri" w:eastAsia="Calibri" w:hAnsi="Calibri"/>
                <w:b/>
                <w:bCs/>
                <w:color w:val="B91C1C"/>
                <w:sz w:val="20"/>
                <w:szCs w:val="20"/>
              </w:rPr>
              <w:t xml:space="preserve">Broken</w:t>
            </w:r>
          </w:p>
        </w:tc>
        <w:tc>
          <w:tcPr>
            <w:tcW w:type="dxa" w:w="41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475569"/>
                <w:sz w:val="20"/>
                <w:szCs w:val="20"/>
              </w:rPr>
              <w:t xml:space="preserve">Anchor nav leaves sections at opacity 0</w:t>
            </w:r>
          </w:p>
        </w:tc>
      </w:tr>
      <w:tr>
        <w:tc>
          <w:tcPr>
            <w:tcW w:type="dxa" w:w="3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bCs/>
                <w:color w:val="1F2937"/>
                <w:sz w:val="20"/>
                <w:szCs w:val="20"/>
              </w:rPr>
              <w:t xml:space="preserve">Reduced motion support</w:t>
            </w:r>
          </w:p>
        </w:tc>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center"/>
            </w:pPr>
            <w:r>
              <w:rPr>
                <w:rFonts w:ascii="Calibri" w:cs="Calibri" w:eastAsia="Calibri" w:hAnsi="Calibri"/>
                <w:b/>
                <w:bCs/>
                <w:color w:val="047857"/>
                <w:sz w:val="20"/>
                <w:szCs w:val="20"/>
              </w:rPr>
              <w:t xml:space="preserve">Strong</w:t>
            </w:r>
          </w:p>
        </w:tc>
        <w:tc>
          <w:tcPr>
            <w:tcW w:type="dxa" w:w="4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475569"/>
                <w:sz w:val="20"/>
                <w:szCs w:val="20"/>
              </w:rPr>
              <w:t xml:space="preserve">@media (prefers-reduced-motion) block present</w:t>
            </w:r>
          </w:p>
        </w:tc>
      </w:tr>
      <w:tr>
        <w:tc>
          <w:tcPr>
            <w:tcW w:type="dxa" w:w="3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bCs/>
                <w:color w:val="1F2937"/>
                <w:sz w:val="20"/>
                <w:szCs w:val="20"/>
              </w:rPr>
              <w:t xml:space="preserve">Sitemap / hreflang</w:t>
            </w:r>
          </w:p>
        </w:tc>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center"/>
            </w:pPr>
            <w:r>
              <w:rPr>
                <w:rFonts w:ascii="Calibri" w:cs="Calibri" w:eastAsia="Calibri" w:hAnsi="Calibri"/>
                <w:b/>
                <w:bCs/>
                <w:color w:val="B45309"/>
                <w:sz w:val="20"/>
                <w:szCs w:val="20"/>
              </w:rPr>
              <w:t xml:space="preserve">Unverified</w:t>
            </w:r>
          </w:p>
        </w:tc>
        <w:tc>
          <w:tcPr>
            <w:tcW w:type="dxa" w:w="41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475569"/>
                <w:sz w:val="20"/>
                <w:szCs w:val="20"/>
              </w:rPr>
              <w:t xml:space="preserve">Check from server side</w:t>
            </w:r>
          </w:p>
        </w:tc>
      </w:tr>
    </w:tbl>
    <w:p>
      <w:pPr>
        <w:pStyle w:val="Heading1"/>
        <w:pageBreakBefore/>
        <w:spacing w:after="200" w:before="360"/>
      </w:pPr>
      <w:r>
        <w:rPr>
          <w:rFonts w:ascii="Calibri" w:cs="Calibri" w:eastAsia="Calibri" w:hAnsi="Calibri"/>
          <w:b/>
          <w:bCs/>
          <w:color w:val="0B1220"/>
          <w:sz w:val="36"/>
          <w:szCs w:val="36"/>
        </w:rPr>
        <w:t xml:space="preserve">Prioritized recommendations</w:t>
      </w:r>
    </w:p>
    <w:p>
      <w:pPr>
        <w:pBdr>
          <w:bottom w:val="single" w:color="4F46E5" w:sz="6" w:space="1"/>
        </w:pBdr>
        <w:spacing w:after="160" w:before="80"/>
      </w:pPr>
      <w:r>
        <w:rPr>
          <w:rFonts w:ascii="Calibri" w:cs="Calibri" w:eastAsia="Calibri" w:hAnsi="Calibri"/>
          <w:sz w:val="2"/>
          <w:szCs w:val="2"/>
        </w:rPr>
        <w:t xml:space="preserve"/>
      </w:r>
    </w:p>
    <w:p>
      <w:pPr>
        <w:spacing w:after="120" w:before="80" w:line="300"/>
      </w:pPr>
      <w:r>
        <w:rPr>
          <w:rFonts w:ascii="Calibri" w:cs="Calibri" w:eastAsia="Calibri" w:hAnsi="Calibri"/>
          <w:color w:val="1F2937"/>
          <w:sz w:val="22"/>
          <w:szCs w:val="22"/>
        </w:rPr>
        <w:t xml:space="preserve">Recommendations are organized in three buckets: P0 ships this week and unblocks the biggest issues; P1 ships this sprint and upgrades the hero and proof layer to category standard; P2 is next-quarter work that compounds over time. Effort estimates assume the Next.js 16 + Drizzle + Catalyst stack already in the repo.</w:t>
      </w:r>
    </w:p>
    <w:p>
      <w:pPr>
        <w:pStyle w:val="Heading2"/>
        <w:spacing w:after="140" w:before="280"/>
      </w:pPr>
      <w:r>
        <w:rPr>
          <w:rFonts w:ascii="Calibri" w:cs="Calibri" w:eastAsia="Calibri" w:hAnsi="Calibri"/>
          <w:b/>
          <w:bCs/>
          <w:color w:val="0B1220"/>
          <w:sz w:val="28"/>
          <w:szCs w:val="28"/>
        </w:rPr>
        <w:t xml:space="preserve">P0 — Ship this week</w:t>
      </w:r>
    </w:p>
    <w:p>
      <w:pPr>
        <w:pStyle w:val="Heading3"/>
        <w:spacing w:after="100" w:before="220"/>
      </w:pPr>
      <w:r>
        <w:rPr>
          <w:rFonts w:ascii="Calibri" w:cs="Calibri" w:eastAsia="Calibri" w:hAnsi="Calibri"/>
          <w:b/>
          <w:bCs/>
          <w:color w:val="4F46E5"/>
          <w:sz w:val="24"/>
          <w:szCs w:val="24"/>
        </w:rPr>
        <w:t xml:space="preserve">P0-1. Remove the reveal opacity-0 gate on the hero to fix LCP and the background-tab blank-page bug</w:t>
      </w:r>
    </w:p>
    <w:p>
      <w:pPr>
        <w:spacing w:after="120" w:before="80" w:line="300"/>
      </w:pPr>
      <w:r>
        <w:rPr>
          <w:rFonts w:ascii="Calibri" w:cs="Calibri" w:eastAsia="Calibri" w:hAnsi="Calibri"/>
          <w:color w:val="1F2937"/>
          <w:sz w:val="22"/>
          <w:szCs w:val="22"/>
        </w:rPr>
        <w:t xml:space="preserve">Problem: The metric that’s slow is LCP, not FCP. FCP fires on the navbar (which is rendered outside ScrollRevealWrapper in src/app/landing/page.tsx:186) within the normal SSR window. But the hero h1, subheads, CTA block, industry tags, illustration, and animated showcase are all wrapped in 8 .reveal elements at src/app/landing/page.tsx:248–305, and .reveal sets opacity:0 and transform:translateY(24px) at src/app/globals.css:451–460. The .revealed class that unblocks them is only added by a client-side IntersectionObserver inside a useEffect in src/components/landing/scroll-reveal-wrapper.tsx, so LCP is blocked on hydration + observer fire + a 600ms cubic-bezier opacity transition. On a mid-range device on 4G this puts the hero LCP in the 3–5s range. More importantly, there is a correctness bug alongside this performance bug: if the tab loads while visibilityState is “hidden” (any link opened via Cmd/Ctrl-click, middle-click, or “open in background tab”), the IntersectionObserver never fires and the hero stays at opacity:0 permanently. I reproduced this on the live site and confirmed 0 of 54 .reveal elements ever get the .revealed class in a backgrounded tab. The only fallback in scroll-reveal-wrapper.tsx is for prefers-reduced-motion.</w:t>
      </w:r>
    </w:p>
    <w:p>
      <w:pPr>
        <w:spacing w:after="120" w:before="80" w:line="300"/>
      </w:pPr>
      <w:r>
        <w:rPr>
          <w:rFonts w:ascii="Calibri" w:cs="Calibri" w:eastAsia="Calibri" w:hAnsi="Calibri"/>
          <w:color w:val="1F2937"/>
          <w:sz w:val="22"/>
          <w:szCs w:val="22"/>
        </w:rPr>
        <w:t xml:space="preserve">Fix (two parts; both small, both required). Part 1: delete the .reveal class from the 8 elements between src/app/landing/page.tsx:248 and src/app/landing/page.tsx:305 so the hero paints with the server HTML. This is ~15 minutes of work and doesn’t touch any JavaScript. An alternative is to scope a CSS override (e.g., .hero-section .reveal { opacity: 1; transform: none; transition: none; }) rather than delete the classes — I verified this approach works on the live site by injecting it; all 8 hero reveals became visible immediately and the 46 below-the-fold reveals stayed properly gated. Part 2: add a safety net to src/components/landing/scroll-reveal-wrapper.tsx so the below-the-fold reveals can’t get stuck off-screen either. Add two fallbacks inside the existing useEffect: (a) on the “load” event, unconditionally reveal any .reveal element that’s currently in the viewport (covers background-tab case when the user eventually brings the tab forward); (b) add a visibilitychange listener that re-runs the observer attachment when the tab transitions from hidden to visible. Both are a few lines each. Without part 2, the correctness bug for background-tab loads is still present even after part 1 (because below-the-fold reveals remain gated). The “sentinel element that unlocks first-viewport reveals once hydration completes” approach in the original version of this recommendation is overkill — don’t use it.</w:t>
      </w:r>
    </w:p>
    <w:p>
      <w:pPr>
        <w:spacing w:after="120" w:before="80" w:line="300"/>
      </w:pPr>
      <w:r>
        <w:rPr>
          <w:rFonts w:ascii="Calibri" w:cs="Calibri" w:eastAsia="Calibri" w:hAnsi="Calibri"/>
          <w:color w:val="1F2937"/>
          <w:sz w:val="22"/>
          <w:szCs w:val="22"/>
        </w:rPr>
        <w:t xml:space="preserve">Effort: 1–2 hours total (part 1 is ~15 min, part 2 is ~45 min, plus QA). Owner: frontend. Expected lift: hero LCP drops from ~3–5s to &lt;500ms (paints with server HTML); the background-tab blank-page bug is eliminated; the mid-transition contrast failure (P0-2) also disappears since there is no more opacity transition on hero text.</w:t>
      </w:r>
    </w:p>
    <w:p>
      <w:pPr>
        <w:pStyle w:val="Heading3"/>
        <w:spacing w:after="100" w:before="220"/>
      </w:pPr>
      <w:r>
        <w:rPr>
          <w:rFonts w:ascii="Calibri" w:cs="Calibri" w:eastAsia="Calibri" w:hAnsi="Calibri"/>
          <w:b/>
          <w:bCs/>
          <w:color w:val="4F46E5"/>
          <w:sz w:val="24"/>
          <w:szCs w:val="24"/>
        </w:rPr>
        <w:t xml:space="preserve">P0-2. Fix hero headline contrast</w:t>
      </w:r>
    </w:p>
    <w:p>
      <w:pPr>
        <w:spacing w:after="120" w:before="80" w:line="300"/>
      </w:pPr>
      <w:r>
        <w:rPr>
          <w:rFonts w:ascii="Calibri" w:cs="Calibri" w:eastAsia="Calibri" w:hAnsi="Calibri"/>
          <w:color w:val="1F2937"/>
          <w:sz w:val="22"/>
          <w:szCs w:val="22"/>
        </w:rPr>
        <w:t xml:space="preserve">Problem: During the 600ms opacity transition, the hero headline renders at contrast below WCAG AA 4.5:1.</w:t>
      </w:r>
    </w:p>
    <w:p>
      <w:pPr>
        <w:spacing w:after="120" w:before="80" w:line="300"/>
      </w:pPr>
      <w:r>
        <w:rPr>
          <w:rFonts w:ascii="Calibri" w:cs="Calibri" w:eastAsia="Calibri" w:hAnsi="Calibri"/>
          <w:color w:val="1F2937"/>
          <w:sz w:val="22"/>
          <w:szCs w:val="22"/>
        </w:rPr>
        <w:t xml:space="preserve">Fix: Set the initial color of the hero headline to its final value (white / indigo) and animate only opacity from 1 to 1 (i.e., no color transition). This is technically already the case, but the fade-from-0 effect combined with the gradient background produces a visually gray state mid-animation. Either (a) skip the opacity transition on the hero headline specifically, or (b) increase starting opacity to 0.3 so the text is never fully invisible.</w:t>
      </w:r>
    </w:p>
    <w:p>
      <w:pPr>
        <w:spacing w:after="120" w:before="80" w:line="300"/>
      </w:pPr>
      <w:r>
        <w:rPr>
          <w:rFonts w:ascii="Calibri" w:cs="Calibri" w:eastAsia="Calibri" w:hAnsi="Calibri"/>
          <w:color w:val="1F2937"/>
          <w:sz w:val="22"/>
          <w:szCs w:val="22"/>
        </w:rPr>
        <w:t xml:space="preserve">Effort: 30 minutes. Owner: frontend. Expected lift: WCAG AA compliance on primary headline.</w:t>
      </w:r>
    </w:p>
    <w:p>
      <w:pPr>
        <w:pStyle w:val="Heading3"/>
        <w:spacing w:after="100" w:before="220"/>
      </w:pPr>
      <w:r>
        <w:rPr>
          <w:rFonts w:ascii="Calibri" w:cs="Calibri" w:eastAsia="Calibri" w:hAnsi="Calibri"/>
          <w:b/>
          <w:bCs/>
          <w:color w:val="4F46E5"/>
          <w:sz w:val="24"/>
          <w:szCs w:val="24"/>
        </w:rPr>
        <w:t xml:space="preserve">P0-3. Unify design partner CTA labels</w:t>
      </w:r>
    </w:p>
    <w:p>
      <w:pPr>
        <w:spacing w:after="120" w:before="80" w:line="300"/>
      </w:pPr>
      <w:r>
        <w:rPr>
          <w:rFonts w:ascii="Calibri" w:cs="Calibri" w:eastAsia="Calibri" w:hAnsi="Calibri"/>
          <w:color w:val="1F2937"/>
          <w:sz w:val="22"/>
          <w:szCs w:val="22"/>
        </w:rPr>
        <w:t xml:space="preserve">Problem: "Request Early Access," "Get Access," "Apply for Design Partnership," "Tell Us Your Use Case," and "Talk to Sales" all exist on the page and create decision fatigue.</w:t>
      </w:r>
    </w:p>
    <w:p>
      <w:pPr>
        <w:spacing w:after="120" w:before="80" w:line="300"/>
      </w:pPr>
      <w:r>
        <w:rPr>
          <w:rFonts w:ascii="Calibri" w:cs="Calibri" w:eastAsia="Calibri" w:hAnsi="Calibri"/>
          <w:color w:val="1F2937"/>
          <w:sz w:val="22"/>
          <w:szCs w:val="22"/>
        </w:rPr>
        <w:t xml:space="preserve">Fix: Pick one primary label. Recommended: "Apply for Design Partnership" because it signals selectivity (you are choosing them, not the other way around) and matches the "Where We Are" messaging. Use it in the hero, the Why Intellios closing CTA, the Use Cases section, and the footer. Keep "Talk to Sales" only as a lower-commitment escape hatch in the closing CTA row.</w:t>
      </w:r>
    </w:p>
    <w:p>
      <w:pPr>
        <w:spacing w:after="120" w:before="80" w:line="300"/>
      </w:pPr>
      <w:r>
        <w:rPr>
          <w:rFonts w:ascii="Calibri" w:cs="Calibri" w:eastAsia="Calibri" w:hAnsi="Calibri"/>
          <w:color w:val="1F2937"/>
          <w:sz w:val="22"/>
          <w:szCs w:val="22"/>
        </w:rPr>
        <w:t xml:space="preserve">Effort: 1 hour (copy sweep + one route consolidation). Owner: product/marketing. Expected lift: ~10–15% on CTA click-through based on category norms.</w:t>
      </w:r>
    </w:p>
    <w:p>
      <w:pPr>
        <w:pStyle w:val="Heading3"/>
        <w:spacing w:after="100" w:before="220"/>
      </w:pPr>
      <w:r>
        <w:rPr>
          <w:rFonts w:ascii="Calibri" w:cs="Calibri" w:eastAsia="Calibri" w:hAnsi="Calibri"/>
          <w:b/>
          <w:bCs/>
          <w:color w:val="4F46E5"/>
          <w:sz w:val="24"/>
          <w:szCs w:val="24"/>
        </w:rPr>
        <w:t xml:space="preserve">P0-4. Fix reveal animation on programmatic scroll</w:t>
      </w:r>
    </w:p>
    <w:p>
      <w:pPr>
        <w:spacing w:after="120" w:before="80" w:line="300"/>
      </w:pPr>
      <w:r>
        <w:rPr>
          <w:rFonts w:ascii="Calibri" w:cs="Calibri" w:eastAsia="Calibri" w:hAnsi="Calibri"/>
          <w:color w:val="1F2937"/>
          <w:sz w:val="22"/>
          <w:szCs w:val="22"/>
        </w:rPr>
        <w:t xml:space="preserve">Problem: Clicking the top nav jumps to sections but leaves elements at opacity 0 because IntersectionObserver does not fire on hash-navigation in some browsers.</w:t>
      </w:r>
    </w:p>
    <w:p>
      <w:pPr>
        <w:spacing w:after="120" w:before="80" w:line="300"/>
      </w:pPr>
      <w:r>
        <w:rPr>
          <w:rFonts w:ascii="Calibri" w:cs="Calibri" w:eastAsia="Calibri" w:hAnsi="Calibri"/>
          <w:color w:val="1F2937"/>
          <w:sz w:val="22"/>
          <w:szCs w:val="22"/>
        </w:rPr>
        <w:t xml:space="preserve">Fix: Listen for the hashchange event and manually add the .revealed class to any .reveal elements within the target section. Alternatively, widen the observer rootMargin to "200% 0px" so elements below the fold are marked ready before the user reaches them.</w:t>
      </w:r>
    </w:p>
    <w:p>
      <w:pPr>
        <w:spacing w:after="120" w:before="80" w:line="300"/>
      </w:pPr>
      <w:r>
        <w:rPr>
          <w:rFonts w:ascii="Calibri" w:cs="Calibri" w:eastAsia="Calibri" w:hAnsi="Calibri"/>
          <w:color w:val="1F2937"/>
          <w:sz w:val="22"/>
          <w:szCs w:val="22"/>
        </w:rPr>
        <w:t xml:space="preserve">Effort: 1–2 hours. Owner: frontend. Expected lift: no more "missing content" after nav clicks.</w:t>
      </w:r>
    </w:p>
    <w:p>
      <w:pPr>
        <w:pStyle w:val="Heading2"/>
        <w:spacing w:after="140" w:before="280"/>
      </w:pPr>
      <w:r>
        <w:rPr>
          <w:rFonts w:ascii="Calibri" w:cs="Calibri" w:eastAsia="Calibri" w:hAnsi="Calibri"/>
          <w:b/>
          <w:bCs/>
          <w:color w:val="0B1220"/>
          <w:sz w:val="28"/>
          <w:szCs w:val="28"/>
        </w:rPr>
        <w:t xml:space="preserve">P1 — Ship this sprint</w:t>
      </w:r>
    </w:p>
    <w:p>
      <w:pPr>
        <w:pStyle w:val="Heading3"/>
        <w:spacing w:after="100" w:before="220"/>
      </w:pPr>
      <w:r>
        <w:rPr>
          <w:rFonts w:ascii="Calibri" w:cs="Calibri" w:eastAsia="Calibri" w:hAnsi="Calibri"/>
          <w:b/>
          <w:bCs/>
          <w:color w:val="4F46E5"/>
          <w:sz w:val="24"/>
          <w:szCs w:val="24"/>
        </w:rPr>
        <w:t xml:space="preserve">P1-1. Redesign the hero with a visible product mockup</w:t>
      </w:r>
    </w:p>
    <w:p>
      <w:pPr>
        <w:spacing w:after="120" w:before="80" w:line="300"/>
      </w:pPr>
      <w:r>
        <w:rPr>
          <w:rFonts w:ascii="Calibri" w:cs="Calibri" w:eastAsia="Calibri" w:hAnsi="Calibri"/>
          <w:color w:val="1F2937"/>
          <w:sz w:val="22"/>
          <w:szCs w:val="22"/>
        </w:rPr>
        <w:t xml:space="preserve">Problem: The hero is all text. Visitors cannot see what they would be buying.</w:t>
      </w:r>
    </w:p>
    <w:p>
      <w:pPr>
        <w:spacing w:after="120" w:before="80" w:line="300"/>
      </w:pPr>
      <w:r>
        <w:rPr>
          <w:rFonts w:ascii="Calibri" w:cs="Calibri" w:eastAsia="Calibri" w:hAnsi="Calibri"/>
          <w:color w:val="1F2937"/>
          <w:sz w:val="22"/>
          <w:szCs w:val="22"/>
        </w:rPr>
        <w:t xml:space="preserve">Fix: Move the animated SVG diagram (currently below the hero) into a right-column hero layout, or replace it with a high-fidelity screenshot of the Blueprint Review UI at src/app/review/. Use a 60/40 or 55/45 text-left, visual-right split. Increase visual scale from max-w-2xl (672px) to the full right column. The goal is that a visitor scrolling past in 2 seconds can say "oh, it's a dashboard for reviewing AI agents before they ship."</w:t>
      </w:r>
    </w:p>
    <w:p>
      <w:pPr>
        <w:spacing w:after="120" w:before="80" w:line="300"/>
      </w:pPr>
      <w:r>
        <w:rPr>
          <w:rFonts w:ascii="Calibri" w:cs="Calibri" w:eastAsia="Calibri" w:hAnsi="Calibri"/>
          <w:color w:val="1F2937"/>
          <w:sz w:val="22"/>
          <w:szCs w:val="22"/>
        </w:rPr>
        <w:t xml:space="preserve">Effort: 1–2 days. Owner: design + frontend. Expected lift: the biggest single conversion lever on the page.</w:t>
      </w:r>
    </w:p>
    <w:p>
      <w:pPr>
        <w:pStyle w:val="Heading3"/>
        <w:spacing w:after="100" w:before="220"/>
      </w:pPr>
      <w:r>
        <w:rPr>
          <w:rFonts w:ascii="Calibri" w:cs="Calibri" w:eastAsia="Calibri" w:hAnsi="Calibri"/>
          <w:b/>
          <w:bCs/>
          <w:color w:val="4F46E5"/>
          <w:sz w:val="24"/>
          <w:szCs w:val="24"/>
        </w:rPr>
        <w:t xml:space="preserve">P1-2. Shorten the hero headline and elevate the MRM promise</w:t>
      </w:r>
    </w:p>
    <w:p>
      <w:pPr>
        <w:spacing w:after="120" w:before="80" w:line="300"/>
      </w:pPr>
      <w:r>
        <w:rPr>
          <w:rFonts w:ascii="Calibri" w:cs="Calibri" w:eastAsia="Calibri" w:hAnsi="Calibri"/>
          <w:color w:val="1F2937"/>
          <w:sz w:val="22"/>
          <w:szCs w:val="22"/>
        </w:rPr>
        <w:t xml:space="preserve">Problem: 9-word headline is longer than category norm; "governed, auditable, compliant" tricolon hedges rather than commits; the most monetizable line ("collapse MRM audit prep from months to weeks") is tertiary copy.</w:t>
      </w:r>
    </w:p>
    <w:p>
      <w:pPr>
        <w:spacing w:after="120" w:before="80" w:line="300"/>
      </w:pPr>
      <w:r>
        <w:rPr>
          <w:rFonts w:ascii="Calibri" w:cs="Calibri" w:eastAsia="Calibri" w:hAnsi="Calibri"/>
          <w:color w:val="1F2937"/>
          <w:sz w:val="22"/>
          <w:szCs w:val="22"/>
        </w:rPr>
        <w:t xml:space="preserve">Fix: Test three alternative heroes in a simple A/B (or 5-second test if traffic is too low for A/B):</w:t>
      </w:r>
    </w:p>
    <w:p>
      <w:pPr>
        <w:pStyle w:val="ListParagraph"/>
        <w:numPr>
          <w:ilvl w:val="0"/>
          <w:numId w:val="2"/>
        </w:numPr>
        <w:spacing w:after="40" w:before="40" w:line="280"/>
      </w:pPr>
      <w:r>
        <w:rPr>
          <w:rFonts w:ascii="Calibri" w:cs="Calibri" w:eastAsia="Calibri" w:hAnsi="Calibri"/>
          <w:b/>
          <w:bCs/>
          <w:color w:val="1F2937"/>
          <w:sz w:val="22"/>
          <w:szCs w:val="22"/>
        </w:rPr>
        <w:t xml:space="preserve">A: </w:t>
      </w:r>
      <w:r>
        <w:rPr>
          <w:rFonts w:ascii="Calibri" w:cs="Calibri" w:eastAsia="Calibri" w:hAnsi="Calibri"/>
          <w:color w:val="1F2937"/>
          <w:sz w:val="22"/>
          <w:szCs w:val="22"/>
        </w:rPr>
        <w:t xml:space="preserve">"Ship AI agents your auditors already trust." → subhead retains current copy → tertiary line promoted to stat card: "12 weeks → 2 weeks: MRM audit prep, collapsed."</w:t>
      </w:r>
    </w:p>
    <w:p>
      <w:pPr>
        <w:pStyle w:val="ListParagraph"/>
        <w:numPr>
          <w:ilvl w:val="0"/>
          <w:numId w:val="2"/>
        </w:numPr>
        <w:spacing w:after="40" w:before="40" w:line="280"/>
      </w:pPr>
      <w:r>
        <w:rPr>
          <w:rFonts w:ascii="Calibri" w:cs="Calibri" w:eastAsia="Calibri" w:hAnsi="Calibri"/>
          <w:b/>
          <w:bCs/>
          <w:color w:val="1F2937"/>
          <w:sz w:val="22"/>
          <w:szCs w:val="22"/>
        </w:rPr>
        <w:t xml:space="preserve">B: </w:t>
      </w:r>
      <w:r>
        <w:rPr>
          <w:rFonts w:ascii="Calibri" w:cs="Calibri" w:eastAsia="Calibri" w:hAnsi="Calibri"/>
          <w:color w:val="1F2937"/>
          <w:sz w:val="22"/>
          <w:szCs w:val="22"/>
        </w:rPr>
        <w:t xml:space="preserve">"The control plane for enterprise AI agents." → subhead same → stat card same.</w:t>
      </w:r>
    </w:p>
    <w:p>
      <w:pPr>
        <w:pStyle w:val="ListParagraph"/>
        <w:numPr>
          <w:ilvl w:val="0"/>
          <w:numId w:val="2"/>
        </w:numPr>
        <w:spacing w:after="40" w:before="40" w:line="280"/>
      </w:pPr>
      <w:r>
        <w:rPr>
          <w:rFonts w:ascii="Calibri" w:cs="Calibri" w:eastAsia="Calibri" w:hAnsi="Calibri"/>
          <w:b/>
          <w:bCs/>
          <w:color w:val="1F2937"/>
          <w:sz w:val="22"/>
          <w:szCs w:val="22"/>
        </w:rPr>
        <w:t xml:space="preserve">C: </w:t>
      </w:r>
      <w:r>
        <w:rPr>
          <w:rFonts w:ascii="Calibri" w:cs="Calibri" w:eastAsia="Calibri" w:hAnsi="Calibri"/>
          <w:color w:val="1F2937"/>
          <w:sz w:val="22"/>
          <w:szCs w:val="22"/>
        </w:rPr>
        <w:t xml:space="preserve">"Governed AI agents. For regulated enterprise." → subhead same → stat card same.</w:t>
      </w:r>
    </w:p>
    <w:p>
      <w:pPr>
        <w:spacing w:after="120" w:before="80" w:line="300"/>
      </w:pPr>
      <w:r>
        <w:rPr>
          <w:rFonts w:ascii="Calibri" w:cs="Calibri" w:eastAsia="Calibri" w:hAnsi="Calibri"/>
          <w:color w:val="1F2937"/>
          <w:sz w:val="22"/>
          <w:szCs w:val="22"/>
        </w:rPr>
        <w:t xml:space="preserve">Effort: 2–4 hours including stat card component. Owner: marketing + frontend. Expected lift: 5-second test comprehension rate should rise materially.</w:t>
      </w:r>
    </w:p>
    <w:p>
      <w:pPr>
        <w:pStyle w:val="Heading3"/>
        <w:spacing w:after="100" w:before="220"/>
      </w:pPr>
      <w:r>
        <w:rPr>
          <w:rFonts w:ascii="Calibri" w:cs="Calibri" w:eastAsia="Calibri" w:hAnsi="Calibri"/>
          <w:b/>
          <w:bCs/>
          <w:color w:val="4F46E5"/>
          <w:sz w:val="24"/>
          <w:szCs w:val="24"/>
        </w:rPr>
        <w:t xml:space="preserve">P1-3. Add a proof strip between hero and Governance Gap</w:t>
      </w:r>
    </w:p>
    <w:p>
      <w:pPr>
        <w:spacing w:after="120" w:before="80" w:line="300"/>
      </w:pPr>
      <w:r>
        <w:rPr>
          <w:rFonts w:ascii="Calibri" w:cs="Calibri" w:eastAsia="Calibri" w:hAnsi="Calibri"/>
          <w:color w:val="1F2937"/>
          <w:sz w:val="22"/>
          <w:szCs w:val="22"/>
        </w:rPr>
        <w:t xml:space="preserve">Problem: No trust signal between the hero claim and the first explanatory section.</w:t>
      </w:r>
    </w:p>
    <w:p>
      <w:pPr>
        <w:spacing w:after="120" w:before="80" w:line="300"/>
      </w:pPr>
      <w:r>
        <w:rPr>
          <w:rFonts w:ascii="Calibri" w:cs="Calibri" w:eastAsia="Calibri" w:hAnsi="Calibri"/>
          <w:color w:val="1F2937"/>
          <w:sz w:val="22"/>
          <w:szCs w:val="22"/>
        </w:rPr>
        <w:t xml:space="preserve">Fix: Insert a slim full-width strip that reads "Governance architecture designed around:" followed by visual framework badges for SR 11‑7, EU AI Act, NIST AI RMF, GDPR, HIPAA. This line currently lives in the Where We Are section; move it up. Use stylized framework chips (not fake regulator seals; the page's "we do not fabricate trust" ethos rules those out). If you have any real design partner conversations or advisor names you can cite, add them here as well with explicit "in active design partner conversations" framing.</w:t>
      </w:r>
    </w:p>
    <w:p>
      <w:pPr>
        <w:spacing w:after="120" w:before="80" w:line="300"/>
      </w:pPr>
      <w:r>
        <w:rPr>
          <w:rFonts w:ascii="Calibri" w:cs="Calibri" w:eastAsia="Calibri" w:hAnsi="Calibri"/>
          <w:color w:val="1F2937"/>
          <w:sz w:val="22"/>
          <w:szCs w:val="22"/>
        </w:rPr>
        <w:t xml:space="preserve">Effort: 1 day including badge illustrations. Owner: design + frontend. Expected lift: reduces bounce at first scroll.</w:t>
      </w:r>
    </w:p>
    <w:p>
      <w:pPr>
        <w:pStyle w:val="Heading3"/>
        <w:spacing w:after="100" w:before="220"/>
      </w:pPr>
      <w:r>
        <w:rPr>
          <w:rFonts w:ascii="Calibri" w:cs="Calibri" w:eastAsia="Calibri" w:hAnsi="Calibri"/>
          <w:b/>
          <w:bCs/>
          <w:color w:val="4F46E5"/>
          <w:sz w:val="24"/>
          <w:szCs w:val="24"/>
        </w:rPr>
        <w:t xml:space="preserve">P1-4. Add inline email capture to the hero</w:t>
      </w:r>
    </w:p>
    <w:p>
      <w:pPr>
        <w:spacing w:after="120" w:before="80" w:line="300"/>
      </w:pPr>
      <w:r>
        <w:rPr>
          <w:rFonts w:ascii="Calibri" w:cs="Calibri" w:eastAsia="Calibri" w:hAnsi="Calibri"/>
          <w:color w:val="1F2937"/>
          <w:sz w:val="22"/>
          <w:szCs w:val="22"/>
        </w:rPr>
        <w:t xml:space="preserve">Problem: The only form on the page is for the guide download; there is no inline commit path in the hero.</w:t>
      </w:r>
    </w:p>
    <w:p>
      <w:pPr>
        <w:spacing w:after="120" w:before="80" w:line="300"/>
      </w:pPr>
      <w:r>
        <w:rPr>
          <w:rFonts w:ascii="Calibri" w:cs="Calibri" w:eastAsia="Calibri" w:hAnsi="Calibri"/>
          <w:color w:val="1F2937"/>
          <w:sz w:val="22"/>
          <w:szCs w:val="22"/>
        </w:rPr>
        <w:t xml:space="preserve">Fix: Place a compact work-email field + "Continue" button as the primary CTA in the hero, with a secondary link "Watch a 2-minute walkthrough" next to it. On submit, progressive disclosure reveals the full design partnership form inline (role, company, use case, timeline) without a page navigation. Mirror Decagon/Writer pattern.</w:t>
      </w:r>
    </w:p>
    <w:p>
      <w:pPr>
        <w:spacing w:after="120" w:before="80" w:line="300"/>
      </w:pPr>
      <w:r>
        <w:rPr>
          <w:rFonts w:ascii="Calibri" w:cs="Calibri" w:eastAsia="Calibri" w:hAnsi="Calibri"/>
          <w:color w:val="1F2937"/>
          <w:sz w:val="22"/>
          <w:szCs w:val="22"/>
        </w:rPr>
        <w:t xml:space="preserve">Effort: 1 day (form component + backend wiring to existing route). Owner: product + frontend. Expected lift: 15–35% on form fills for B2B pages with inline capture.</w:t>
      </w:r>
    </w:p>
    <w:p>
      <w:pPr>
        <w:pStyle w:val="Heading3"/>
        <w:spacing w:after="100" w:before="220"/>
      </w:pPr>
      <w:r>
        <w:rPr>
          <w:rFonts w:ascii="Calibri" w:cs="Calibri" w:eastAsia="Calibri" w:hAnsi="Calibri"/>
          <w:b/>
          <w:bCs/>
          <w:color w:val="4F46E5"/>
          <w:sz w:val="24"/>
          <w:szCs w:val="24"/>
        </w:rPr>
        <w:t xml:space="preserve">P1-5. Add per-persona CTAs on Use Cases</w:t>
      </w:r>
    </w:p>
    <w:p>
      <w:pPr>
        <w:spacing w:after="120" w:before="80" w:line="300"/>
      </w:pPr>
      <w:r>
        <w:rPr>
          <w:rFonts w:ascii="Calibri" w:cs="Calibri" w:eastAsia="Calibri" w:hAnsi="Calibri"/>
          <w:color w:val="1F2937"/>
          <w:sz w:val="22"/>
          <w:szCs w:val="22"/>
        </w:rPr>
        <w:t xml:space="preserve">Problem: Three persona cards share one CTA below them; visitors who identify with one persona have to scroll past the other two.</w:t>
      </w:r>
    </w:p>
    <w:p>
      <w:pPr>
        <w:spacing w:after="120" w:before="80" w:line="300"/>
      </w:pPr>
      <w:r>
        <w:rPr>
          <w:rFonts w:ascii="Calibri" w:cs="Calibri" w:eastAsia="Calibri" w:hAnsi="Calibri"/>
          <w:color w:val="1F2937"/>
          <w:sz w:val="22"/>
          <w:szCs w:val="22"/>
        </w:rPr>
        <w:t xml:space="preserve">Fix: Each persona card gets its own CTA labeled for the persona (e.g., "CROs: Apply to become a design partner →"). All three point to the same form but the form can accept a ?persona=cro query param and pre-fill that field.</w:t>
      </w:r>
    </w:p>
    <w:p>
      <w:pPr>
        <w:spacing w:after="120" w:before="80" w:line="300"/>
      </w:pPr>
      <w:r>
        <w:rPr>
          <w:rFonts w:ascii="Calibri" w:cs="Calibri" w:eastAsia="Calibri" w:hAnsi="Calibri"/>
          <w:color w:val="1F2937"/>
          <w:sz w:val="22"/>
          <w:szCs w:val="22"/>
        </w:rPr>
        <w:t xml:space="preserve">Effort: 2–4 hours. Owner: marketing + frontend. Expected lift: incremental, but it also feeds cleaner data into the CRM.</w:t>
      </w:r>
    </w:p>
    <w:p>
      <w:pPr>
        <w:pStyle w:val="Heading3"/>
        <w:spacing w:after="100" w:before="220"/>
      </w:pPr>
      <w:r>
        <w:rPr>
          <w:rFonts w:ascii="Calibri" w:cs="Calibri" w:eastAsia="Calibri" w:hAnsi="Calibri"/>
          <w:b/>
          <w:bCs/>
          <w:color w:val="4F46E5"/>
          <w:sz w:val="24"/>
          <w:szCs w:val="24"/>
        </w:rPr>
        <w:t xml:space="preserve">P1-6. Add the "vs Credo AI" FAQ entry</w:t>
      </w:r>
    </w:p>
    <w:p>
      <w:pPr>
        <w:spacing w:after="120" w:before="80" w:line="300"/>
      </w:pPr>
      <w:r>
        <w:rPr>
          <w:rFonts w:ascii="Calibri" w:cs="Calibri" w:eastAsia="Calibri" w:hAnsi="Calibri"/>
          <w:color w:val="1F2937"/>
          <w:sz w:val="22"/>
          <w:szCs w:val="22"/>
        </w:rPr>
        <w:t xml:space="preserve">Problem: The FAQ does not answer the question every prospect asks at first contact.</w:t>
      </w:r>
    </w:p>
    <w:p>
      <w:pPr>
        <w:spacing w:after="120" w:before="80" w:line="300"/>
      </w:pPr>
      <w:r>
        <w:rPr>
          <w:rFonts w:ascii="Calibri" w:cs="Calibri" w:eastAsia="Calibri" w:hAnsi="Calibri"/>
          <w:color w:val="1F2937"/>
          <w:sz w:val="22"/>
          <w:szCs w:val="22"/>
        </w:rPr>
        <w:t xml:space="preserve">Fix: Add an FAQ entry phrased neutrally: "How does Intellios compare to broader AI governance platforms?" Answer framing: "Intellios is purpose-built for AI agents in regulated industries — SR 11‑7 model risk, EU AI Act high-risk systems, HIPAA covered entities. Broader platforms cover more categories (models, applications, policies) but are less deep in the regulatory frameworks our buyers operate under. For enterprises whose primary governance surface is agents in compliance-sensitive workflows, Intellios is the sharpest tool." Do not name Credo AI directly.</w:t>
      </w:r>
    </w:p>
    <w:p>
      <w:pPr>
        <w:spacing w:after="120" w:before="80" w:line="300"/>
      </w:pPr>
      <w:r>
        <w:rPr>
          <w:rFonts w:ascii="Calibri" w:cs="Calibri" w:eastAsia="Calibri" w:hAnsi="Calibri"/>
          <w:color w:val="1F2937"/>
          <w:sz w:val="22"/>
          <w:szCs w:val="22"/>
        </w:rPr>
        <w:t xml:space="preserve">Effort: 30 minutes. Owner: marketing. Expected lift: pre-empts the biggest objection at first contact.</w:t>
      </w:r>
    </w:p>
    <w:p>
      <w:pPr>
        <w:pStyle w:val="Heading2"/>
        <w:spacing w:after="140" w:before="280"/>
      </w:pPr>
      <w:r>
        <w:rPr>
          <w:rFonts w:ascii="Calibri" w:cs="Calibri" w:eastAsia="Calibri" w:hAnsi="Calibri"/>
          <w:b/>
          <w:bCs/>
          <w:color w:val="0B1220"/>
          <w:sz w:val="28"/>
          <w:szCs w:val="28"/>
        </w:rPr>
        <w:t xml:space="preserve">P2 — Next quarter</w:t>
      </w:r>
    </w:p>
    <w:p>
      <w:pPr>
        <w:pStyle w:val="Heading3"/>
        <w:spacing w:after="100" w:before="220"/>
      </w:pPr>
      <w:r>
        <w:rPr>
          <w:rFonts w:ascii="Calibri" w:cs="Calibri" w:eastAsia="Calibri" w:hAnsi="Calibri"/>
          <w:b/>
          <w:bCs/>
          <w:color w:val="4F46E5"/>
          <w:sz w:val="24"/>
          <w:szCs w:val="24"/>
        </w:rPr>
        <w:t xml:space="preserve">P2-1. Publish the governance framework guide as gated content</w:t>
      </w:r>
    </w:p>
    <w:p>
      <w:pPr>
        <w:spacing w:after="120" w:before="80" w:line="300"/>
      </w:pPr>
      <w:r>
        <w:rPr>
          <w:rFonts w:ascii="Calibri" w:cs="Calibri" w:eastAsia="Calibri" w:hAnsi="Calibri"/>
          <w:color w:val="1F2937"/>
          <w:sz w:val="22"/>
          <w:szCs w:val="22"/>
        </w:rPr>
        <w:t xml:space="preserve">The page already advertises "The Enterprise AI Agent Governance Framework" with "we will send it when it's ready" copy. Shipping the actual guide turns this into a working lead magnet. Recommended format: 15–20 page PDF + a microsite summary, cited inline in the landing page, with specific policy-as-code examples for SR 11‑7 and EU AI Act. Gate the PDF behind a single email field. Effort: 2–3 weeks including writing, design, and gating infrastructure.</w:t>
      </w:r>
    </w:p>
    <w:p>
      <w:pPr>
        <w:pStyle w:val="Heading3"/>
        <w:spacing w:after="100" w:before="220"/>
      </w:pPr>
      <w:r>
        <w:rPr>
          <w:rFonts w:ascii="Calibri" w:cs="Calibri" w:eastAsia="Calibri" w:hAnsi="Calibri"/>
          <w:b/>
          <w:bCs/>
          <w:color w:val="4F46E5"/>
          <w:sz w:val="24"/>
          <w:szCs w:val="24"/>
        </w:rPr>
        <w:t xml:space="preserve">P2-2. Build a /resources or /blog path</w:t>
      </w:r>
    </w:p>
    <w:p>
      <w:pPr>
        <w:spacing w:after="120" w:before="80" w:line="300"/>
      </w:pPr>
      <w:r>
        <w:rPr>
          <w:rFonts w:ascii="Calibri" w:cs="Calibri" w:eastAsia="Calibri" w:hAnsi="Calibri"/>
          <w:color w:val="1F2937"/>
          <w:sz w:val="22"/>
          <w:szCs w:val="22"/>
        </w:rPr>
        <w:t xml:space="preserve">The page has 21 outbound links total, none of which go to long-form content. The buyer persona (compliance, risk, MRM) actively searches for SR 11‑7 templates, EU AI Act readiness, and agent governance frameworks. Publishing 6–10 high-quality pieces over the next quarter would dominate long-tail SEO in a relatively uncontested space. Example topics: "SR 11‑7 applied to AI agents: a practitioner's walkthrough," "EU AI Act high-risk systems: what counts and what does not," "Agent sprawl: measuring and containing the ungoverned."</w:t>
      </w:r>
    </w:p>
    <w:p>
      <w:pPr>
        <w:pStyle w:val="Heading3"/>
        <w:spacing w:after="100" w:before="220"/>
      </w:pPr>
      <w:r>
        <w:rPr>
          <w:rFonts w:ascii="Calibri" w:cs="Calibri" w:eastAsia="Calibri" w:hAnsi="Calibri"/>
          <w:b/>
          <w:bCs/>
          <w:color w:val="4F46E5"/>
          <w:sz w:val="24"/>
          <w:szCs w:val="24"/>
        </w:rPr>
        <w:t xml:space="preserve">P2-3. Add a public product tour or interactive demo</w:t>
      </w:r>
    </w:p>
    <w:p>
      <w:pPr>
        <w:spacing w:after="120" w:before="80" w:line="300"/>
      </w:pPr>
      <w:r>
        <w:rPr>
          <w:rFonts w:ascii="Calibri" w:cs="Calibri" w:eastAsia="Calibri" w:hAnsi="Calibri"/>
          <w:color w:val="1F2937"/>
          <w:sz w:val="22"/>
          <w:szCs w:val="22"/>
        </w:rPr>
        <w:t xml:space="preserve">The page's secondary CTA is "See How It Works," which currently scrolls to the How It Works section but does not let the visitor actually see the product work. A self-service interactive demo (using a tool like Navattic, Arcade, Supademo, or a short Loom) gated by nothing would let visitors evaluate the product before committing to a sales call. For a pre-revenue company this is particularly valuable because it lets sophisticated buyers self-qualify faster.</w:t>
      </w:r>
    </w:p>
    <w:p>
      <w:pPr>
        <w:pStyle w:val="Heading3"/>
        <w:spacing w:after="100" w:before="220"/>
      </w:pPr>
      <w:r>
        <w:rPr>
          <w:rFonts w:ascii="Calibri" w:cs="Calibri" w:eastAsia="Calibri" w:hAnsi="Calibri"/>
          <w:b/>
          <w:bCs/>
          <w:color w:val="4F46E5"/>
          <w:sz w:val="24"/>
          <w:szCs w:val="24"/>
        </w:rPr>
        <w:t xml:space="preserve">P2-4. Add a pricing page (even if it says "contact us")</w:t>
      </w:r>
    </w:p>
    <w:p>
      <w:pPr>
        <w:spacing w:after="120" w:before="80" w:line="300"/>
      </w:pPr>
      <w:r>
        <w:rPr>
          <w:rFonts w:ascii="Calibri" w:cs="Calibri" w:eastAsia="Calibri" w:hAnsi="Calibri"/>
          <w:color w:val="1F2937"/>
          <w:sz w:val="22"/>
          <w:szCs w:val="22"/>
        </w:rPr>
        <w:t xml:space="preserve">Enterprise buyers accept "contact us" pricing but they need to see it exists. The absence of a Pricing nav item is a qualification-stage objection (procurement teams want to know the page exists before allocating budget review time). Add /pricing with either (a) placeholder tiers (Design Partner / Enterprise / White-Label) and "contact us for pricing" on each, or (b) an explicit note that Intellios is in design-partner stage and pricing is bespoke until general availability.</w:t>
      </w:r>
    </w:p>
    <w:p>
      <w:pPr>
        <w:pStyle w:val="Heading3"/>
        <w:spacing w:after="100" w:before="220"/>
      </w:pPr>
      <w:r>
        <w:rPr>
          <w:rFonts w:ascii="Calibri" w:cs="Calibri" w:eastAsia="Calibri" w:hAnsi="Calibri"/>
          <w:b/>
          <w:bCs/>
          <w:color w:val="4F46E5"/>
          <w:sz w:val="24"/>
          <w:szCs w:val="24"/>
        </w:rPr>
        <w:t xml:space="preserve">P2-5. Case study or design-partner story (when one is live)</w:t>
      </w:r>
    </w:p>
    <w:p>
      <w:pPr>
        <w:spacing w:after="120" w:before="80" w:line="300"/>
      </w:pPr>
      <w:r>
        <w:rPr>
          <w:rFonts w:ascii="Calibri" w:cs="Calibri" w:eastAsia="Calibri" w:hAnsi="Calibri"/>
          <w:color w:val="1F2937"/>
          <w:sz w:val="22"/>
          <w:szCs w:val="22"/>
        </w:rPr>
        <w:t xml:space="preserve">The strongest possible upgrade to the page is a single real case study. Until a design partner is ready to be named, consider a pseudonymized ("A tier-1 US bank...") story with specific numbers: agents governed, audit hours saved, policy violations caught before deployment. Anchor it above the FAQ. Every best-in-class competitor has at least one story like this; the day Intellios has one, it becomes the strongest section on the page.</w:t>
      </w:r>
    </w:p>
    <w:p>
      <w:pPr>
        <w:pStyle w:val="Heading1"/>
        <w:pageBreakBefore/>
        <w:spacing w:after="200" w:before="360"/>
      </w:pPr>
      <w:r>
        <w:rPr>
          <w:rFonts w:ascii="Calibri" w:cs="Calibri" w:eastAsia="Calibri" w:hAnsi="Calibri"/>
          <w:b/>
          <w:bCs/>
          <w:color w:val="0B1220"/>
          <w:sz w:val="36"/>
          <w:szCs w:val="36"/>
        </w:rPr>
        <w:t xml:space="preserve">Appendix A — Full benchmark capture data</w:t>
      </w:r>
    </w:p>
    <w:p>
      <w:pPr>
        <w:pBdr>
          <w:bottom w:val="single" w:color="4F46E5" w:sz="6" w:space="1"/>
        </w:pBdr>
        <w:spacing w:after="160" w:before="80"/>
      </w:pPr>
      <w:r>
        <w:rPr>
          <w:rFonts w:ascii="Calibri" w:cs="Calibri" w:eastAsia="Calibri" w:hAnsi="Calibri"/>
          <w:sz w:val="2"/>
          <w:szCs w:val="2"/>
        </w:rPr>
        <w:t xml:space="preserve"/>
      </w:r>
    </w:p>
    <w:p>
      <w:pPr>
        <w:spacing w:after="120" w:before="80" w:line="300"/>
      </w:pPr>
      <w:r>
        <w:rPr>
          <w:rFonts w:ascii="Calibri" w:cs="Calibri" w:eastAsia="Calibri" w:hAnsi="Calibri"/>
          <w:color w:val="1F2937"/>
          <w:sz w:val="22"/>
          <w:szCs w:val="22"/>
        </w:rPr>
        <w:t xml:space="preserve">The following hero copy was captured live from each reference site on April 9, 2026. Quotations are verbatim but kept short to respect fair use.</w:t>
      </w:r>
    </w:p>
    <w:p>
      <w:pPr>
        <w:pStyle w:val="Heading3"/>
        <w:spacing w:after="100" w:before="220"/>
      </w:pPr>
      <w:r>
        <w:rPr>
          <w:rFonts w:ascii="Calibri" w:cs="Calibri" w:eastAsia="Calibri" w:hAnsi="Calibri"/>
          <w:b/>
          <w:bCs/>
          <w:color w:val="4F46E5"/>
          <w:sz w:val="24"/>
          <w:szCs w:val="24"/>
        </w:rPr>
        <w:t xml:space="preserve">Sierra (sierra.ai)</w:t>
      </w:r>
    </w:p>
    <w:p>
      <w:pPr>
        <w:pStyle w:val="ListParagraph"/>
        <w:numPr>
          <w:ilvl w:val="0"/>
          <w:numId w:val="2"/>
        </w:numPr>
        <w:spacing w:after="40" w:before="40" w:line="280"/>
      </w:pPr>
      <w:r>
        <w:rPr>
          <w:rFonts w:ascii="Calibri" w:cs="Calibri" w:eastAsia="Calibri" w:hAnsi="Calibri"/>
          <w:b/>
          <w:bCs/>
          <w:color w:val="1F2937"/>
          <w:sz w:val="22"/>
          <w:szCs w:val="22"/>
        </w:rPr>
        <w:t xml:space="preserve">H1: </w:t>
      </w:r>
      <w:r>
        <w:rPr>
          <w:rFonts w:ascii="Calibri" w:cs="Calibri" w:eastAsia="Calibri" w:hAnsi="Calibri"/>
          <w:color w:val="1F2937"/>
          <w:sz w:val="22"/>
          <w:szCs w:val="22"/>
        </w:rPr>
        <w:t xml:space="preserve">"Better customer experiences. Built on Sierra."</w:t>
      </w:r>
    </w:p>
    <w:p>
      <w:pPr>
        <w:pStyle w:val="ListParagraph"/>
        <w:numPr>
          <w:ilvl w:val="0"/>
          <w:numId w:val="2"/>
        </w:numPr>
        <w:spacing w:after="40" w:before="40" w:line="280"/>
      </w:pPr>
      <w:r>
        <w:rPr>
          <w:rFonts w:ascii="Calibri" w:cs="Calibri" w:eastAsia="Calibri" w:hAnsi="Calibri"/>
          <w:b/>
          <w:bCs/>
          <w:color w:val="1F2937"/>
          <w:sz w:val="22"/>
          <w:szCs w:val="22"/>
        </w:rPr>
        <w:t xml:space="preserve">Section H2s: </w:t>
      </w:r>
      <w:r>
        <w:rPr>
          <w:rFonts w:ascii="Calibri" w:cs="Calibri" w:eastAsia="Calibri" w:hAnsi="Calibri"/>
          <w:color w:val="1F2937"/>
          <w:sz w:val="22"/>
          <w:szCs w:val="22"/>
        </w:rPr>
        <w:t xml:space="preserve">Leading brands succeed with Sierra; Transform your customer experience; The results speak for themselves; Sierra Agent OS; Trust and reliability.</w:t>
      </w:r>
    </w:p>
    <w:p>
      <w:pPr>
        <w:pStyle w:val="ListParagraph"/>
        <w:numPr>
          <w:ilvl w:val="0"/>
          <w:numId w:val="2"/>
        </w:numPr>
        <w:spacing w:after="40" w:before="40" w:line="280"/>
      </w:pPr>
      <w:r>
        <w:rPr>
          <w:rFonts w:ascii="Calibri" w:cs="Calibri" w:eastAsia="Calibri" w:hAnsi="Calibri"/>
          <w:b/>
          <w:bCs/>
          <w:color w:val="1F2937"/>
          <w:sz w:val="22"/>
          <w:szCs w:val="22"/>
        </w:rPr>
        <w:t xml:space="preserve">CTAs: </w:t>
      </w:r>
      <w:r>
        <w:rPr>
          <w:rFonts w:ascii="Calibri" w:cs="Calibri" w:eastAsia="Calibri" w:hAnsi="Calibri"/>
          <w:color w:val="1F2937"/>
          <w:sz w:val="22"/>
          <w:szCs w:val="22"/>
        </w:rPr>
        <w:t xml:space="preserve">Learn more (multiple); Sign in.</w:t>
      </w:r>
    </w:p>
    <w:p>
      <w:pPr>
        <w:pStyle w:val="Heading3"/>
        <w:spacing w:after="100" w:before="220"/>
      </w:pPr>
      <w:r>
        <w:rPr>
          <w:rFonts w:ascii="Calibri" w:cs="Calibri" w:eastAsia="Calibri" w:hAnsi="Calibri"/>
          <w:b/>
          <w:bCs/>
          <w:color w:val="4F46E5"/>
          <w:sz w:val="24"/>
          <w:szCs w:val="24"/>
        </w:rPr>
        <w:t xml:space="preserve">Decagon (decagon.ai)</w:t>
      </w:r>
    </w:p>
    <w:p>
      <w:pPr>
        <w:pStyle w:val="ListParagraph"/>
        <w:numPr>
          <w:ilvl w:val="0"/>
          <w:numId w:val="2"/>
        </w:numPr>
        <w:spacing w:after="40" w:before="40" w:line="280"/>
      </w:pPr>
      <w:r>
        <w:rPr>
          <w:rFonts w:ascii="Calibri" w:cs="Calibri" w:eastAsia="Calibri" w:hAnsi="Calibri"/>
          <w:b/>
          <w:bCs/>
          <w:color w:val="1F2937"/>
          <w:sz w:val="22"/>
          <w:szCs w:val="22"/>
        </w:rPr>
        <w:t xml:space="preserve">H1: </w:t>
      </w:r>
      <w:r>
        <w:rPr>
          <w:rFonts w:ascii="Calibri" w:cs="Calibri" w:eastAsia="Calibri" w:hAnsi="Calibri"/>
          <w:color w:val="1F2937"/>
          <w:sz w:val="22"/>
          <w:szCs w:val="22"/>
        </w:rPr>
        <w:t xml:space="preserve">"The AI concierge for every customer"</w:t>
      </w:r>
    </w:p>
    <w:p>
      <w:pPr>
        <w:pStyle w:val="ListParagraph"/>
        <w:numPr>
          <w:ilvl w:val="0"/>
          <w:numId w:val="2"/>
        </w:numPr>
        <w:spacing w:after="40" w:before="40" w:line="280"/>
      </w:pPr>
      <w:r>
        <w:rPr>
          <w:rFonts w:ascii="Calibri" w:cs="Calibri" w:eastAsia="Calibri" w:hAnsi="Calibri"/>
          <w:b/>
          <w:bCs/>
          <w:color w:val="1F2937"/>
          <w:sz w:val="22"/>
          <w:szCs w:val="22"/>
        </w:rPr>
        <w:t xml:space="preserve">Subhead: </w:t>
      </w:r>
      <w:r>
        <w:rPr>
          <w:rFonts w:ascii="Calibri" w:cs="Calibri" w:eastAsia="Calibri" w:hAnsi="Calibri"/>
          <w:color w:val="1F2937"/>
          <w:sz w:val="22"/>
          <w:szCs w:val="22"/>
        </w:rPr>
        <w:t xml:space="preserve">"Build, optimize, and scale AI agents that treat every customer like the only one."</w:t>
      </w:r>
    </w:p>
    <w:p>
      <w:pPr>
        <w:pStyle w:val="ListParagraph"/>
        <w:numPr>
          <w:ilvl w:val="0"/>
          <w:numId w:val="2"/>
        </w:numPr>
        <w:spacing w:after="40" w:before="40" w:line="280"/>
      </w:pPr>
      <w:r>
        <w:rPr>
          <w:rFonts w:ascii="Calibri" w:cs="Calibri" w:eastAsia="Calibri" w:hAnsi="Calibri"/>
          <w:b/>
          <w:bCs/>
          <w:color w:val="1F2937"/>
          <w:sz w:val="22"/>
          <w:szCs w:val="22"/>
        </w:rPr>
        <w:t xml:space="preserve">Section H2s: </w:t>
      </w:r>
      <w:r>
        <w:rPr>
          <w:rFonts w:ascii="Calibri" w:cs="Calibri" w:eastAsia="Calibri" w:hAnsi="Calibri"/>
          <w:color w:val="1F2937"/>
          <w:sz w:val="22"/>
          <w:szCs w:val="22"/>
        </w:rPr>
        <w:t xml:space="preserve">Powering concierge experiences for the world's leading enterprises; Build / Optimize / Scale your agent; Your business evolves. Your AI agent should too; Build once and deploy everywhere; Instant ROI on the metrics that matter.</w:t>
      </w:r>
    </w:p>
    <w:p>
      <w:pPr>
        <w:pStyle w:val="ListParagraph"/>
        <w:numPr>
          <w:ilvl w:val="0"/>
          <w:numId w:val="2"/>
        </w:numPr>
        <w:spacing w:after="40" w:before="40" w:line="280"/>
      </w:pPr>
      <w:r>
        <w:rPr>
          <w:rFonts w:ascii="Calibri" w:cs="Calibri" w:eastAsia="Calibri" w:hAnsi="Calibri"/>
          <w:b/>
          <w:bCs/>
          <w:color w:val="1F2937"/>
          <w:sz w:val="22"/>
          <w:szCs w:val="22"/>
        </w:rPr>
        <w:t xml:space="preserve">CTAs: </w:t>
      </w:r>
      <w:r>
        <w:rPr>
          <w:rFonts w:ascii="Calibri" w:cs="Calibri" w:eastAsia="Calibri" w:hAnsi="Calibri"/>
          <w:color w:val="1F2937"/>
          <w:sz w:val="22"/>
          <w:szCs w:val="22"/>
        </w:rPr>
        <w:t xml:space="preserve">Get a demo (inline email); Sign in.</w:t>
      </w:r>
    </w:p>
    <w:p>
      <w:pPr>
        <w:pStyle w:val="ListParagraph"/>
        <w:numPr>
          <w:ilvl w:val="0"/>
          <w:numId w:val="2"/>
        </w:numPr>
        <w:spacing w:after="40" w:before="40" w:line="280"/>
      </w:pPr>
      <w:r>
        <w:rPr>
          <w:rFonts w:ascii="Calibri" w:cs="Calibri" w:eastAsia="Calibri" w:hAnsi="Calibri"/>
          <w:b/>
          <w:bCs/>
          <w:color w:val="1F2937"/>
          <w:sz w:val="22"/>
          <w:szCs w:val="22"/>
        </w:rPr>
        <w:t xml:space="preserve">Notable: </w:t>
      </w:r>
      <w:r>
        <w:rPr>
          <w:rFonts w:ascii="Calibri" w:cs="Calibri" w:eastAsia="Calibri" w:hAnsi="Calibri"/>
          <w:color w:val="1F2937"/>
          <w:sz w:val="22"/>
          <w:szCs w:val="22"/>
        </w:rPr>
        <w:t xml:space="preserve">"Introducing Proactive Agents" top banner functions as a product-announcement trust signal.</w:t>
      </w:r>
    </w:p>
    <w:p>
      <w:pPr>
        <w:pStyle w:val="Heading3"/>
        <w:spacing w:after="100" w:before="220"/>
      </w:pPr>
      <w:r>
        <w:rPr>
          <w:rFonts w:ascii="Calibri" w:cs="Calibri" w:eastAsia="Calibri" w:hAnsi="Calibri"/>
          <w:b/>
          <w:bCs/>
          <w:color w:val="4F46E5"/>
          <w:sz w:val="24"/>
          <w:szCs w:val="24"/>
        </w:rPr>
        <w:t xml:space="preserve">Glean (glean.com)</w:t>
      </w:r>
    </w:p>
    <w:p>
      <w:pPr>
        <w:pStyle w:val="ListParagraph"/>
        <w:numPr>
          <w:ilvl w:val="0"/>
          <w:numId w:val="2"/>
        </w:numPr>
        <w:spacing w:after="40" w:before="40" w:line="280"/>
      </w:pPr>
      <w:r>
        <w:rPr>
          <w:rFonts w:ascii="Calibri" w:cs="Calibri" w:eastAsia="Calibri" w:hAnsi="Calibri"/>
          <w:b/>
          <w:bCs/>
          <w:color w:val="1F2937"/>
          <w:sz w:val="22"/>
          <w:szCs w:val="22"/>
        </w:rPr>
        <w:t xml:space="preserve">H1: </w:t>
      </w:r>
      <w:r>
        <w:rPr>
          <w:rFonts w:ascii="Calibri" w:cs="Calibri" w:eastAsia="Calibri" w:hAnsi="Calibri"/>
          <w:color w:val="1F2937"/>
          <w:sz w:val="22"/>
          <w:szCs w:val="22"/>
        </w:rPr>
        <w:t xml:space="preserve">"Work AI that works for users."</w:t>
      </w:r>
    </w:p>
    <w:p>
      <w:pPr>
        <w:pStyle w:val="ListParagraph"/>
        <w:numPr>
          <w:ilvl w:val="0"/>
          <w:numId w:val="2"/>
        </w:numPr>
        <w:spacing w:after="40" w:before="40" w:line="280"/>
      </w:pPr>
      <w:r>
        <w:rPr>
          <w:rFonts w:ascii="Calibri" w:cs="Calibri" w:eastAsia="Calibri" w:hAnsi="Calibri"/>
          <w:b/>
          <w:bCs/>
          <w:color w:val="1F2937"/>
          <w:sz w:val="22"/>
          <w:szCs w:val="22"/>
        </w:rPr>
        <w:t xml:space="preserve">Subhead: </w:t>
      </w:r>
      <w:r>
        <w:rPr>
          <w:rFonts w:ascii="Calibri" w:cs="Calibri" w:eastAsia="Calibri" w:hAnsi="Calibri"/>
          <w:color w:val="1F2937"/>
          <w:sz w:val="22"/>
          <w:szCs w:val="22"/>
        </w:rPr>
        <w:t xml:space="preserve">"Give every employee an AI Assistant and Agents that put your company's knowledge to work."</w:t>
      </w:r>
    </w:p>
    <w:p>
      <w:pPr>
        <w:pStyle w:val="ListParagraph"/>
        <w:numPr>
          <w:ilvl w:val="0"/>
          <w:numId w:val="2"/>
        </w:numPr>
        <w:spacing w:after="40" w:before="40" w:line="280"/>
      </w:pPr>
      <w:r>
        <w:rPr>
          <w:rFonts w:ascii="Calibri" w:cs="Calibri" w:eastAsia="Calibri" w:hAnsi="Calibri"/>
          <w:b/>
          <w:bCs/>
          <w:color w:val="1F2937"/>
          <w:sz w:val="22"/>
          <w:szCs w:val="22"/>
        </w:rPr>
        <w:t xml:space="preserve">Section H2s: </w:t>
      </w:r>
      <w:r>
        <w:rPr>
          <w:rFonts w:ascii="Calibri" w:cs="Calibri" w:eastAsia="Calibri" w:hAnsi="Calibri"/>
          <w:color w:val="1F2937"/>
          <w:sz w:val="22"/>
          <w:szCs w:val="22"/>
        </w:rPr>
        <w:t xml:space="preserve">Reimagine your everyday work with AI; Find and understand; Create and summarize; Automate; One centralized platform for quickly and securely deploying AI in the enterprise; Glean Agents / Assistant / Search / Protect.</w:t>
      </w:r>
    </w:p>
    <w:p>
      <w:pPr>
        <w:pStyle w:val="ListParagraph"/>
        <w:numPr>
          <w:ilvl w:val="0"/>
          <w:numId w:val="2"/>
        </w:numPr>
        <w:spacing w:after="40" w:before="40" w:line="280"/>
      </w:pPr>
      <w:r>
        <w:rPr>
          <w:rFonts w:ascii="Calibri" w:cs="Calibri" w:eastAsia="Calibri" w:hAnsi="Calibri"/>
          <w:b/>
          <w:bCs/>
          <w:color w:val="1F2937"/>
          <w:sz w:val="22"/>
          <w:szCs w:val="22"/>
        </w:rPr>
        <w:t xml:space="preserve">CTAs: </w:t>
      </w:r>
      <w:r>
        <w:rPr>
          <w:rFonts w:ascii="Calibri" w:cs="Calibri" w:eastAsia="Calibri" w:hAnsi="Calibri"/>
          <w:color w:val="1F2937"/>
          <w:sz w:val="22"/>
          <w:szCs w:val="22"/>
        </w:rPr>
        <w:t xml:space="preserve">Get a demo; Watch video; Sign in.</w:t>
      </w:r>
    </w:p>
    <w:p>
      <w:pPr>
        <w:pStyle w:val="ListParagraph"/>
        <w:numPr>
          <w:ilvl w:val="0"/>
          <w:numId w:val="2"/>
        </w:numPr>
        <w:spacing w:after="40" w:before="40" w:line="280"/>
      </w:pPr>
      <w:r>
        <w:rPr>
          <w:rFonts w:ascii="Calibri" w:cs="Calibri" w:eastAsia="Calibri" w:hAnsi="Calibri"/>
          <w:b/>
          <w:bCs/>
          <w:color w:val="1F2937"/>
          <w:sz w:val="22"/>
          <w:szCs w:val="22"/>
        </w:rPr>
        <w:t xml:space="preserve">Notable: </w:t>
      </w:r>
      <w:r>
        <w:rPr>
          <w:rFonts w:ascii="Calibri" w:cs="Calibri" w:eastAsia="Calibri" w:hAnsi="Calibri"/>
          <w:color w:val="1F2937"/>
          <w:sz w:val="22"/>
          <w:szCs w:val="22"/>
        </w:rPr>
        <w:t xml:space="preserve">Gartner Peer Insights 4.5/5.0 (103 reviews) and G2 4.8/5.0 (130+ reviews) badges placed above the headline.</w:t>
      </w:r>
    </w:p>
    <w:p>
      <w:pPr>
        <w:pStyle w:val="Heading3"/>
        <w:spacing w:after="100" w:before="220"/>
      </w:pPr>
      <w:r>
        <w:rPr>
          <w:rFonts w:ascii="Calibri" w:cs="Calibri" w:eastAsia="Calibri" w:hAnsi="Calibri"/>
          <w:b/>
          <w:bCs/>
          <w:color w:val="4F46E5"/>
          <w:sz w:val="24"/>
          <w:szCs w:val="24"/>
        </w:rPr>
        <w:t xml:space="preserve">Writer (writer.com)</w:t>
      </w:r>
    </w:p>
    <w:p>
      <w:pPr>
        <w:pStyle w:val="ListParagraph"/>
        <w:numPr>
          <w:ilvl w:val="0"/>
          <w:numId w:val="2"/>
        </w:numPr>
        <w:spacing w:after="40" w:before="40" w:line="280"/>
      </w:pPr>
      <w:r>
        <w:rPr>
          <w:rFonts w:ascii="Calibri" w:cs="Calibri" w:eastAsia="Calibri" w:hAnsi="Calibri"/>
          <w:b/>
          <w:bCs/>
          <w:color w:val="1F2937"/>
          <w:sz w:val="22"/>
          <w:szCs w:val="22"/>
        </w:rPr>
        <w:t xml:space="preserve">H1: </w:t>
      </w:r>
      <w:r>
        <w:rPr>
          <w:rFonts w:ascii="Calibri" w:cs="Calibri" w:eastAsia="Calibri" w:hAnsi="Calibri"/>
          <w:color w:val="1F2937"/>
          <w:sz w:val="22"/>
          <w:szCs w:val="22"/>
        </w:rPr>
        <w:t xml:space="preserve">"Your best [seller / operator / ...] can't be everywhere. Their AI agents can." (word-rotating)</w:t>
      </w:r>
    </w:p>
    <w:p>
      <w:pPr>
        <w:pStyle w:val="ListParagraph"/>
        <w:numPr>
          <w:ilvl w:val="0"/>
          <w:numId w:val="2"/>
        </w:numPr>
        <w:spacing w:after="40" w:before="40" w:line="280"/>
      </w:pPr>
      <w:r>
        <w:rPr>
          <w:rFonts w:ascii="Calibri" w:cs="Calibri" w:eastAsia="Calibri" w:hAnsi="Calibri"/>
          <w:b/>
          <w:bCs/>
          <w:color w:val="1F2937"/>
          <w:sz w:val="22"/>
          <w:szCs w:val="22"/>
        </w:rPr>
        <w:t xml:space="preserve">Section H2s: </w:t>
      </w:r>
      <w:r>
        <w:rPr>
          <w:rFonts w:ascii="Calibri" w:cs="Calibri" w:eastAsia="Calibri" w:hAnsi="Calibri"/>
          <w:color w:val="1F2937"/>
          <w:sz w:val="22"/>
          <w:szCs w:val="22"/>
        </w:rPr>
        <w:t xml:space="preserve">Not a tool you prompt. An agent you delegate to; Your company's DNA, encoded in AI agents; Measurable outcomes from leading enterprises; Same team. Exponential impact; Your IT and technology teams, on board from day one.</w:t>
      </w:r>
    </w:p>
    <w:p>
      <w:pPr>
        <w:pStyle w:val="ListParagraph"/>
        <w:numPr>
          <w:ilvl w:val="0"/>
          <w:numId w:val="2"/>
        </w:numPr>
        <w:spacing w:after="40" w:before="40" w:line="280"/>
      </w:pPr>
      <w:r>
        <w:rPr>
          <w:rFonts w:ascii="Calibri" w:cs="Calibri" w:eastAsia="Calibri" w:hAnsi="Calibri"/>
          <w:b/>
          <w:bCs/>
          <w:color w:val="1F2937"/>
          <w:sz w:val="22"/>
          <w:szCs w:val="22"/>
        </w:rPr>
        <w:t xml:space="preserve">CTAs: </w:t>
      </w:r>
      <w:r>
        <w:rPr>
          <w:rFonts w:ascii="Calibri" w:cs="Calibri" w:eastAsia="Calibri" w:hAnsi="Calibri"/>
          <w:color w:val="1F2937"/>
          <w:sz w:val="22"/>
          <w:szCs w:val="22"/>
        </w:rPr>
        <w:t xml:space="preserve">Try for free; Sign in; Request a demo (inline email).</w:t>
      </w:r>
    </w:p>
    <w:p>
      <w:pPr>
        <w:pStyle w:val="Heading3"/>
        <w:spacing w:after="100" w:before="220"/>
      </w:pPr>
      <w:r>
        <w:rPr>
          <w:rFonts w:ascii="Calibri" w:cs="Calibri" w:eastAsia="Calibri" w:hAnsi="Calibri"/>
          <w:b/>
          <w:bCs/>
          <w:color w:val="4F46E5"/>
          <w:sz w:val="24"/>
          <w:szCs w:val="24"/>
        </w:rPr>
        <w:t xml:space="preserve">CrewAI (crewai.com)</w:t>
      </w:r>
    </w:p>
    <w:p>
      <w:pPr>
        <w:pStyle w:val="ListParagraph"/>
        <w:numPr>
          <w:ilvl w:val="0"/>
          <w:numId w:val="2"/>
        </w:numPr>
        <w:spacing w:after="40" w:before="40" w:line="280"/>
      </w:pPr>
      <w:r>
        <w:rPr>
          <w:rFonts w:ascii="Calibri" w:cs="Calibri" w:eastAsia="Calibri" w:hAnsi="Calibri"/>
          <w:b/>
          <w:bCs/>
          <w:color w:val="1F2937"/>
          <w:sz w:val="22"/>
          <w:szCs w:val="22"/>
        </w:rPr>
        <w:t xml:space="preserve">H1: </w:t>
      </w:r>
      <w:r>
        <w:rPr>
          <w:rFonts w:ascii="Calibri" w:cs="Calibri" w:eastAsia="Calibri" w:hAnsi="Calibri"/>
          <w:color w:val="1F2937"/>
          <w:sz w:val="22"/>
          <w:szCs w:val="22"/>
        </w:rPr>
        <w:t xml:space="preserve">"Accelerate AI agent adoption and start delivering production value"</w:t>
      </w:r>
    </w:p>
    <w:p>
      <w:pPr>
        <w:pStyle w:val="ListParagraph"/>
        <w:numPr>
          <w:ilvl w:val="0"/>
          <w:numId w:val="2"/>
        </w:numPr>
        <w:spacing w:after="40" w:before="40" w:line="280"/>
      </w:pPr>
      <w:r>
        <w:rPr>
          <w:rFonts w:ascii="Calibri" w:cs="Calibri" w:eastAsia="Calibri" w:hAnsi="Calibri"/>
          <w:b/>
          <w:bCs/>
          <w:color w:val="1F2937"/>
          <w:sz w:val="22"/>
          <w:szCs w:val="22"/>
        </w:rPr>
        <w:t xml:space="preserve">Subhead: </w:t>
      </w:r>
      <w:r>
        <w:rPr>
          <w:rFonts w:ascii="Calibri" w:cs="Calibri" w:eastAsia="Calibri" w:hAnsi="Calibri"/>
          <w:color w:val="1F2937"/>
          <w:sz w:val="22"/>
          <w:szCs w:val="22"/>
        </w:rPr>
        <w:t xml:space="preserve">"CrewAI makes it easy for enterprises to operate teams of AI agents that perform complex tasks autonomously, reliably and with full control."</w:t>
      </w:r>
    </w:p>
    <w:p>
      <w:pPr>
        <w:pStyle w:val="ListParagraph"/>
        <w:numPr>
          <w:ilvl w:val="0"/>
          <w:numId w:val="2"/>
        </w:numPr>
        <w:spacing w:after="40" w:before="40" w:line="280"/>
      </w:pPr>
      <w:r>
        <w:rPr>
          <w:rFonts w:ascii="Calibri" w:cs="Calibri" w:eastAsia="Calibri" w:hAnsi="Calibri"/>
          <w:b/>
          <w:bCs/>
          <w:color w:val="1F2937"/>
          <w:sz w:val="22"/>
          <w:szCs w:val="22"/>
        </w:rPr>
        <w:t xml:space="preserve">Section H2s: </w:t>
      </w:r>
      <w:r>
        <w:rPr>
          <w:rFonts w:ascii="Calibri" w:cs="Calibri" w:eastAsia="Calibri" w:hAnsi="Calibri"/>
          <w:color w:val="1F2937"/>
          <w:sz w:val="22"/>
          <w:szCs w:val="22"/>
        </w:rPr>
        <w:t xml:space="preserve">Enable teams to build AI agents; Everything you need to succeed; The future is here, right now; The Agent Management Platform; Join innovators delivering real value; Ready to get started?</w:t>
      </w:r>
    </w:p>
    <w:p>
      <w:pPr>
        <w:pStyle w:val="ListParagraph"/>
        <w:numPr>
          <w:ilvl w:val="0"/>
          <w:numId w:val="2"/>
        </w:numPr>
        <w:spacing w:after="40" w:before="40" w:line="280"/>
      </w:pPr>
      <w:r>
        <w:rPr>
          <w:rFonts w:ascii="Calibri" w:cs="Calibri" w:eastAsia="Calibri" w:hAnsi="Calibri"/>
          <w:b/>
          <w:bCs/>
          <w:color w:val="1F2937"/>
          <w:sz w:val="22"/>
          <w:szCs w:val="22"/>
        </w:rPr>
        <w:t xml:space="preserve">CTAs: </w:t>
      </w:r>
      <w:r>
        <w:rPr>
          <w:rFonts w:ascii="Calibri" w:cs="Calibri" w:eastAsia="Calibri" w:hAnsi="Calibri"/>
          <w:color w:val="1F2937"/>
          <w:sz w:val="22"/>
          <w:szCs w:val="22"/>
        </w:rPr>
        <w:t xml:space="preserve">Sign in; Sign up; Request a demo; interactive chatbot with Talk to Sales / Book a Demo / Product Support shortcuts.</w:t>
      </w:r>
    </w:p>
    <w:p>
      <w:pPr>
        <w:pStyle w:val="Heading3"/>
        <w:spacing w:after="100" w:before="220"/>
      </w:pPr>
      <w:r>
        <w:rPr>
          <w:rFonts w:ascii="Calibri" w:cs="Calibri" w:eastAsia="Calibri" w:hAnsi="Calibri"/>
          <w:b/>
          <w:bCs/>
          <w:color w:val="4F46E5"/>
          <w:sz w:val="24"/>
          <w:szCs w:val="24"/>
        </w:rPr>
        <w:t xml:space="preserve">Credo AI (credo.ai)</w:t>
      </w:r>
    </w:p>
    <w:p>
      <w:pPr>
        <w:pStyle w:val="ListParagraph"/>
        <w:numPr>
          <w:ilvl w:val="0"/>
          <w:numId w:val="2"/>
        </w:numPr>
        <w:spacing w:after="40" w:before="40" w:line="280"/>
      </w:pPr>
      <w:r>
        <w:rPr>
          <w:rFonts w:ascii="Calibri" w:cs="Calibri" w:eastAsia="Calibri" w:hAnsi="Calibri"/>
          <w:b/>
          <w:bCs/>
          <w:color w:val="1F2937"/>
          <w:sz w:val="22"/>
          <w:szCs w:val="22"/>
        </w:rPr>
        <w:t xml:space="preserve">H1: </w:t>
      </w:r>
      <w:r>
        <w:rPr>
          <w:rFonts w:ascii="Calibri" w:cs="Calibri" w:eastAsia="Calibri" w:hAnsi="Calibri"/>
          <w:color w:val="1F2937"/>
          <w:sz w:val="22"/>
          <w:szCs w:val="22"/>
        </w:rPr>
        <w:t xml:space="preserve">"Govern AI Everywhere."</w:t>
      </w:r>
    </w:p>
    <w:p>
      <w:pPr>
        <w:pStyle w:val="ListParagraph"/>
        <w:numPr>
          <w:ilvl w:val="0"/>
          <w:numId w:val="2"/>
        </w:numPr>
        <w:spacing w:after="40" w:before="40" w:line="280"/>
      </w:pPr>
      <w:r>
        <w:rPr>
          <w:rFonts w:ascii="Calibri" w:cs="Calibri" w:eastAsia="Calibri" w:hAnsi="Calibri"/>
          <w:b/>
          <w:bCs/>
          <w:color w:val="1F2937"/>
          <w:sz w:val="22"/>
          <w:szCs w:val="22"/>
        </w:rPr>
        <w:t xml:space="preserve">Subhead: </w:t>
      </w:r>
      <w:r>
        <w:rPr>
          <w:rFonts w:ascii="Calibri" w:cs="Calibri" w:eastAsia="Calibri" w:hAnsi="Calibri"/>
          <w:color w:val="1F2937"/>
          <w:sz w:val="22"/>
          <w:szCs w:val="22"/>
        </w:rPr>
        <w:t xml:space="preserve">"One platform to discover, assess, and govern every AI agent, model, and application — continuously and in context."</w:t>
      </w:r>
    </w:p>
    <w:p>
      <w:pPr>
        <w:pStyle w:val="ListParagraph"/>
        <w:numPr>
          <w:ilvl w:val="0"/>
          <w:numId w:val="2"/>
        </w:numPr>
        <w:spacing w:after="40" w:before="40" w:line="280"/>
      </w:pPr>
      <w:r>
        <w:rPr>
          <w:rFonts w:ascii="Calibri" w:cs="Calibri" w:eastAsia="Calibri" w:hAnsi="Calibri"/>
          <w:b/>
          <w:bCs/>
          <w:color w:val="1F2937"/>
          <w:sz w:val="22"/>
          <w:szCs w:val="22"/>
        </w:rPr>
        <w:t xml:space="preserve">Section H2s: </w:t>
      </w:r>
      <w:r>
        <w:rPr>
          <w:rFonts w:ascii="Calibri" w:cs="Calibri" w:eastAsia="Calibri" w:hAnsi="Calibri"/>
          <w:color w:val="1F2937"/>
          <w:sz w:val="22"/>
          <w:szCs w:val="22"/>
        </w:rPr>
        <w:t xml:space="preserve">We Made the List!; We are setting the Standard for Trusted AI; AI Is Moving Faster Than Governance Can Keep Up; The Most Comprehensive, Continuous and Contextual AI Governance; Best-in-Class Technology. Most Credible Brand; What Makes Us Different; Ready to Lead in Trusted AI?</w:t>
      </w:r>
    </w:p>
    <w:p>
      <w:pPr>
        <w:pStyle w:val="ListParagraph"/>
        <w:numPr>
          <w:ilvl w:val="0"/>
          <w:numId w:val="2"/>
        </w:numPr>
        <w:spacing w:after="40" w:before="40" w:line="280"/>
      </w:pPr>
      <w:r>
        <w:rPr>
          <w:rFonts w:ascii="Calibri" w:cs="Calibri" w:eastAsia="Calibri" w:hAnsi="Calibri"/>
          <w:b/>
          <w:bCs/>
          <w:color w:val="1F2937"/>
          <w:sz w:val="22"/>
          <w:szCs w:val="22"/>
        </w:rPr>
        <w:t xml:space="preserve">CTAs: </w:t>
      </w:r>
      <w:r>
        <w:rPr>
          <w:rFonts w:ascii="Calibri" w:cs="Calibri" w:eastAsia="Calibri" w:hAnsi="Calibri"/>
          <w:color w:val="1F2937"/>
          <w:sz w:val="22"/>
          <w:szCs w:val="22"/>
        </w:rPr>
        <w:t xml:space="preserve">Get a Demo; Explore Platform; Talk to an AI Advisor.</w:t>
      </w:r>
    </w:p>
    <w:p>
      <w:pPr>
        <w:pStyle w:val="ListParagraph"/>
        <w:numPr>
          <w:ilvl w:val="0"/>
          <w:numId w:val="2"/>
        </w:numPr>
        <w:spacing w:after="40" w:before="40" w:line="280"/>
      </w:pPr>
      <w:r>
        <w:rPr>
          <w:rFonts w:ascii="Calibri" w:cs="Calibri" w:eastAsia="Calibri" w:hAnsi="Calibri"/>
          <w:b/>
          <w:bCs/>
          <w:color w:val="1F2937"/>
          <w:sz w:val="22"/>
          <w:szCs w:val="22"/>
        </w:rPr>
        <w:t xml:space="preserve">Notable: </w:t>
      </w:r>
      <w:r>
        <w:rPr>
          <w:rFonts w:ascii="Calibri" w:cs="Calibri" w:eastAsia="Calibri" w:hAnsi="Calibri"/>
          <w:color w:val="1F2937"/>
          <w:sz w:val="22"/>
          <w:szCs w:val="22"/>
        </w:rPr>
        <w:t xml:space="preserve">"Trusted by Fortune 500 leaders" pill above the headline; ticker banner "Credo AI Named No. 6 in Applied AI on Fast Company's World's Most Innovative Companies of 2026." Direct category competitor; positioning is broader than Intellios.</w:t>
      </w:r>
    </w:p>
    <w:p>
      <w:pPr>
        <w:pStyle w:val="Heading1"/>
        <w:pageBreakBefore/>
        <w:spacing w:after="200" w:before="360"/>
      </w:pPr>
      <w:r>
        <w:rPr>
          <w:rFonts w:ascii="Calibri" w:cs="Calibri" w:eastAsia="Calibri" w:hAnsi="Calibri"/>
          <w:b/>
          <w:bCs/>
          <w:color w:val="0B1220"/>
          <w:sz w:val="36"/>
          <w:szCs w:val="36"/>
        </w:rPr>
        <w:t xml:space="preserve">Appendix B — Intellios full section inventory</w:t>
      </w:r>
    </w:p>
    <w:p>
      <w:pPr>
        <w:pBdr>
          <w:bottom w:val="single" w:color="4F46E5" w:sz="6" w:space="1"/>
        </w:pBdr>
        <w:spacing w:after="160" w:before="80"/>
      </w:pPr>
      <w:r>
        <w:rPr>
          <w:rFonts w:ascii="Calibri" w:cs="Calibri" w:eastAsia="Calibri" w:hAnsi="Calibri"/>
          <w:sz w:val="2"/>
          <w:szCs w:val="2"/>
        </w:rPr>
        <w:t xml:space="preserve"/>
      </w:r>
    </w:p>
    <w:p>
      <w:pPr>
        <w:spacing w:after="120" w:before="80" w:line="300"/>
      </w:pPr>
      <w:r>
        <w:rPr>
          <w:rFonts w:ascii="Calibri" w:cs="Calibri" w:eastAsia="Calibri" w:hAnsi="Calibri"/>
          <w:color w:val="1F2937"/>
          <w:sz w:val="22"/>
          <w:szCs w:val="22"/>
        </w:rPr>
        <w:t xml:space="preserve">Captured verbatim section titles and key copy from intellios.app/landing:</w:t>
      </w:r>
    </w:p>
    <w:p>
      <w:pPr>
        <w:pStyle w:val="ListParagraph"/>
        <w:numPr>
          <w:ilvl w:val="0"/>
          <w:numId w:val="2"/>
        </w:numPr>
        <w:spacing w:after="40" w:before="40" w:line="280"/>
      </w:pPr>
      <w:r>
        <w:rPr>
          <w:rFonts w:ascii="Calibri" w:cs="Calibri" w:eastAsia="Calibri" w:hAnsi="Calibri"/>
          <w:b/>
          <w:bCs/>
          <w:color w:val="1F2937"/>
          <w:sz w:val="22"/>
          <w:szCs w:val="22"/>
        </w:rPr>
        <w:t xml:space="preserve">Navigation: </w:t>
      </w:r>
      <w:r>
        <w:rPr>
          <w:rFonts w:ascii="Calibri" w:cs="Calibri" w:eastAsia="Calibri" w:hAnsi="Calibri"/>
          <w:color w:val="1F2937"/>
          <w:sz w:val="22"/>
          <w:szCs w:val="22"/>
        </w:rPr>
        <w:t xml:space="preserve">Features; Use Cases; Security; Templates; ROI; Sign in; Request Early Access.</w:t>
      </w:r>
    </w:p>
    <w:p>
      <w:pPr>
        <w:pStyle w:val="ListParagraph"/>
        <w:numPr>
          <w:ilvl w:val="0"/>
          <w:numId w:val="2"/>
        </w:numPr>
        <w:spacing w:after="40" w:before="40" w:line="280"/>
      </w:pPr>
      <w:r>
        <w:rPr>
          <w:rFonts w:ascii="Calibri" w:cs="Calibri" w:eastAsia="Calibri" w:hAnsi="Calibri"/>
          <w:b/>
          <w:bCs/>
          <w:color w:val="1F2937"/>
          <w:sz w:val="22"/>
          <w:szCs w:val="22"/>
        </w:rPr>
        <w:t xml:space="preserve">Hero eyebrow: </w:t>
      </w:r>
      <w:r>
        <w:rPr>
          <w:rFonts w:ascii="Calibri" w:cs="Calibri" w:eastAsia="Calibri" w:hAnsi="Calibri"/>
          <w:color w:val="1F2937"/>
          <w:sz w:val="22"/>
          <w:szCs w:val="22"/>
        </w:rPr>
        <w:t xml:space="preserve">"The Governed Control Plane for AI Agents"</w:t>
      </w:r>
    </w:p>
    <w:p>
      <w:pPr>
        <w:pStyle w:val="ListParagraph"/>
        <w:numPr>
          <w:ilvl w:val="0"/>
          <w:numId w:val="2"/>
        </w:numPr>
        <w:spacing w:after="40" w:before="40" w:line="280"/>
      </w:pPr>
      <w:r>
        <w:rPr>
          <w:rFonts w:ascii="Calibri" w:cs="Calibri" w:eastAsia="Calibri" w:hAnsi="Calibri"/>
          <w:b/>
          <w:bCs/>
          <w:color w:val="1F2937"/>
          <w:sz w:val="22"/>
          <w:szCs w:val="22"/>
        </w:rPr>
        <w:t xml:space="preserve">Hero H1: </w:t>
      </w:r>
      <w:r>
        <w:rPr>
          <w:rFonts w:ascii="Calibri" w:cs="Calibri" w:eastAsia="Calibri" w:hAnsi="Calibri"/>
          <w:color w:val="1F2937"/>
          <w:sz w:val="22"/>
          <w:szCs w:val="22"/>
        </w:rPr>
        <w:t xml:space="preserve">"Every AI agent in your enterprise — governed, auditable, compliant."</w:t>
      </w:r>
    </w:p>
    <w:p>
      <w:pPr>
        <w:pStyle w:val="ListParagraph"/>
        <w:numPr>
          <w:ilvl w:val="0"/>
          <w:numId w:val="2"/>
        </w:numPr>
        <w:spacing w:after="40" w:before="40" w:line="280"/>
      </w:pPr>
      <w:r>
        <w:rPr>
          <w:rFonts w:ascii="Calibri" w:cs="Calibri" w:eastAsia="Calibri" w:hAnsi="Calibri"/>
          <w:b/>
          <w:bCs/>
          <w:color w:val="1F2937"/>
          <w:sz w:val="22"/>
          <w:szCs w:val="22"/>
        </w:rPr>
        <w:t xml:space="preserve">Hero subhead: </w:t>
      </w:r>
      <w:r>
        <w:rPr>
          <w:rFonts w:ascii="Calibri" w:cs="Calibri" w:eastAsia="Calibri" w:hAnsi="Calibri"/>
          <w:color w:val="1F2937"/>
          <w:sz w:val="22"/>
          <w:szCs w:val="22"/>
        </w:rPr>
        <w:t xml:space="preserve">"Embed policy enforcement, automated audit trails, and continuous compliance into every AI agent — regardless of which cloud runs it."</w:t>
      </w:r>
    </w:p>
    <w:p>
      <w:pPr>
        <w:pStyle w:val="ListParagraph"/>
        <w:numPr>
          <w:ilvl w:val="0"/>
          <w:numId w:val="2"/>
        </w:numPr>
        <w:spacing w:after="40" w:before="40" w:line="280"/>
      </w:pPr>
      <w:r>
        <w:rPr>
          <w:rFonts w:ascii="Calibri" w:cs="Calibri" w:eastAsia="Calibri" w:hAnsi="Calibri"/>
          <w:b/>
          <w:bCs/>
          <w:color w:val="1F2937"/>
          <w:sz w:val="22"/>
          <w:szCs w:val="22"/>
        </w:rPr>
        <w:t xml:space="preserve">Hero tertiary: </w:t>
      </w:r>
      <w:r>
        <w:rPr>
          <w:rFonts w:ascii="Calibri" w:cs="Calibri" w:eastAsia="Calibri" w:hAnsi="Calibri"/>
          <w:color w:val="1F2937"/>
          <w:sz w:val="22"/>
          <w:szCs w:val="22"/>
        </w:rPr>
        <w:t xml:space="preserve">"Engineered to collapse MRM audit preparation from months to weeks. Works with AWS, Azure, and whatever comes next."</w:t>
      </w:r>
    </w:p>
    <w:p>
      <w:pPr>
        <w:pStyle w:val="ListParagraph"/>
        <w:numPr>
          <w:ilvl w:val="0"/>
          <w:numId w:val="2"/>
        </w:numPr>
        <w:spacing w:after="40" w:before="40" w:line="280"/>
      </w:pPr>
      <w:r>
        <w:rPr>
          <w:rFonts w:ascii="Calibri" w:cs="Calibri" w:eastAsia="Calibri" w:hAnsi="Calibri"/>
          <w:b/>
          <w:bCs/>
          <w:color w:val="1F2937"/>
          <w:sz w:val="22"/>
          <w:szCs w:val="22"/>
        </w:rPr>
        <w:t xml:space="preserve">Hero CTAs: </w:t>
      </w:r>
      <w:r>
        <w:rPr>
          <w:rFonts w:ascii="Calibri" w:cs="Calibri" w:eastAsia="Calibri" w:hAnsi="Calibri"/>
          <w:color w:val="1F2937"/>
          <w:sz w:val="22"/>
          <w:szCs w:val="22"/>
        </w:rPr>
        <w:t xml:space="preserve">Request Early Access; See How It Works.</w:t>
      </w:r>
    </w:p>
    <w:p>
      <w:pPr>
        <w:pStyle w:val="ListParagraph"/>
        <w:numPr>
          <w:ilvl w:val="0"/>
          <w:numId w:val="2"/>
        </w:numPr>
        <w:spacing w:after="40" w:before="40" w:line="280"/>
      </w:pPr>
      <w:r>
        <w:rPr>
          <w:rFonts w:ascii="Calibri" w:cs="Calibri" w:eastAsia="Calibri" w:hAnsi="Calibri"/>
          <w:b/>
          <w:bCs/>
          <w:color w:val="1F2937"/>
          <w:sz w:val="22"/>
          <w:szCs w:val="22"/>
        </w:rPr>
        <w:t xml:space="preserve">Industry chips: </w:t>
      </w:r>
      <w:r>
        <w:rPr>
          <w:rFonts w:ascii="Calibri" w:cs="Calibri" w:eastAsia="Calibri" w:hAnsi="Calibri"/>
          <w:color w:val="1F2937"/>
          <w:sz w:val="22"/>
          <w:szCs w:val="22"/>
        </w:rPr>
        <w:t xml:space="preserve">Financial Services; Healthcare; Insurance; Federal.</w:t>
      </w:r>
    </w:p>
    <w:p>
      <w:pPr>
        <w:pStyle w:val="ListParagraph"/>
        <w:numPr>
          <w:ilvl w:val="0"/>
          <w:numId w:val="2"/>
        </w:numPr>
        <w:spacing w:after="40" w:before="40" w:line="280"/>
      </w:pPr>
      <w:r>
        <w:rPr>
          <w:rFonts w:ascii="Calibri" w:cs="Calibri" w:eastAsia="Calibri" w:hAnsi="Calibri"/>
          <w:b/>
          <w:bCs/>
          <w:color w:val="1F2937"/>
          <w:sz w:val="22"/>
          <w:szCs w:val="22"/>
        </w:rPr>
        <w:t xml:space="preserve">Hero diagram: </w:t>
      </w:r>
      <w:r>
        <w:rPr>
          <w:rFonts w:ascii="Calibri" w:cs="Calibri" w:eastAsia="Calibri" w:hAnsi="Calibri"/>
          <w:color w:val="1F2937"/>
          <w:sz w:val="22"/>
          <w:szCs w:val="22"/>
        </w:rPr>
        <w:t xml:space="preserve">SVG: Claims-Triage-Agent + Risk-Scoring-Agent → Intellios shield (SR 11‑7 / GDPR / HIPAA) → Approved / Blocked / Production.</w:t>
      </w:r>
    </w:p>
    <w:p>
      <w:pPr>
        <w:pStyle w:val="ListParagraph"/>
        <w:numPr>
          <w:ilvl w:val="0"/>
          <w:numId w:val="2"/>
        </w:numPr>
        <w:spacing w:after="40" w:before="40" w:line="280"/>
      </w:pPr>
      <w:r>
        <w:rPr>
          <w:rFonts w:ascii="Calibri" w:cs="Calibri" w:eastAsia="Calibri" w:hAnsi="Calibri"/>
          <w:b/>
          <w:bCs/>
          <w:color w:val="1F2937"/>
          <w:sz w:val="22"/>
          <w:szCs w:val="22"/>
        </w:rPr>
        <w:t xml:space="preserve">Section 2: </w:t>
      </w:r>
      <w:r>
        <w:rPr>
          <w:rFonts w:ascii="Calibri" w:cs="Calibri" w:eastAsia="Calibri" w:hAnsi="Calibri"/>
          <w:color w:val="1F2937"/>
          <w:sz w:val="22"/>
          <w:szCs w:val="22"/>
        </w:rPr>
        <w:t xml:space="preserve">The Governance Gap — "AI agents are scaling. Governance isn't." Three statistics: 40% (Gartner), 78% (WalkMe/SAP), 63% (IBM Ponemon).</w:t>
      </w:r>
    </w:p>
    <w:p>
      <w:pPr>
        <w:pStyle w:val="ListParagraph"/>
        <w:numPr>
          <w:ilvl w:val="0"/>
          <w:numId w:val="2"/>
        </w:numPr>
        <w:spacing w:after="40" w:before="40" w:line="280"/>
      </w:pPr>
      <w:r>
        <w:rPr>
          <w:rFonts w:ascii="Calibri" w:cs="Calibri" w:eastAsia="Calibri" w:hAnsi="Calibri"/>
          <w:b/>
          <w:bCs/>
          <w:color w:val="1F2937"/>
          <w:sz w:val="22"/>
          <w:szCs w:val="22"/>
        </w:rPr>
        <w:t xml:space="preserve">Section 3: </w:t>
      </w:r>
      <w:r>
        <w:rPr>
          <w:rFonts w:ascii="Calibri" w:cs="Calibri" w:eastAsia="Calibri" w:hAnsi="Calibri"/>
          <w:color w:val="1F2937"/>
          <w:sz w:val="22"/>
          <w:szCs w:val="22"/>
        </w:rPr>
        <w:t xml:space="preserve">The Platform — "Three pillars of governed AI agent delivery." Design-Time Governance / Lifecycle Management / Production Observability.</w:t>
      </w:r>
    </w:p>
    <w:p>
      <w:pPr>
        <w:pStyle w:val="ListParagraph"/>
        <w:numPr>
          <w:ilvl w:val="0"/>
          <w:numId w:val="2"/>
        </w:numPr>
        <w:spacing w:after="40" w:before="40" w:line="280"/>
      </w:pPr>
      <w:r>
        <w:rPr>
          <w:rFonts w:ascii="Calibri" w:cs="Calibri" w:eastAsia="Calibri" w:hAnsi="Calibri"/>
          <w:b/>
          <w:bCs/>
          <w:color w:val="1F2937"/>
          <w:sz w:val="22"/>
          <w:szCs w:val="22"/>
        </w:rPr>
        <w:t xml:space="preserve">Section 4: </w:t>
      </w:r>
      <w:r>
        <w:rPr>
          <w:rFonts w:ascii="Calibri" w:cs="Calibri" w:eastAsia="Calibri" w:hAnsi="Calibri"/>
          <w:color w:val="1F2937"/>
          <w:sz w:val="22"/>
          <w:szCs w:val="22"/>
        </w:rPr>
        <w:t xml:space="preserve">How It Works — Author / Validate / Approve / Deploy with "Without Intellios" comparison column.</w:t>
      </w:r>
    </w:p>
    <w:p>
      <w:pPr>
        <w:pStyle w:val="ListParagraph"/>
        <w:numPr>
          <w:ilvl w:val="0"/>
          <w:numId w:val="2"/>
        </w:numPr>
        <w:spacing w:after="40" w:before="40" w:line="280"/>
      </w:pPr>
      <w:r>
        <w:rPr>
          <w:rFonts w:ascii="Calibri" w:cs="Calibri" w:eastAsia="Calibri" w:hAnsi="Calibri"/>
          <w:b/>
          <w:bCs/>
          <w:color w:val="1F2937"/>
          <w:sz w:val="22"/>
          <w:szCs w:val="22"/>
        </w:rPr>
        <w:t xml:space="preserve">Section 5: </w:t>
      </w:r>
      <w:r>
        <w:rPr>
          <w:rFonts w:ascii="Calibri" w:cs="Calibri" w:eastAsia="Calibri" w:hAnsi="Calibri"/>
          <w:color w:val="1F2937"/>
          <w:sz w:val="22"/>
          <w:szCs w:val="22"/>
        </w:rPr>
        <w:t xml:space="preserve">Use Cases — Chief Risk and Compliance Officers / AI/ML Platform Teams / CIOs and CTOs with Pain + With Intellios framing.</w:t>
      </w:r>
    </w:p>
    <w:p>
      <w:pPr>
        <w:pStyle w:val="ListParagraph"/>
        <w:numPr>
          <w:ilvl w:val="0"/>
          <w:numId w:val="2"/>
        </w:numPr>
        <w:spacing w:after="40" w:before="40" w:line="280"/>
      </w:pPr>
      <w:r>
        <w:rPr>
          <w:rFonts w:ascii="Calibri" w:cs="Calibri" w:eastAsia="Calibri" w:hAnsi="Calibri"/>
          <w:b/>
          <w:bCs/>
          <w:color w:val="1F2937"/>
          <w:sz w:val="22"/>
          <w:szCs w:val="22"/>
        </w:rPr>
        <w:t xml:space="preserve">Section 6: </w:t>
      </w:r>
      <w:r>
        <w:rPr>
          <w:rFonts w:ascii="Calibri" w:cs="Calibri" w:eastAsia="Calibri" w:hAnsi="Calibri"/>
          <w:color w:val="1F2937"/>
          <w:sz w:val="22"/>
          <w:szCs w:val="22"/>
        </w:rPr>
        <w:t xml:space="preserve">Why Intellios — vs. Building from Scratch / vs. Cloud-Native Tools Alone / vs. Point Solutions; White-Label Ready card.</w:t>
      </w:r>
    </w:p>
    <w:p>
      <w:pPr>
        <w:pStyle w:val="ListParagraph"/>
        <w:numPr>
          <w:ilvl w:val="0"/>
          <w:numId w:val="2"/>
        </w:numPr>
        <w:spacing w:after="40" w:before="40" w:line="280"/>
      </w:pPr>
      <w:r>
        <w:rPr>
          <w:rFonts w:ascii="Calibri" w:cs="Calibri" w:eastAsia="Calibri" w:hAnsi="Calibri"/>
          <w:b/>
          <w:bCs/>
          <w:color w:val="1F2937"/>
          <w:sz w:val="22"/>
          <w:szCs w:val="22"/>
        </w:rPr>
        <w:t xml:space="preserve">Section 7: </w:t>
      </w:r>
      <w:r>
        <w:rPr>
          <w:rFonts w:ascii="Calibri" w:cs="Calibri" w:eastAsia="Calibri" w:hAnsi="Calibri"/>
          <w:color w:val="1F2937"/>
          <w:sz w:val="22"/>
          <w:szCs w:val="22"/>
        </w:rPr>
        <w:t xml:space="preserve">Where We Are — Live: Core Governance Engine; Now accepting: Design Partners; Planned: SOC 2 Type II.</w:t>
      </w:r>
    </w:p>
    <w:p>
      <w:pPr>
        <w:pStyle w:val="ListParagraph"/>
        <w:numPr>
          <w:ilvl w:val="0"/>
          <w:numId w:val="2"/>
        </w:numPr>
        <w:spacing w:after="40" w:before="40" w:line="280"/>
      </w:pPr>
      <w:r>
        <w:rPr>
          <w:rFonts w:ascii="Calibri" w:cs="Calibri" w:eastAsia="Calibri" w:hAnsi="Calibri"/>
          <w:b/>
          <w:bCs/>
          <w:color w:val="1F2937"/>
          <w:sz w:val="22"/>
          <w:szCs w:val="22"/>
        </w:rPr>
        <w:t xml:space="preserve">Section 8: </w:t>
      </w:r>
      <w:r>
        <w:rPr>
          <w:rFonts w:ascii="Calibri" w:cs="Calibri" w:eastAsia="Calibri" w:hAnsi="Calibri"/>
          <w:color w:val="1F2937"/>
          <w:sz w:val="22"/>
          <w:szCs w:val="22"/>
        </w:rPr>
        <w:t xml:space="preserve">Framework map — SR 11‑7 / MRM; EU AI Act; NIST AI RMF; GDPR; HIPAA.</w:t>
      </w:r>
    </w:p>
    <w:p>
      <w:pPr>
        <w:pStyle w:val="ListParagraph"/>
        <w:numPr>
          <w:ilvl w:val="0"/>
          <w:numId w:val="2"/>
        </w:numPr>
        <w:spacing w:after="40" w:before="40" w:line="280"/>
      </w:pPr>
      <w:r>
        <w:rPr>
          <w:rFonts w:ascii="Calibri" w:cs="Calibri" w:eastAsia="Calibri" w:hAnsi="Calibri"/>
          <w:b/>
          <w:bCs/>
          <w:color w:val="1F2937"/>
          <w:sz w:val="22"/>
          <w:szCs w:val="22"/>
        </w:rPr>
        <w:t xml:space="preserve">Section 9: </w:t>
      </w:r>
      <w:r>
        <w:rPr>
          <w:rFonts w:ascii="Calibri" w:cs="Calibri" w:eastAsia="Calibri" w:hAnsi="Calibri"/>
          <w:color w:val="1F2937"/>
          <w:sz w:val="22"/>
          <w:szCs w:val="22"/>
        </w:rPr>
        <w:t xml:space="preserve">ROI — $670K shadow AI breach delta (IBM Ponemon); $75M Citibank OCC penalty; 80% no EBIT impact (McKinsey); 97% AI breaches lacked controls (IBM Ponemon).</w:t>
      </w:r>
    </w:p>
    <w:p>
      <w:pPr>
        <w:pStyle w:val="ListParagraph"/>
        <w:numPr>
          <w:ilvl w:val="0"/>
          <w:numId w:val="2"/>
        </w:numPr>
        <w:spacing w:after="40" w:before="40" w:line="280"/>
      </w:pPr>
      <w:r>
        <w:rPr>
          <w:rFonts w:ascii="Calibri" w:cs="Calibri" w:eastAsia="Calibri" w:hAnsi="Calibri"/>
          <w:b/>
          <w:bCs/>
          <w:color w:val="1F2937"/>
          <w:sz w:val="22"/>
          <w:szCs w:val="22"/>
        </w:rPr>
        <w:t xml:space="preserve">Section 10: </w:t>
      </w:r>
      <w:r>
        <w:rPr>
          <w:rFonts w:ascii="Calibri" w:cs="Calibri" w:eastAsia="Calibri" w:hAnsi="Calibri"/>
          <w:color w:val="1F2937"/>
          <w:sz w:val="22"/>
          <w:szCs w:val="22"/>
        </w:rPr>
        <w:t xml:space="preserve">Free Guide — "The Enterprise AI Agent Governance Framework" with email capture (currently "we'll send it when it's ready").</w:t>
      </w:r>
    </w:p>
    <w:p>
      <w:pPr>
        <w:pStyle w:val="ListParagraph"/>
        <w:numPr>
          <w:ilvl w:val="0"/>
          <w:numId w:val="2"/>
        </w:numPr>
        <w:spacing w:after="40" w:before="40" w:line="280"/>
      </w:pPr>
      <w:r>
        <w:rPr>
          <w:rFonts w:ascii="Calibri" w:cs="Calibri" w:eastAsia="Calibri" w:hAnsi="Calibri"/>
          <w:b/>
          <w:bCs/>
          <w:color w:val="1F2937"/>
          <w:sz w:val="22"/>
          <w:szCs w:val="22"/>
        </w:rPr>
        <w:t xml:space="preserve">Section 11: </w:t>
      </w:r>
      <w:r>
        <w:rPr>
          <w:rFonts w:ascii="Calibri" w:cs="Calibri" w:eastAsia="Calibri" w:hAnsi="Calibri"/>
          <w:color w:val="1F2937"/>
          <w:sz w:val="22"/>
          <w:szCs w:val="22"/>
        </w:rPr>
        <w:t xml:space="preserve">FAQ — cloud providers; implementation time; tenant isolation; compliance frameworks; free trial.</w:t>
      </w:r>
    </w:p>
    <w:p>
      <w:pPr>
        <w:pStyle w:val="ListParagraph"/>
        <w:numPr>
          <w:ilvl w:val="0"/>
          <w:numId w:val="2"/>
        </w:numPr>
        <w:spacing w:after="40" w:before="40" w:line="280"/>
      </w:pPr>
      <w:r>
        <w:rPr>
          <w:rFonts w:ascii="Calibri" w:cs="Calibri" w:eastAsia="Calibri" w:hAnsi="Calibri"/>
          <w:b/>
          <w:bCs/>
          <w:color w:val="1F2937"/>
          <w:sz w:val="22"/>
          <w:szCs w:val="22"/>
        </w:rPr>
        <w:t xml:space="preserve">Section 12: </w:t>
      </w:r>
      <w:r>
        <w:rPr>
          <w:rFonts w:ascii="Calibri" w:cs="Calibri" w:eastAsia="Calibri" w:hAnsi="Calibri"/>
          <w:color w:val="1F2937"/>
          <w:sz w:val="22"/>
          <w:szCs w:val="22"/>
        </w:rPr>
        <w:t xml:space="preserve">Closing CTA — "Your regulators are asking about your AI agents. Have answers ready." Apply for Design Partnership; Talk to Sales.</w:t>
      </w:r>
    </w:p>
    <w:p>
      <w:pPr>
        <w:pStyle w:val="Heading1"/>
        <w:pageBreakBefore/>
        <w:spacing w:after="200" w:before="360"/>
      </w:pPr>
      <w:r>
        <w:rPr>
          <w:rFonts w:ascii="Calibri" w:cs="Calibri" w:eastAsia="Calibri" w:hAnsi="Calibri"/>
          <w:b/>
          <w:bCs/>
          <w:color w:val="0B1220"/>
          <w:sz w:val="36"/>
          <w:szCs w:val="36"/>
        </w:rPr>
        <w:t xml:space="preserve">Appendix C — Recommendation backlog summary</w:t>
      </w:r>
    </w:p>
    <w:p>
      <w:pPr>
        <w:pBdr>
          <w:bottom w:val="single" w:color="4F46E5" w:sz="6" w:space="1"/>
        </w:pBdr>
        <w:spacing w:after="160" w:before="80"/>
      </w:pPr>
      <w:r>
        <w:rPr>
          <w:rFonts w:ascii="Calibri" w:cs="Calibri" w:eastAsia="Calibri" w:hAnsi="Calibri"/>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860"/>
        <w:gridCol w:w="1900"/>
        <w:gridCol w:w="1900"/>
      </w:tblGrid>
      <w:tr>
        <w:trPr>
          <w:tblHeader/>
        </w:trPr>
        <w:tc>
          <w:tcPr>
            <w:tcW w:type="dxa" w:w="700"/>
            <w:tcBorders>
              <w:top w:val="single" w:color="CBD5E1" w:sz="4"/>
              <w:left w:val="single" w:color="CBD5E1" w:sz="4"/>
              <w:bottom w:val="single" w:color="CBD5E1" w:sz="4"/>
              <w:right w:val="single" w:color="CBD5E1" w:sz="4"/>
            </w:tcBorders>
            <w:shd w:fill="EEF2FF" w:val="clear"/>
            <w:tcMar>
              <w:top w:type="dxa" w:w="100"/>
              <w:left w:type="dxa" w:w="140"/>
              <w:bottom w:type="dxa" w:w="100"/>
              <w:right w:type="dxa" w:w="140"/>
            </w:tcMar>
          </w:tcPr>
          <w:p>
            <w:pPr>
              <w:spacing w:after="20" w:before="20" w:line="260"/>
              <w:jc w:val="left"/>
            </w:pPr>
            <w:r>
              <w:rPr>
                <w:rFonts w:ascii="Calibri" w:cs="Calibri" w:eastAsia="Calibri" w:hAnsi="Calibri"/>
                <w:b/>
                <w:bCs/>
                <w:color w:val="0B1220"/>
                <w:sz w:val="20"/>
                <w:szCs w:val="20"/>
              </w:rPr>
              <w:t xml:space="preserve">ID</w:t>
            </w:r>
          </w:p>
        </w:tc>
        <w:tc>
          <w:tcPr>
            <w:tcW w:type="dxa" w:w="4860"/>
            <w:tcBorders>
              <w:top w:val="single" w:color="CBD5E1" w:sz="4"/>
              <w:left w:val="single" w:color="CBD5E1" w:sz="4"/>
              <w:bottom w:val="single" w:color="CBD5E1" w:sz="4"/>
              <w:right w:val="single" w:color="CBD5E1" w:sz="4"/>
            </w:tcBorders>
            <w:shd w:fill="EEF2FF" w:val="clear"/>
            <w:tcMar>
              <w:top w:type="dxa" w:w="100"/>
              <w:left w:type="dxa" w:w="140"/>
              <w:bottom w:type="dxa" w:w="100"/>
              <w:right w:type="dxa" w:w="140"/>
            </w:tcMar>
          </w:tcPr>
          <w:p>
            <w:pPr>
              <w:spacing w:after="20" w:before="20" w:line="260"/>
              <w:jc w:val="left"/>
            </w:pPr>
            <w:r>
              <w:rPr>
                <w:rFonts w:ascii="Calibri" w:cs="Calibri" w:eastAsia="Calibri" w:hAnsi="Calibri"/>
                <w:b/>
                <w:bCs/>
                <w:color w:val="0B1220"/>
                <w:sz w:val="20"/>
                <w:szCs w:val="20"/>
              </w:rPr>
              <w:t xml:space="preserve">Recommendation</w:t>
            </w:r>
          </w:p>
        </w:tc>
        <w:tc>
          <w:tcPr>
            <w:tcW w:type="dxa" w:w="1900"/>
            <w:tcBorders>
              <w:top w:val="single" w:color="CBD5E1" w:sz="4"/>
              <w:left w:val="single" w:color="CBD5E1" w:sz="4"/>
              <w:bottom w:val="single" w:color="CBD5E1" w:sz="4"/>
              <w:right w:val="single" w:color="CBD5E1" w:sz="4"/>
            </w:tcBorders>
            <w:shd w:fill="EEF2FF" w:val="clear"/>
            <w:tcMar>
              <w:top w:type="dxa" w:w="100"/>
              <w:left w:type="dxa" w:w="140"/>
              <w:bottom w:type="dxa" w:w="100"/>
              <w:right w:type="dxa" w:w="140"/>
            </w:tcMar>
          </w:tcPr>
          <w:p>
            <w:pPr>
              <w:spacing w:after="20" w:before="20" w:line="260"/>
              <w:jc w:val="center"/>
            </w:pPr>
            <w:r>
              <w:rPr>
                <w:rFonts w:ascii="Calibri" w:cs="Calibri" w:eastAsia="Calibri" w:hAnsi="Calibri"/>
                <w:b/>
                <w:bCs/>
                <w:color w:val="0B1220"/>
                <w:sz w:val="20"/>
                <w:szCs w:val="20"/>
              </w:rPr>
              <w:t xml:space="preserve">Effort</w:t>
            </w:r>
          </w:p>
        </w:tc>
        <w:tc>
          <w:tcPr>
            <w:tcW w:type="dxa" w:w="1900"/>
            <w:tcBorders>
              <w:top w:val="single" w:color="CBD5E1" w:sz="4"/>
              <w:left w:val="single" w:color="CBD5E1" w:sz="4"/>
              <w:bottom w:val="single" w:color="CBD5E1" w:sz="4"/>
              <w:right w:val="single" w:color="CBD5E1" w:sz="4"/>
            </w:tcBorders>
            <w:shd w:fill="EEF2FF" w:val="clear"/>
            <w:tcMar>
              <w:top w:type="dxa" w:w="100"/>
              <w:left w:type="dxa" w:w="140"/>
              <w:bottom w:type="dxa" w:w="100"/>
              <w:right w:type="dxa" w:w="140"/>
            </w:tcMar>
          </w:tcPr>
          <w:p>
            <w:pPr>
              <w:spacing w:after="20" w:before="20" w:line="260"/>
              <w:jc w:val="center"/>
            </w:pPr>
            <w:r>
              <w:rPr>
                <w:rFonts w:ascii="Calibri" w:cs="Calibri" w:eastAsia="Calibri" w:hAnsi="Calibri"/>
                <w:b/>
                <w:bCs/>
                <w:color w:val="0B1220"/>
                <w:sz w:val="20"/>
                <w:szCs w:val="20"/>
              </w:rPr>
              <w:t xml:space="preserve">Expected impact</w:t>
            </w:r>
          </w:p>
        </w:tc>
      </w:tr>
      <w:tr>
        <w:tc>
          <w:tcPr>
            <w:tcW w:type="dxa" w:w="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center"/>
            </w:pPr>
            <w:r>
              <w:rPr>
                <w:rFonts w:ascii="Calibri" w:cs="Calibri" w:eastAsia="Calibri" w:hAnsi="Calibri"/>
                <w:b/>
                <w:bCs/>
                <w:color w:val="4F46E5"/>
                <w:sz w:val="20"/>
                <w:szCs w:val="20"/>
              </w:rPr>
              <w:t xml:space="preserve">P0-1</w:t>
            </w:r>
          </w:p>
        </w:tc>
        <w:tc>
          <w:tcPr>
            <w:tcW w:type="dxa" w:w="48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1F2937"/>
                <w:sz w:val="20"/>
                <w:szCs w:val="20"/>
              </w:rPr>
              <w:t xml:space="preserve">Remove reveal opacity-0 gate on hero + add visibilitychange fallback (fix LCP + background-tab bug)</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center"/>
            </w:pPr>
            <w:r>
              <w:rPr>
                <w:rFonts w:ascii="Calibri" w:cs="Calibri" w:eastAsia="Calibri" w:hAnsi="Calibri"/>
                <w:b w:val="false"/>
                <w:bCs w:val="false"/>
                <w:color w:val="475569"/>
                <w:sz w:val="20"/>
                <w:szCs w:val="20"/>
              </w:rPr>
              <w:t xml:space="preserve">2–4 hours</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center"/>
            </w:pPr>
            <w:r>
              <w:rPr>
                <w:rFonts w:ascii="Calibri" w:cs="Calibri" w:eastAsia="Calibri" w:hAnsi="Calibri"/>
                <w:b/>
                <w:bCs/>
                <w:color w:val="047857"/>
                <w:sz w:val="20"/>
                <w:szCs w:val="20"/>
              </w:rPr>
              <w:t xml:space="preserve">High</w:t>
            </w:r>
          </w:p>
        </w:tc>
      </w:tr>
      <w:tr>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center"/>
            </w:pPr>
            <w:r>
              <w:rPr>
                <w:rFonts w:ascii="Calibri" w:cs="Calibri" w:eastAsia="Calibri" w:hAnsi="Calibri"/>
                <w:b/>
                <w:bCs/>
                <w:color w:val="4F46E5"/>
                <w:sz w:val="20"/>
                <w:szCs w:val="20"/>
              </w:rPr>
              <w:t xml:space="preserve">P0-2</w:t>
            </w:r>
          </w:p>
        </w:tc>
        <w:tc>
          <w:tcPr>
            <w:tcW w:type="dxa" w:w="48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1F2937"/>
                <w:sz w:val="20"/>
                <w:szCs w:val="20"/>
              </w:rPr>
              <w:t xml:space="preserve">Fix hero headline contrast during reveal transition</w:t>
            </w:r>
          </w:p>
        </w:tc>
        <w:tc>
          <w:tcPr>
            <w:tcW w:type="dxa" w:w="1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center"/>
            </w:pPr>
            <w:r>
              <w:rPr>
                <w:rFonts w:ascii="Calibri" w:cs="Calibri" w:eastAsia="Calibri" w:hAnsi="Calibri"/>
                <w:b w:val="false"/>
                <w:bCs w:val="false"/>
                <w:color w:val="475569"/>
                <w:sz w:val="20"/>
                <w:szCs w:val="20"/>
              </w:rPr>
              <w:t xml:space="preserve">30 minutes</w:t>
            </w:r>
          </w:p>
        </w:tc>
        <w:tc>
          <w:tcPr>
            <w:tcW w:type="dxa" w:w="1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center"/>
            </w:pPr>
            <w:r>
              <w:rPr>
                <w:rFonts w:ascii="Calibri" w:cs="Calibri" w:eastAsia="Calibri" w:hAnsi="Calibri"/>
                <w:b/>
                <w:bCs/>
                <w:color w:val="047857"/>
                <w:sz w:val="20"/>
                <w:szCs w:val="20"/>
              </w:rPr>
              <w:t xml:space="preserve">High</w:t>
            </w:r>
          </w:p>
        </w:tc>
      </w:tr>
      <w:tr>
        <w:tc>
          <w:tcPr>
            <w:tcW w:type="dxa" w:w="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center"/>
            </w:pPr>
            <w:r>
              <w:rPr>
                <w:rFonts w:ascii="Calibri" w:cs="Calibri" w:eastAsia="Calibri" w:hAnsi="Calibri"/>
                <w:b/>
                <w:bCs/>
                <w:color w:val="4F46E5"/>
                <w:sz w:val="20"/>
                <w:szCs w:val="20"/>
              </w:rPr>
              <w:t xml:space="preserve">P0-3</w:t>
            </w:r>
          </w:p>
        </w:tc>
        <w:tc>
          <w:tcPr>
            <w:tcW w:type="dxa" w:w="48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1F2937"/>
                <w:sz w:val="20"/>
                <w:szCs w:val="20"/>
              </w:rPr>
              <w:t xml:space="preserve">Unify design-partner CTA labels across the page</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center"/>
            </w:pPr>
            <w:r>
              <w:rPr>
                <w:rFonts w:ascii="Calibri" w:cs="Calibri" w:eastAsia="Calibri" w:hAnsi="Calibri"/>
                <w:b w:val="false"/>
                <w:bCs w:val="false"/>
                <w:color w:val="475569"/>
                <w:sz w:val="20"/>
                <w:szCs w:val="20"/>
              </w:rPr>
              <w:t xml:space="preserve">1 hour</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center"/>
            </w:pPr>
            <w:r>
              <w:rPr>
                <w:rFonts w:ascii="Calibri" w:cs="Calibri" w:eastAsia="Calibri" w:hAnsi="Calibri"/>
                <w:b/>
                <w:bCs/>
                <w:color w:val="047857"/>
                <w:sz w:val="20"/>
                <w:szCs w:val="20"/>
              </w:rPr>
              <w:t xml:space="preserve">Medium</w:t>
            </w:r>
          </w:p>
        </w:tc>
      </w:tr>
      <w:tr>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center"/>
            </w:pPr>
            <w:r>
              <w:rPr>
                <w:rFonts w:ascii="Calibri" w:cs="Calibri" w:eastAsia="Calibri" w:hAnsi="Calibri"/>
                <w:b/>
                <w:bCs/>
                <w:color w:val="4F46E5"/>
                <w:sz w:val="20"/>
                <w:szCs w:val="20"/>
              </w:rPr>
              <w:t xml:space="preserve">P0-4</w:t>
            </w:r>
          </w:p>
        </w:tc>
        <w:tc>
          <w:tcPr>
            <w:tcW w:type="dxa" w:w="48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1F2937"/>
                <w:sz w:val="20"/>
                <w:szCs w:val="20"/>
              </w:rPr>
              <w:t xml:space="preserve">Fix reveal animation on programmatic / hash-link scroll</w:t>
            </w:r>
          </w:p>
        </w:tc>
        <w:tc>
          <w:tcPr>
            <w:tcW w:type="dxa" w:w="1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center"/>
            </w:pPr>
            <w:r>
              <w:rPr>
                <w:rFonts w:ascii="Calibri" w:cs="Calibri" w:eastAsia="Calibri" w:hAnsi="Calibri"/>
                <w:b w:val="false"/>
                <w:bCs w:val="false"/>
                <w:color w:val="475569"/>
                <w:sz w:val="20"/>
                <w:szCs w:val="20"/>
              </w:rPr>
              <w:t xml:space="preserve">1–2 hours</w:t>
            </w:r>
          </w:p>
        </w:tc>
        <w:tc>
          <w:tcPr>
            <w:tcW w:type="dxa" w:w="1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center"/>
            </w:pPr>
            <w:r>
              <w:rPr>
                <w:rFonts w:ascii="Calibri" w:cs="Calibri" w:eastAsia="Calibri" w:hAnsi="Calibri"/>
                <w:b/>
                <w:bCs/>
                <w:color w:val="047857"/>
                <w:sz w:val="20"/>
                <w:szCs w:val="20"/>
              </w:rPr>
              <w:t xml:space="preserve">Medium</w:t>
            </w:r>
          </w:p>
        </w:tc>
      </w:tr>
      <w:tr>
        <w:tc>
          <w:tcPr>
            <w:tcW w:type="dxa" w:w="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center"/>
            </w:pPr>
            <w:r>
              <w:rPr>
                <w:rFonts w:ascii="Calibri" w:cs="Calibri" w:eastAsia="Calibri" w:hAnsi="Calibri"/>
                <w:b/>
                <w:bCs/>
                <w:color w:val="4F46E5"/>
                <w:sz w:val="20"/>
                <w:szCs w:val="20"/>
              </w:rPr>
              <w:t xml:space="preserve">P1-1</w:t>
            </w:r>
          </w:p>
        </w:tc>
        <w:tc>
          <w:tcPr>
            <w:tcW w:type="dxa" w:w="48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1F2937"/>
                <w:sz w:val="20"/>
                <w:szCs w:val="20"/>
              </w:rPr>
              <w:t xml:space="preserve">Redesign hero with visible product mockup (Blueprint Review UI)</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center"/>
            </w:pPr>
            <w:r>
              <w:rPr>
                <w:rFonts w:ascii="Calibri" w:cs="Calibri" w:eastAsia="Calibri" w:hAnsi="Calibri"/>
                <w:b w:val="false"/>
                <w:bCs w:val="false"/>
                <w:color w:val="475569"/>
                <w:sz w:val="20"/>
                <w:szCs w:val="20"/>
              </w:rPr>
              <w:t xml:space="preserve">1–2 days</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center"/>
            </w:pPr>
            <w:r>
              <w:rPr>
                <w:rFonts w:ascii="Calibri" w:cs="Calibri" w:eastAsia="Calibri" w:hAnsi="Calibri"/>
                <w:b/>
                <w:bCs/>
                <w:color w:val="047857"/>
                <w:sz w:val="20"/>
                <w:szCs w:val="20"/>
              </w:rPr>
              <w:t xml:space="preserve">Very high</w:t>
            </w:r>
          </w:p>
        </w:tc>
      </w:tr>
      <w:tr>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center"/>
            </w:pPr>
            <w:r>
              <w:rPr>
                <w:rFonts w:ascii="Calibri" w:cs="Calibri" w:eastAsia="Calibri" w:hAnsi="Calibri"/>
                <w:b/>
                <w:bCs/>
                <w:color w:val="4F46E5"/>
                <w:sz w:val="20"/>
                <w:szCs w:val="20"/>
              </w:rPr>
              <w:t xml:space="preserve">P1-2</w:t>
            </w:r>
          </w:p>
        </w:tc>
        <w:tc>
          <w:tcPr>
            <w:tcW w:type="dxa" w:w="48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1F2937"/>
                <w:sz w:val="20"/>
                <w:szCs w:val="20"/>
              </w:rPr>
              <w:t xml:space="preserve">Shorten hero headline; promote MRM promise to stat card</w:t>
            </w:r>
          </w:p>
        </w:tc>
        <w:tc>
          <w:tcPr>
            <w:tcW w:type="dxa" w:w="1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center"/>
            </w:pPr>
            <w:r>
              <w:rPr>
                <w:rFonts w:ascii="Calibri" w:cs="Calibri" w:eastAsia="Calibri" w:hAnsi="Calibri"/>
                <w:b w:val="false"/>
                <w:bCs w:val="false"/>
                <w:color w:val="475569"/>
                <w:sz w:val="20"/>
                <w:szCs w:val="20"/>
              </w:rPr>
              <w:t xml:space="preserve">2–4 hours</w:t>
            </w:r>
          </w:p>
        </w:tc>
        <w:tc>
          <w:tcPr>
            <w:tcW w:type="dxa" w:w="1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center"/>
            </w:pPr>
            <w:r>
              <w:rPr>
                <w:rFonts w:ascii="Calibri" w:cs="Calibri" w:eastAsia="Calibri" w:hAnsi="Calibri"/>
                <w:b/>
                <w:bCs/>
                <w:color w:val="047857"/>
                <w:sz w:val="20"/>
                <w:szCs w:val="20"/>
              </w:rPr>
              <w:t xml:space="preserve">High</w:t>
            </w:r>
          </w:p>
        </w:tc>
      </w:tr>
      <w:tr>
        <w:tc>
          <w:tcPr>
            <w:tcW w:type="dxa" w:w="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center"/>
            </w:pPr>
            <w:r>
              <w:rPr>
                <w:rFonts w:ascii="Calibri" w:cs="Calibri" w:eastAsia="Calibri" w:hAnsi="Calibri"/>
                <w:b/>
                <w:bCs/>
                <w:color w:val="4F46E5"/>
                <w:sz w:val="20"/>
                <w:szCs w:val="20"/>
              </w:rPr>
              <w:t xml:space="preserve">P1-3</w:t>
            </w:r>
          </w:p>
        </w:tc>
        <w:tc>
          <w:tcPr>
            <w:tcW w:type="dxa" w:w="48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1F2937"/>
                <w:sz w:val="20"/>
                <w:szCs w:val="20"/>
              </w:rPr>
              <w:t xml:space="preserve">Add proof strip between hero and Governance Gap</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center"/>
            </w:pPr>
            <w:r>
              <w:rPr>
                <w:rFonts w:ascii="Calibri" w:cs="Calibri" w:eastAsia="Calibri" w:hAnsi="Calibri"/>
                <w:b w:val="false"/>
                <w:bCs w:val="false"/>
                <w:color w:val="475569"/>
                <w:sz w:val="20"/>
                <w:szCs w:val="20"/>
              </w:rPr>
              <w:t xml:space="preserve">1 day</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center"/>
            </w:pPr>
            <w:r>
              <w:rPr>
                <w:rFonts w:ascii="Calibri" w:cs="Calibri" w:eastAsia="Calibri" w:hAnsi="Calibri"/>
                <w:b/>
                <w:bCs/>
                <w:color w:val="047857"/>
                <w:sz w:val="20"/>
                <w:szCs w:val="20"/>
              </w:rPr>
              <w:t xml:space="preserve">Medium</w:t>
            </w:r>
          </w:p>
        </w:tc>
      </w:tr>
      <w:tr>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center"/>
            </w:pPr>
            <w:r>
              <w:rPr>
                <w:rFonts w:ascii="Calibri" w:cs="Calibri" w:eastAsia="Calibri" w:hAnsi="Calibri"/>
                <w:b/>
                <w:bCs/>
                <w:color w:val="4F46E5"/>
                <w:sz w:val="20"/>
                <w:szCs w:val="20"/>
              </w:rPr>
              <w:t xml:space="preserve">P1-4</w:t>
            </w:r>
          </w:p>
        </w:tc>
        <w:tc>
          <w:tcPr>
            <w:tcW w:type="dxa" w:w="48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1F2937"/>
                <w:sz w:val="20"/>
                <w:szCs w:val="20"/>
              </w:rPr>
              <w:t xml:space="preserve">Add inline email capture to the hero</w:t>
            </w:r>
          </w:p>
        </w:tc>
        <w:tc>
          <w:tcPr>
            <w:tcW w:type="dxa" w:w="1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center"/>
            </w:pPr>
            <w:r>
              <w:rPr>
                <w:rFonts w:ascii="Calibri" w:cs="Calibri" w:eastAsia="Calibri" w:hAnsi="Calibri"/>
                <w:b w:val="false"/>
                <w:bCs w:val="false"/>
                <w:color w:val="475569"/>
                <w:sz w:val="20"/>
                <w:szCs w:val="20"/>
              </w:rPr>
              <w:t xml:space="preserve">1 day</w:t>
            </w:r>
          </w:p>
        </w:tc>
        <w:tc>
          <w:tcPr>
            <w:tcW w:type="dxa" w:w="1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center"/>
            </w:pPr>
            <w:r>
              <w:rPr>
                <w:rFonts w:ascii="Calibri" w:cs="Calibri" w:eastAsia="Calibri" w:hAnsi="Calibri"/>
                <w:b/>
                <w:bCs/>
                <w:color w:val="047857"/>
                <w:sz w:val="20"/>
                <w:szCs w:val="20"/>
              </w:rPr>
              <w:t xml:space="preserve">High</w:t>
            </w:r>
          </w:p>
        </w:tc>
      </w:tr>
      <w:tr>
        <w:tc>
          <w:tcPr>
            <w:tcW w:type="dxa" w:w="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center"/>
            </w:pPr>
            <w:r>
              <w:rPr>
                <w:rFonts w:ascii="Calibri" w:cs="Calibri" w:eastAsia="Calibri" w:hAnsi="Calibri"/>
                <w:b/>
                <w:bCs/>
                <w:color w:val="4F46E5"/>
                <w:sz w:val="20"/>
                <w:szCs w:val="20"/>
              </w:rPr>
              <w:t xml:space="preserve">P1-5</w:t>
            </w:r>
          </w:p>
        </w:tc>
        <w:tc>
          <w:tcPr>
            <w:tcW w:type="dxa" w:w="48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1F2937"/>
                <w:sz w:val="20"/>
                <w:szCs w:val="20"/>
              </w:rPr>
              <w:t xml:space="preserve">Add per-persona CTAs to Use Cases cards</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center"/>
            </w:pPr>
            <w:r>
              <w:rPr>
                <w:rFonts w:ascii="Calibri" w:cs="Calibri" w:eastAsia="Calibri" w:hAnsi="Calibri"/>
                <w:b w:val="false"/>
                <w:bCs w:val="false"/>
                <w:color w:val="475569"/>
                <w:sz w:val="20"/>
                <w:szCs w:val="20"/>
              </w:rPr>
              <w:t xml:space="preserve">2–4 hours</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center"/>
            </w:pPr>
            <w:r>
              <w:rPr>
                <w:rFonts w:ascii="Calibri" w:cs="Calibri" w:eastAsia="Calibri" w:hAnsi="Calibri"/>
                <w:b/>
                <w:bCs/>
                <w:color w:val="047857"/>
                <w:sz w:val="20"/>
                <w:szCs w:val="20"/>
              </w:rPr>
              <w:t xml:space="preserve">Low-Medium</w:t>
            </w:r>
          </w:p>
        </w:tc>
      </w:tr>
      <w:tr>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center"/>
            </w:pPr>
            <w:r>
              <w:rPr>
                <w:rFonts w:ascii="Calibri" w:cs="Calibri" w:eastAsia="Calibri" w:hAnsi="Calibri"/>
                <w:b/>
                <w:bCs/>
                <w:color w:val="4F46E5"/>
                <w:sz w:val="20"/>
                <w:szCs w:val="20"/>
              </w:rPr>
              <w:t xml:space="preserve">P1-6</w:t>
            </w:r>
          </w:p>
        </w:tc>
        <w:tc>
          <w:tcPr>
            <w:tcW w:type="dxa" w:w="48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1F2937"/>
                <w:sz w:val="20"/>
                <w:szCs w:val="20"/>
              </w:rPr>
              <w:t xml:space="preserve">Add "vs broader governance platforms" FAQ entry</w:t>
            </w:r>
          </w:p>
        </w:tc>
        <w:tc>
          <w:tcPr>
            <w:tcW w:type="dxa" w:w="1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center"/>
            </w:pPr>
            <w:r>
              <w:rPr>
                <w:rFonts w:ascii="Calibri" w:cs="Calibri" w:eastAsia="Calibri" w:hAnsi="Calibri"/>
                <w:b w:val="false"/>
                <w:bCs w:val="false"/>
                <w:color w:val="475569"/>
                <w:sz w:val="20"/>
                <w:szCs w:val="20"/>
              </w:rPr>
              <w:t xml:space="preserve">30 minutes</w:t>
            </w:r>
          </w:p>
        </w:tc>
        <w:tc>
          <w:tcPr>
            <w:tcW w:type="dxa" w:w="1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center"/>
            </w:pPr>
            <w:r>
              <w:rPr>
                <w:rFonts w:ascii="Calibri" w:cs="Calibri" w:eastAsia="Calibri" w:hAnsi="Calibri"/>
                <w:b/>
                <w:bCs/>
                <w:color w:val="047857"/>
                <w:sz w:val="20"/>
                <w:szCs w:val="20"/>
              </w:rPr>
              <w:t xml:space="preserve">Medium</w:t>
            </w:r>
          </w:p>
        </w:tc>
      </w:tr>
      <w:tr>
        <w:tc>
          <w:tcPr>
            <w:tcW w:type="dxa" w:w="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center"/>
            </w:pPr>
            <w:r>
              <w:rPr>
                <w:rFonts w:ascii="Calibri" w:cs="Calibri" w:eastAsia="Calibri" w:hAnsi="Calibri"/>
                <w:b/>
                <w:bCs/>
                <w:color w:val="4F46E5"/>
                <w:sz w:val="20"/>
                <w:szCs w:val="20"/>
              </w:rPr>
              <w:t xml:space="preserve">P2-1</w:t>
            </w:r>
          </w:p>
        </w:tc>
        <w:tc>
          <w:tcPr>
            <w:tcW w:type="dxa" w:w="48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1F2937"/>
                <w:sz w:val="20"/>
                <w:szCs w:val="20"/>
              </w:rPr>
              <w:t xml:space="preserve">Ship the Enterprise AI Agent Governance Framework guide</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center"/>
            </w:pPr>
            <w:r>
              <w:rPr>
                <w:rFonts w:ascii="Calibri" w:cs="Calibri" w:eastAsia="Calibri" w:hAnsi="Calibri"/>
                <w:b w:val="false"/>
                <w:bCs w:val="false"/>
                <w:color w:val="475569"/>
                <w:sz w:val="20"/>
                <w:szCs w:val="20"/>
              </w:rPr>
              <w:t xml:space="preserve">2–3 weeks</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center"/>
            </w:pPr>
            <w:r>
              <w:rPr>
                <w:rFonts w:ascii="Calibri" w:cs="Calibri" w:eastAsia="Calibri" w:hAnsi="Calibri"/>
                <w:b/>
                <w:bCs/>
                <w:color w:val="047857"/>
                <w:sz w:val="20"/>
                <w:szCs w:val="20"/>
              </w:rPr>
              <w:t xml:space="preserve">Medium</w:t>
            </w:r>
          </w:p>
        </w:tc>
      </w:tr>
      <w:tr>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center"/>
            </w:pPr>
            <w:r>
              <w:rPr>
                <w:rFonts w:ascii="Calibri" w:cs="Calibri" w:eastAsia="Calibri" w:hAnsi="Calibri"/>
                <w:b/>
                <w:bCs/>
                <w:color w:val="4F46E5"/>
                <w:sz w:val="20"/>
                <w:szCs w:val="20"/>
              </w:rPr>
              <w:t xml:space="preserve">P2-2</w:t>
            </w:r>
          </w:p>
        </w:tc>
        <w:tc>
          <w:tcPr>
            <w:tcW w:type="dxa" w:w="48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1F2937"/>
                <w:sz w:val="20"/>
                <w:szCs w:val="20"/>
              </w:rPr>
              <w:t xml:space="preserve">Launch /resources or /blog with 6–10 long-form pieces</w:t>
            </w:r>
          </w:p>
        </w:tc>
        <w:tc>
          <w:tcPr>
            <w:tcW w:type="dxa" w:w="1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center"/>
            </w:pPr>
            <w:r>
              <w:rPr>
                <w:rFonts w:ascii="Calibri" w:cs="Calibri" w:eastAsia="Calibri" w:hAnsi="Calibri"/>
                <w:b w:val="false"/>
                <w:bCs w:val="false"/>
                <w:color w:val="475569"/>
                <w:sz w:val="20"/>
                <w:szCs w:val="20"/>
              </w:rPr>
              <w:t xml:space="preserve">Ongoing</w:t>
            </w:r>
          </w:p>
        </w:tc>
        <w:tc>
          <w:tcPr>
            <w:tcW w:type="dxa" w:w="1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center"/>
            </w:pPr>
            <w:r>
              <w:rPr>
                <w:rFonts w:ascii="Calibri" w:cs="Calibri" w:eastAsia="Calibri" w:hAnsi="Calibri"/>
                <w:b/>
                <w:bCs/>
                <w:color w:val="047857"/>
                <w:sz w:val="20"/>
                <w:szCs w:val="20"/>
              </w:rPr>
              <w:t xml:space="preserve">Very high (compounding)</w:t>
            </w:r>
          </w:p>
        </w:tc>
      </w:tr>
      <w:tr>
        <w:tc>
          <w:tcPr>
            <w:tcW w:type="dxa" w:w="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center"/>
            </w:pPr>
            <w:r>
              <w:rPr>
                <w:rFonts w:ascii="Calibri" w:cs="Calibri" w:eastAsia="Calibri" w:hAnsi="Calibri"/>
                <w:b/>
                <w:bCs/>
                <w:color w:val="4F46E5"/>
                <w:sz w:val="20"/>
                <w:szCs w:val="20"/>
              </w:rPr>
              <w:t xml:space="preserve">P2-3</w:t>
            </w:r>
          </w:p>
        </w:tc>
        <w:tc>
          <w:tcPr>
            <w:tcW w:type="dxa" w:w="48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1F2937"/>
                <w:sz w:val="20"/>
                <w:szCs w:val="20"/>
              </w:rPr>
              <w:t xml:space="preserve">Add interactive product tour (Navattic / Arcade / Loom)</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center"/>
            </w:pPr>
            <w:r>
              <w:rPr>
                <w:rFonts w:ascii="Calibri" w:cs="Calibri" w:eastAsia="Calibri" w:hAnsi="Calibri"/>
                <w:b w:val="false"/>
                <w:bCs w:val="false"/>
                <w:color w:val="475569"/>
                <w:sz w:val="20"/>
                <w:szCs w:val="20"/>
              </w:rPr>
              <w:t xml:space="preserve">1–2 weeks</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center"/>
            </w:pPr>
            <w:r>
              <w:rPr>
                <w:rFonts w:ascii="Calibri" w:cs="Calibri" w:eastAsia="Calibri" w:hAnsi="Calibri"/>
                <w:b/>
                <w:bCs/>
                <w:color w:val="047857"/>
                <w:sz w:val="20"/>
                <w:szCs w:val="20"/>
              </w:rPr>
              <w:t xml:space="preserve">High</w:t>
            </w:r>
          </w:p>
        </w:tc>
      </w:tr>
      <w:tr>
        <w:tc>
          <w:tcPr>
            <w:tcW w:type="dxa" w:w="7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center"/>
            </w:pPr>
            <w:r>
              <w:rPr>
                <w:rFonts w:ascii="Calibri" w:cs="Calibri" w:eastAsia="Calibri" w:hAnsi="Calibri"/>
                <w:b/>
                <w:bCs/>
                <w:color w:val="4F46E5"/>
                <w:sz w:val="20"/>
                <w:szCs w:val="20"/>
              </w:rPr>
              <w:t xml:space="preserve">P2-4</w:t>
            </w:r>
          </w:p>
        </w:tc>
        <w:tc>
          <w:tcPr>
            <w:tcW w:type="dxa" w:w="486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1F2937"/>
                <w:sz w:val="20"/>
                <w:szCs w:val="20"/>
              </w:rPr>
              <w:t xml:space="preserve">Add /pricing page (even if bespoke copy)</w:t>
            </w:r>
          </w:p>
        </w:tc>
        <w:tc>
          <w:tcPr>
            <w:tcW w:type="dxa" w:w="1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center"/>
            </w:pPr>
            <w:r>
              <w:rPr>
                <w:rFonts w:ascii="Calibri" w:cs="Calibri" w:eastAsia="Calibri" w:hAnsi="Calibri"/>
                <w:b w:val="false"/>
                <w:bCs w:val="false"/>
                <w:color w:val="475569"/>
                <w:sz w:val="20"/>
                <w:szCs w:val="20"/>
              </w:rPr>
              <w:t xml:space="preserve">1 day</w:t>
            </w:r>
          </w:p>
        </w:tc>
        <w:tc>
          <w:tcPr>
            <w:tcW w:type="dxa" w:w="19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0" w:before="20" w:line="260"/>
              <w:jc w:val="center"/>
            </w:pPr>
            <w:r>
              <w:rPr>
                <w:rFonts w:ascii="Calibri" w:cs="Calibri" w:eastAsia="Calibri" w:hAnsi="Calibri"/>
                <w:b/>
                <w:bCs/>
                <w:color w:val="047857"/>
                <w:sz w:val="20"/>
                <w:szCs w:val="20"/>
              </w:rPr>
              <w:t xml:space="preserve">Medium</w:t>
            </w:r>
          </w:p>
        </w:tc>
      </w:tr>
      <w:tr>
        <w:tc>
          <w:tcPr>
            <w:tcW w:type="dxa" w:w="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center"/>
            </w:pPr>
            <w:r>
              <w:rPr>
                <w:rFonts w:ascii="Calibri" w:cs="Calibri" w:eastAsia="Calibri" w:hAnsi="Calibri"/>
                <w:b/>
                <w:bCs/>
                <w:color w:val="4F46E5"/>
                <w:sz w:val="20"/>
                <w:szCs w:val="20"/>
              </w:rPr>
              <w:t xml:space="preserve">P2-5</w:t>
            </w:r>
          </w:p>
        </w:tc>
        <w:tc>
          <w:tcPr>
            <w:tcW w:type="dxa" w:w="48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left"/>
            </w:pPr>
            <w:r>
              <w:rPr>
                <w:rFonts w:ascii="Calibri" w:cs="Calibri" w:eastAsia="Calibri" w:hAnsi="Calibri"/>
                <w:b w:val="false"/>
                <w:bCs w:val="false"/>
                <w:color w:val="1F2937"/>
                <w:sz w:val="20"/>
                <w:szCs w:val="20"/>
              </w:rPr>
              <w:t xml:space="preserve">Publish first case study (pseudonymized if needed)</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center"/>
            </w:pPr>
            <w:r>
              <w:rPr>
                <w:rFonts w:ascii="Calibri" w:cs="Calibri" w:eastAsia="Calibri" w:hAnsi="Calibri"/>
                <w:b w:val="false"/>
                <w:bCs w:val="false"/>
                <w:color w:val="475569"/>
                <w:sz w:val="20"/>
                <w:szCs w:val="20"/>
              </w:rPr>
              <w:t xml:space="preserve">On design-partner close</w:t>
            </w:r>
          </w:p>
        </w:tc>
        <w:tc>
          <w:tcPr>
            <w:tcW w:type="dxa" w:w="19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spacing w:after="20" w:before="20" w:line="260"/>
              <w:jc w:val="center"/>
            </w:pPr>
            <w:r>
              <w:rPr>
                <w:rFonts w:ascii="Calibri" w:cs="Calibri" w:eastAsia="Calibri" w:hAnsi="Calibri"/>
                <w:b/>
                <w:bCs/>
                <w:color w:val="047857"/>
                <w:sz w:val="20"/>
                <w:szCs w:val="20"/>
              </w:rPr>
              <w:t xml:space="preserve">Very high</w:t>
            </w:r>
          </w:p>
        </w:tc>
      </w:tr>
    </w:tbl>
    <w:p>
      <w:pPr>
        <w:spacing w:after="80" w:before="240"/>
      </w:pPr>
      <w:r>
        <w:rPr>
          <w:rFonts w:ascii="Calibri" w:cs="Calibri" w:eastAsia="Calibri" w:hAnsi="Calibri"/>
          <w:sz w:val="2"/>
          <w:szCs w:val="2"/>
        </w:rPr>
        <w:t xml:space="preserve"/>
      </w:r>
    </w:p>
    <w:p>
      <w:pPr>
        <w:spacing w:after="120" w:before="80" w:line="300"/>
      </w:pPr>
      <w:r>
        <w:rPr>
          <w:rFonts w:ascii="Calibri" w:cs="Calibri" w:eastAsia="Calibri" w:hAnsi="Calibri"/>
          <w:color w:val="1F2937"/>
          <w:sz w:val="22"/>
          <w:szCs w:val="22"/>
        </w:rPr>
        <w:t xml:space="preserve">End of audit.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75569"/>
        <w:sz w:val="18"/>
        <w:szCs w:val="18"/>
      </w:rPr>
      <w:t xml:space="preserve">Page </w:t>
    </w:r>
    <w:r>
      <w:rPr>
        <w:rFonts w:ascii="Calibri" w:cs="Calibri" w:eastAsia="Calibri" w:hAnsi="Calibri"/>
        <w:color w:val="475569"/>
        <w:sz w:val="18"/>
        <w:szCs w:val="18"/>
      </w:rPr>
      <w:fldChar w:fldCharType="begin"/>
      <w:instrText xml:space="preserve">PAGE</w:instrText>
      <w:fldChar w:fldCharType="separate"/>
      <w:fldChar w:fldCharType="end"/>
    </w:r>
    <w:r>
      <w:rPr>
        <w:rFonts w:ascii="Calibri" w:cs="Calibri" w:eastAsia="Calibri" w:hAnsi="Calibri"/>
        <w:color w:val="475569"/>
        <w:sz w:val="18"/>
        <w:szCs w:val="18"/>
      </w:rPr>
      <w:t xml:space="preserve"> of </w:t>
    </w:r>
    <w:r>
      <w:rPr>
        <w:rFonts w:ascii="Calibri" w:cs="Calibri" w:eastAsia="Calibri" w:hAnsi="Calibri"/>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4" w:space="4"/>
      </w:pBdr>
      <w:jc w:val="right"/>
    </w:pPr>
    <w:r>
      <w:rPr>
        <w:rFonts w:ascii="Calibri" w:cs="Calibri" w:eastAsia="Calibri" w:hAnsi="Calibri"/>
        <w:color w:val="475569"/>
        <w:sz w:val="18"/>
        <w:szCs w:val="18"/>
      </w:rPr>
      <w:t xml:space="preserve">Intellios Landing Page Audit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B1220"/>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0B1220"/>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4F46E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azhtlhyfvch24nfeqext-" Type="http://schemas.openxmlformats.org/officeDocument/2006/relationships/hyperlink" Target="https://intellios.app/landing"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Intellios Landing Page Audit — Benchmarked Against AI Agent Platform Leaders</dc:title>
  <dc:creator>Intellios</dc:creator>
  <dc:description>Comparative audit of intellios.app/landing against best-in-class AI agent and governance platform landing pages.</dc:description>
  <cp:lastModifiedBy>Un-named</cp:lastModifiedBy>
  <cp:revision>1</cp:revision>
  <dcterms:created xsi:type="dcterms:W3CDTF">2026-04-09T17:11:37.441Z</dcterms:created>
  <dcterms:modified xsi:type="dcterms:W3CDTF">2026-04-09T17:11:37.441Z</dcterms:modified>
</cp:coreProperties>
</file>

<file path=docProps/custom.xml><?xml version="1.0" encoding="utf-8"?>
<Properties xmlns="http://schemas.openxmlformats.org/officeDocument/2006/custom-properties" xmlns:vt="http://schemas.openxmlformats.org/officeDocument/2006/docPropsVTypes"/>
</file>