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4F46E5"/>
          <w:spacing w:val="300"/>
          <w:sz w:val="56"/>
          <w:szCs w:val="56"/>
        </w:rPr>
        <w:t xml:space="preserve">INTELLIOS</w:t>
      </w:r>
    </w:p>
    <w:p>
      <w:pPr>
        <w:spacing w:before="200"/>
        <w:jc w:val="center"/>
      </w:pPr>
      <w:r>
        <w:rPr>
          <w:rFonts w:ascii="Arial" w:cs="Arial" w:eastAsia="Arial" w:hAnsi="Arial"/>
          <w:color w:val="1B2559"/>
          <w:sz w:val="44"/>
          <w:szCs w:val="44"/>
        </w:rPr>
        <w:t xml:space="preserve">Marketing Website Audit</w:t>
      </w:r>
    </w:p>
    <w:p>
      <w:pPr>
        <w:spacing w:before="300"/>
      </w:pPr>
    </w:p>
    <w:p>
      <w:pPr>
        <w:pBdr>
          <w:top w:val="single" w:color="4F46E5" w:sz="2" w:space="12"/>
          <w:bottom w:val="single" w:color="4F46E5" w:sz="2" w:space="12"/>
        </w:pBdr>
        <w:spacing w:after="200" w:before="200"/>
        <w:jc w:val="center"/>
      </w:pPr>
      <w:r>
        <w:rPr>
          <w:rFonts w:ascii="Arial" w:cs="Arial" w:eastAsia="Arial" w:hAnsi="Arial"/>
          <w:color w:val="475569"/>
          <w:sz w:val="20"/>
          <w:szCs w:val="20"/>
        </w:rPr>
        <w:t xml:space="preserve">Enterprise-Grade Assessment  |  10-Dimension Scoring  |  Prioritized Recommendations</w:t>
      </w:r>
    </w:p>
    <w:p>
      <w:pPr>
        <w:spacing w:before="600"/>
      </w:pPr>
    </w:p>
    <w:p>
      <w:pPr>
        <w:jc w:val="center"/>
      </w:pPr>
      <w:r>
        <w:rPr>
          <w:rFonts w:ascii="Arial" w:cs="Arial" w:eastAsia="Arial" w:hAnsi="Arial"/>
          <w:color w:val="475569"/>
          <w:sz w:val="22"/>
          <w:szCs w:val="22"/>
        </w:rPr>
        <w:t xml:space="preserve">Prepared for: Intellios Leadership</w:t>
      </w:r>
    </w:p>
    <w:p>
      <w:pPr>
        <w:spacing w:before="80"/>
        <w:jc w:val="center"/>
      </w:pPr>
      <w:r>
        <w:rPr>
          <w:rFonts w:ascii="Arial" w:cs="Arial" w:eastAsia="Arial" w:hAnsi="Arial"/>
          <w:color w:val="475569"/>
          <w:sz w:val="22"/>
          <w:szCs w:val="22"/>
        </w:rPr>
        <w:t xml:space="preserve">April 2026</w:t>
      </w:r>
    </w:p>
    <w:p>
      <w:pPr>
        <w:spacing w:before="80"/>
        <w:jc w:val="center"/>
      </w:pPr>
      <w:r>
        <w:rPr>
          <w:rFonts w:ascii="Arial" w:cs="Arial" w:eastAsia="Arial" w:hAnsi="Arial"/>
          <w:b/>
          <w:bCs/>
          <w:caps/>
          <w:color w:val="DC2626"/>
          <w:spacing w:val="200"/>
          <w:sz w:val="18"/>
          <w:szCs w:val="18"/>
        </w:rPr>
        <w:t xml:space="preserve">CONFIDENTIAL</w:t>
      </w:r>
    </w:p>
    <w:p>
      <w:pPr>
        <w:sectPr>
          <w:pgSz w:w="12240" w:h="15840" w:orient="portrait"/>
          <w:pgMar w:top="1440" w:right="1260" w:bottom="1440" w:left="1260" w:header="708" w:footer="708" w:gutter="0"/>
          <w:pgNumType/>
          <w:docGrid w:linePitch="360"/>
        </w:sectPr>
      </w:pPr>
    </w:p>
    <w:p>
      <w:pPr>
        <w:pStyle w:val="Heading1"/>
      </w:pPr>
      <w:r>
        <w:t xml:space="preserve">Executive Summary</w:t>
      </w:r>
    </w:p>
    <w:p>
      <w:pPr>
        <w:spacing w:after="120" w:line="276"/>
      </w:pPr>
      <w:r>
        <w:rPr>
          <w:rFonts w:ascii="Arial" w:cs="Arial" w:eastAsia="Arial" w:hAnsi="Arial"/>
          <w:color w:val="1E293B"/>
          <w:sz w:val="22"/>
          <w:szCs w:val="22"/>
        </w:rPr>
        <w:t xml:space="preserve">Intellios has built a marketing website that demonstrates remarkably strong strategic instincts for an early-stage enterprise platform. The positioning as a governed control plane for AI agents is sharp, differentiated, and timely. The messaging architecture—fear-based problem framing backed by sourced third-party data, followed by a clear three-pillar solution narrative—is better than what most Series B companies ship. The copy is specific, avoids the worst SaaS clichés, and speaks to real enterprise pain points with regulatory specificity (SR 11-7, EU AI Act) that signals genuine domain expertise.</w:t>
      </w:r>
    </w:p>
    <w:p>
      <w:pPr>
        <w:spacing w:after="120" w:line="276"/>
      </w:pPr>
      <w:r>
        <w:rPr>
          <w:rFonts w:ascii="Arial" w:cs="Arial" w:eastAsia="Arial" w:hAnsi="Arial"/>
          <w:color w:val="1E293B"/>
          <w:sz w:val="22"/>
          <w:szCs w:val="22"/>
        </w:rPr>
        <w:t xml:space="preserve">However, the site has critical gaps that would give a serious enterprise buyer pause. There are zero named customers, zero case studies, zero analyst recognitions, and zero quantified customer outcomes. The “Design partners from regulated enterprise” section uses anonymous placeholders that signal pre-revenue status. The pricing page sends all CTAs to a mailto link, the visual design—while clean—lacks the proprietary brand expression and premium polish expected at this price point, and the product screenshots are static mockups rather than real UI. For a platform selling governance and trust, the website itself needs to earn more trust.</w:t>
      </w:r>
    </w:p>
    <w:p>
      <w:pPr>
        <w:spacing w:after="120" w:line="276"/>
      </w:pPr>
      <w:r>
        <w:rPr>
          <w:rFonts w:ascii="Arial" w:cs="Arial" w:eastAsia="Arial" w:hAnsi="Arial"/>
          <w:color w:val="1E293B"/>
          <w:sz w:val="22"/>
          <w:szCs w:val="22"/>
        </w:rPr>
        <w:t xml:space="preserve">The foundation is strong. The strategic thinking is A-tier. The execution needs to catch up—particularly in credibility architecture, conversion infrastructure, and visual differentiation. With focused investment, this site could compete with established enterprise players within two quarters.</w:t>
      </w:r>
    </w:p>
    <w:p>
      <w:pPr>
        <w:spacing w:before="200"/>
      </w:pPr>
    </w:p>
    <w:p>
      <w:pPr>
        <w:pStyle w:val="Heading1"/>
      </w:pPr>
      <w:r>
        <w:t xml:space="preserve">Overall Score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none" w:sz="0"/>
              <w:left w:val="none" w:sz="0"/>
              <w:bottom w:val="none" w:sz="0"/>
              <w:right w:val="none" w:sz="0"/>
            </w:tcBorders>
            <w:shd w:fill="4F46E5" w:val="clear"/>
            <w:tcMar>
              <w:top w:type="dxa" w:w="120"/>
              <w:left w:type="dxa" w:w="200"/>
              <w:bottom w:type="dxa" w:w="120"/>
              <w:right w:type="dxa" w:w="200"/>
            </w:tcMar>
          </w:tcPr>
          <w:p>
            <w:pPr>
              <w:jc w:val="center"/>
            </w:pPr>
            <w:r>
              <w:rPr>
                <w:rFonts w:ascii="Arial" w:cs="Arial" w:eastAsia="Arial" w:hAnsi="Arial"/>
                <w:b/>
                <w:bCs/>
                <w:color w:val="FFFFFF"/>
                <w:sz w:val="52"/>
                <w:szCs w:val="52"/>
              </w:rPr>
              <w:t xml:space="preserve">6.4 / 10</w:t>
            </w:r>
          </w:p>
          <w:p>
            <w:pPr>
              <w:spacing w:before="40"/>
              <w:jc w:val="center"/>
            </w:pPr>
            <w:r>
              <w:rPr>
                <w:rFonts w:ascii="Arial" w:cs="Arial" w:eastAsia="Arial" w:hAnsi="Arial"/>
                <w:b/>
                <w:bCs/>
                <w:color w:val="C7D2FE"/>
                <w:sz w:val="36"/>
                <w:szCs w:val="36"/>
              </w:rPr>
              <w:t xml:space="preserve">B–</w:t>
            </w:r>
          </w:p>
        </w:tc>
        <w:tc>
          <w:tcPr>
            <w:tcW w:type="dxa" w:w="4860"/>
            <w:tcBorders>
              <w:top w:val="none" w:sz="0"/>
              <w:left w:val="none" w:sz="0"/>
              <w:bottom w:val="none" w:sz="0"/>
              <w:right w:val="none" w:sz="0"/>
            </w:tcBorders>
            <w:shd w:fill="EEF2FF" w:val="clear"/>
            <w:tcMar>
              <w:top w:type="dxa" w:w="120"/>
              <w:left w:type="dxa" w:w="200"/>
              <w:bottom w:type="dxa" w:w="120"/>
              <w:right w:type="dxa" w:w="200"/>
            </w:tcMar>
            <w:vAlign w:val="center"/>
          </w:tcPr>
          <w:p>
            <w:pPr>
              <w:spacing w:line="276"/>
            </w:pPr>
            <w:r>
              <w:rPr>
                <w:rFonts w:ascii="Arial" w:cs="Arial" w:eastAsia="Arial" w:hAnsi="Arial"/>
                <w:i/>
                <w:iCs/>
                <w:color w:val="475569"/>
                <w:sz w:val="20"/>
                <w:szCs w:val="20"/>
              </w:rPr>
              <w:t xml:space="preserve">Strong strategic positioning and messaging architecture undermined by a credibility deficit, immature conversion infrastructure, and a visual design system that doesn’t yet match the sophistication of the product narrative. The gap is closable, but it’s material.</w:t>
            </w:r>
          </w:p>
        </w:tc>
      </w:tr>
    </w:tbl>
    <w:p>
      <w:pPr>
        <w:spacing w:before="200"/>
      </w:pPr>
    </w:p>
    <w:p>
      <w:pPr>
        <w:pStyle w:val="Heading1"/>
      </w:pPr>
      <w:r>
        <w:t xml:space="preserve">Pages Analyzed</w:t>
      </w:r>
    </w:p>
    <w:p>
      <w:pPr>
        <w:spacing w:after="120" w:line="276"/>
      </w:pPr>
      <w:r>
        <w:rPr>
          <w:rFonts w:ascii="Arial" w:cs="Arial" w:eastAsia="Arial" w:hAnsi="Arial"/>
          <w:color w:val="1E293B"/>
          <w:sz w:val="22"/>
          <w:szCs w:val="22"/>
        </w:rPr>
        <w:t xml:space="preserve">This audit covers the full public-facing marketing surface of intellios.app, comprising six distinct pages across two funnel stages.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2120"/>
      </w:tblGrid>
      <w:tr>
        <w:tc>
          <w:tcPr>
            <w:tcW w:type="dxa" w:w="2400"/>
            <w:tcBorders>
              <w:top w:val="single" w:color="E2E8F0" w:sz="1"/>
              <w:left w:val="single" w:color="E2E8F0" w:sz="1"/>
              <w:bottom w:val="single" w:color="E2E8F0" w:sz="1"/>
              <w:right w:val="single" w:color="E2E8F0" w:sz="1"/>
            </w:tcBorders>
            <w:shd w:fill="1E1B4B" w:val="clear"/>
            <w:tcMar>
              <w:top w:type="dxa" w:w="80"/>
              <w:left w:type="dxa" w:w="120"/>
              <w:bottom w:type="dxa" w:w="80"/>
              <w:right w:type="dxa" w:w="120"/>
            </w:tcMar>
          </w:tcPr>
          <w:p>
            <w:r>
              <w:rPr>
                <w:rFonts w:ascii="Arial" w:cs="Arial" w:eastAsia="Arial" w:hAnsi="Arial"/>
                <w:b/>
                <w:bCs/>
                <w:caps/>
                <w:color w:val="FFFFFF"/>
                <w:sz w:val="18"/>
                <w:szCs w:val="18"/>
              </w:rPr>
              <w:t xml:space="preserve">Page</w:t>
            </w:r>
          </w:p>
        </w:tc>
        <w:tc>
          <w:tcPr>
            <w:tcW w:type="dxa" w:w="3200"/>
            <w:tcBorders>
              <w:top w:val="single" w:color="E2E8F0" w:sz="1"/>
              <w:left w:val="single" w:color="E2E8F0" w:sz="1"/>
              <w:bottom w:val="single" w:color="E2E8F0" w:sz="1"/>
              <w:right w:val="single" w:color="E2E8F0" w:sz="1"/>
            </w:tcBorders>
            <w:shd w:fill="1E1B4B" w:val="clear"/>
            <w:tcMar>
              <w:top w:type="dxa" w:w="80"/>
              <w:left w:type="dxa" w:w="120"/>
              <w:bottom w:type="dxa" w:w="80"/>
              <w:right w:type="dxa" w:w="120"/>
            </w:tcMar>
          </w:tcPr>
          <w:p>
            <w:r>
              <w:rPr>
                <w:rFonts w:ascii="Arial" w:cs="Arial" w:eastAsia="Arial" w:hAnsi="Arial"/>
                <w:b/>
                <w:bCs/>
                <w:caps/>
                <w:color w:val="FFFFFF"/>
                <w:sz w:val="18"/>
                <w:szCs w:val="18"/>
              </w:rPr>
              <w:t xml:space="preserve">URL Path</w:t>
            </w:r>
          </w:p>
        </w:tc>
        <w:tc>
          <w:tcPr>
            <w:tcW w:type="dxa" w:w="2000"/>
            <w:tcBorders>
              <w:top w:val="single" w:color="E2E8F0" w:sz="1"/>
              <w:left w:val="single" w:color="E2E8F0" w:sz="1"/>
              <w:bottom w:val="single" w:color="E2E8F0" w:sz="1"/>
              <w:right w:val="single" w:color="E2E8F0" w:sz="1"/>
            </w:tcBorders>
            <w:shd w:fill="1E1B4B" w:val="clear"/>
            <w:tcMar>
              <w:top w:type="dxa" w:w="80"/>
              <w:left w:type="dxa" w:w="120"/>
              <w:bottom w:type="dxa" w:w="80"/>
              <w:right w:type="dxa" w:w="120"/>
            </w:tcMar>
          </w:tcPr>
          <w:p>
            <w:r>
              <w:rPr>
                <w:rFonts w:ascii="Arial" w:cs="Arial" w:eastAsia="Arial" w:hAnsi="Arial"/>
                <w:b/>
                <w:bCs/>
                <w:caps/>
                <w:color w:val="FFFFFF"/>
                <w:sz w:val="18"/>
                <w:szCs w:val="18"/>
              </w:rPr>
              <w:t xml:space="preserve">Funnel Stage</w:t>
            </w:r>
          </w:p>
        </w:tc>
        <w:tc>
          <w:tcPr>
            <w:tcW w:type="dxa" w:w="2120"/>
            <w:tcBorders>
              <w:top w:val="single" w:color="E2E8F0" w:sz="1"/>
              <w:left w:val="single" w:color="E2E8F0" w:sz="1"/>
              <w:bottom w:val="single" w:color="E2E8F0" w:sz="1"/>
              <w:right w:val="single" w:color="E2E8F0" w:sz="1"/>
            </w:tcBorders>
            <w:shd w:fill="1E1B4B" w:val="clear"/>
            <w:tcMar>
              <w:top w:type="dxa" w:w="80"/>
              <w:left w:type="dxa" w:w="120"/>
              <w:bottom w:type="dxa" w:w="80"/>
              <w:right w:type="dxa" w:w="120"/>
            </w:tcMar>
          </w:tcPr>
          <w:p>
            <w:r>
              <w:rPr>
                <w:rFonts w:ascii="Arial" w:cs="Arial" w:eastAsia="Arial" w:hAnsi="Arial"/>
                <w:b/>
                <w:bCs/>
                <w:caps/>
                <w:color w:val="FFFFFF"/>
                <w:sz w:val="18"/>
                <w:szCs w:val="18"/>
              </w:rPr>
              <w:t xml:space="preserve">Primary Purpose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1E293B"/>
                <w:sz w:val="19"/>
                <w:szCs w:val="19"/>
              </w:rPr>
              <w:t xml:space="preserve">Main Landing</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1E293B"/>
                <w:sz w:val="19"/>
                <w:szCs w:val="19"/>
              </w:rPr>
              <w:t xml:space="preserve">/landing</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1E293B"/>
                <w:sz w:val="19"/>
                <w:szCs w:val="19"/>
              </w:rPr>
              <w:t xml:space="preserve">Awareness → Consideration</w:t>
            </w:r>
          </w:p>
        </w:tc>
        <w:tc>
          <w:tcPr>
            <w:tcW w:type="dxa" w:w="2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1E293B"/>
                <w:sz w:val="19"/>
                <w:szCs w:val="19"/>
              </w:rPr>
              <w:t xml:space="preserve">Full-funnel storytelling, problem framing, solution positioning, lead capture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1E293B"/>
                <w:sz w:val="19"/>
                <w:szCs w:val="19"/>
              </w:rPr>
              <w:t xml:space="preserve">Pricing</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1E293B"/>
                <w:sz w:val="19"/>
                <w:szCs w:val="19"/>
              </w:rPr>
              <w:t xml:space="preserve">/landing/pricing</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1E293B"/>
                <w:sz w:val="19"/>
                <w:szCs w:val="19"/>
              </w:rPr>
              <w:t xml:space="preserve">Consideration → Decision</w:t>
            </w:r>
          </w:p>
        </w:tc>
        <w:tc>
          <w:tcPr>
            <w:tcW w:type="dxa" w:w="2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1E293B"/>
                <w:sz w:val="19"/>
                <w:szCs w:val="19"/>
              </w:rPr>
              <w:t xml:space="preserve">Tier comparison, design partner onboarding, sales qualification</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1E293B"/>
                <w:sz w:val="19"/>
                <w:szCs w:val="19"/>
              </w:rPr>
              <w:t xml:space="preserve">Security</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1E293B"/>
                <w:sz w:val="19"/>
                <w:szCs w:val="19"/>
              </w:rPr>
              <w:t xml:space="preserve">/landing/security</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1E293B"/>
                <w:sz w:val="19"/>
                <w:szCs w:val="19"/>
              </w:rPr>
              <w:t xml:space="preserve">Consideration (Trust)</w:t>
            </w:r>
          </w:p>
        </w:tc>
        <w:tc>
          <w:tcPr>
            <w:tcW w:type="dxa" w:w="2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1E293B"/>
                <w:sz w:val="19"/>
                <w:szCs w:val="19"/>
              </w:rPr>
              <w:t xml:space="preserve">Enterprise security posture, compliance framework documentation</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1E293B"/>
                <w:sz w:val="19"/>
                <w:szCs w:val="19"/>
              </w:rPr>
              <w:t xml:space="preserve">Privacy Policy</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1E293B"/>
                <w:sz w:val="19"/>
                <w:szCs w:val="19"/>
              </w:rPr>
              <w:t xml:space="preserve">/landing/privacy</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1E293B"/>
                <w:sz w:val="19"/>
                <w:szCs w:val="19"/>
              </w:rPr>
              <w:t xml:space="preserve">Trust / Legal</w:t>
            </w:r>
          </w:p>
        </w:tc>
        <w:tc>
          <w:tcPr>
            <w:tcW w:type="dxa" w:w="2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1E293B"/>
                <w:sz w:val="19"/>
                <w:szCs w:val="19"/>
              </w:rPr>
              <w:t xml:space="preserve">GDPR/regulatory compliance, data handling transparency</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1E293B"/>
                <w:sz w:val="19"/>
                <w:szCs w:val="19"/>
              </w:rPr>
              <w:t xml:space="preserve">Terms of Service</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1E293B"/>
                <w:sz w:val="19"/>
                <w:szCs w:val="19"/>
              </w:rPr>
              <w:t xml:space="preserve">/landing/terms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1E293B"/>
                <w:sz w:val="19"/>
                <w:szCs w:val="19"/>
              </w:rPr>
              <w:t xml:space="preserve">Trust / Legal</w:t>
            </w:r>
          </w:p>
        </w:tc>
        <w:tc>
          <w:tcPr>
            <w:tcW w:type="dxa" w:w="2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1E293B"/>
                <w:sz w:val="19"/>
                <w:szCs w:val="19"/>
              </w:rPr>
              <w:t xml:space="preserve">Legal agreement, enterprise procurement requirement</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1E293B"/>
                <w:sz w:val="19"/>
                <w:szCs w:val="19"/>
              </w:rPr>
              <w:t xml:space="preserve">Login / Register</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1E293B"/>
                <w:sz w:val="19"/>
                <w:szCs w:val="19"/>
              </w:rPr>
              <w:t xml:space="preserve">/login, /register</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1E293B"/>
                <w:sz w:val="19"/>
                <w:szCs w:val="19"/>
              </w:rPr>
              <w:t xml:space="preserve">Decision → Post-Sale</w:t>
            </w:r>
          </w:p>
        </w:tc>
        <w:tc>
          <w:tcPr>
            <w:tcW w:type="dxa" w:w="2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1E293B"/>
                <w:sz w:val="19"/>
                <w:szCs w:val="19"/>
              </w:rPr>
              <w:t xml:space="preserve">Authenticated access, branded onboarding experience</w:t>
            </w:r>
          </w:p>
        </w:tc>
      </w:tr>
    </w:tbl>
    <w:p>
      <w:r>
        <w:br w:type="page"/>
      </w:r>
    </w:p>
    <w:p>
      <w:pPr>
        <w:pStyle w:val="Heading1"/>
      </w:pPr>
      <w:r>
        <w:t xml:space="preserve">Per-Dimension Scoring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820"/>
      </w:tblGrid>
      <w:tr>
        <w:tc>
          <w:tcPr>
            <w:tcW w:type="dxa" w:w="3200"/>
            <w:tcBorders>
              <w:top w:val="single" w:color="E2E8F0" w:sz="1"/>
              <w:left w:val="single" w:color="E2E8F0" w:sz="1"/>
              <w:bottom w:val="single" w:color="E2E8F0" w:sz="1"/>
              <w:right w:val="single" w:color="E2E8F0" w:sz="1"/>
            </w:tcBorders>
            <w:shd w:fill="1E1B4B" w:val="clear"/>
            <w:tcMar>
              <w:top w:type="dxa" w:w="80"/>
              <w:left w:type="dxa" w:w="120"/>
              <w:bottom w:type="dxa" w:w="80"/>
              <w:right w:type="dxa" w:w="120"/>
            </w:tcMar>
          </w:tcPr>
          <w:p>
            <w:pPr>
              <w:jc w:val="left"/>
            </w:pPr>
            <w:r>
              <w:rPr>
                <w:rFonts w:ascii="Arial" w:cs="Arial" w:eastAsia="Arial" w:hAnsi="Arial"/>
                <w:b/>
                <w:bCs/>
                <w:caps/>
                <w:color w:val="FFFFFF"/>
                <w:sz w:val="18"/>
                <w:szCs w:val="18"/>
              </w:rPr>
              <w:t xml:space="preserve">Dimension</w:t>
            </w:r>
          </w:p>
        </w:tc>
        <w:tc>
          <w:tcPr>
            <w:tcW w:type="dxa" w:w="700"/>
            <w:tcBorders>
              <w:top w:val="single" w:color="E2E8F0" w:sz="1"/>
              <w:left w:val="single" w:color="E2E8F0" w:sz="1"/>
              <w:bottom w:val="single" w:color="E2E8F0" w:sz="1"/>
              <w:right w:val="single" w:color="E2E8F0" w:sz="1"/>
            </w:tcBorders>
            <w:shd w:fill="1E1B4B"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Score</w:t>
            </w:r>
          </w:p>
        </w:tc>
        <w:tc>
          <w:tcPr>
            <w:tcW w:type="dxa" w:w="5820"/>
            <w:tcBorders>
              <w:top w:val="single" w:color="E2E8F0" w:sz="1"/>
              <w:left w:val="single" w:color="E2E8F0" w:sz="1"/>
              <w:bottom w:val="single" w:color="E2E8F0" w:sz="1"/>
              <w:right w:val="single" w:color="E2E8F0" w:sz="1"/>
            </w:tcBorders>
            <w:shd w:fill="1E1B4B" w:val="clear"/>
            <w:tcMar>
              <w:top w:type="dxa" w:w="80"/>
              <w:left w:type="dxa" w:w="120"/>
              <w:bottom w:type="dxa" w:w="80"/>
              <w:right w:type="dxa" w:w="120"/>
            </w:tcMar>
          </w:tcPr>
          <w:p>
            <w:pPr>
              <w:jc w:val="left"/>
            </w:pPr>
            <w:r>
              <w:rPr>
                <w:rFonts w:ascii="Arial" w:cs="Arial" w:eastAsia="Arial" w:hAnsi="Arial"/>
                <w:b/>
                <w:bCs/>
                <w:caps/>
                <w:color w:val="FFFFFF"/>
                <w:sz w:val="18"/>
                <w:szCs w:val="18"/>
              </w:rPr>
              <w:t xml:space="preserve">Expert Justification</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1E293B"/>
                <w:sz w:val="20"/>
                <w:szCs w:val="20"/>
              </w:rPr>
              <w:t xml:space="preserve">1. Strategic Positioning &amp; Value Proposition</w:t>
            </w:r>
          </w:p>
        </w:tc>
        <w:tc>
          <w:tcPr>
            <w:tcW w:type="dxa" w:w="700"/>
            <w:tcBorders>
              <w:top w:val="single" w:color="E2E8F0" w:sz="1"/>
              <w:left w:val="single" w:color="E2E8F0" w:sz="1"/>
              <w:bottom w:val="single" w:color="E2E8F0" w:sz="1"/>
              <w:right w:val="single" w:color="E2E8F0" w:sz="1"/>
            </w:tcBorders>
            <w:shd w:fill="05966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W w:type="dxa" w:w="58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475569"/>
                <w:sz w:val="19"/>
                <w:szCs w:val="19"/>
              </w:rPr>
              <w:t xml:space="preserve">The “governed control plane for AI agents” positioning is sharp and defensible. It clearly separates Intellios from cloud runtimes (AWS AgentCore, Azure AI Foundry) and establishes a new category rather than competing inside an existing one. The “governance gap” framing backed by Gartner, IBM, and McKinsey data is sophisticated. An enterprise buyer immediately understands what this is and why it exists. Deducted points because the “white-label agent factory” framing from the codebase conflicts slightly with the “control plane” positioning on the landing page—messaging needs to choose one primary identity.</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1E293B"/>
                <w:sz w:val="20"/>
                <w:szCs w:val="20"/>
              </w:rPr>
              <w:t xml:space="preserve">2. Narrative &amp; Messaging Architecture</w:t>
            </w:r>
          </w:p>
        </w:tc>
        <w:tc>
          <w:tcPr>
            <w:tcW w:type="dxa" w:w="700"/>
            <w:tcBorders>
              <w:top w:val="single" w:color="E2E8F0" w:sz="1"/>
              <w:left w:val="single" w:color="E2E8F0" w:sz="1"/>
              <w:bottom w:val="single" w:color="E2E8F0" w:sz="1"/>
              <w:right w:val="single" w:color="E2E8F0" w:sz="1"/>
            </w:tcBorders>
            <w:shd w:fill="05966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W w:type="dxa" w:w="58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475569"/>
                <w:sz w:val="19"/>
                <w:szCs w:val="19"/>
              </w:rPr>
              <w:t xml:space="preserve">Exceptional story arc: problem (governance gap with data) → solution (three pillars) → how it works (4-step flow with/without contrast) → persona-specific value → differentiation → trust signals → ROI → FAQ → final CTA. The pain/resolution structure in persona cards is textbook enterprise marketing. The messaging ladders from features through business outcomes to financial impact. The “Without Intellios” vs. “With Intellios” comparison is particularly effective. This is better messaging architecture than most funded startups ship.</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1E293B"/>
                <w:sz w:val="20"/>
                <w:szCs w:val="20"/>
              </w:rPr>
              <w:t xml:space="preserve">3. Headline &amp; Copy Craft</w:t>
            </w:r>
          </w:p>
        </w:tc>
        <w:tc>
          <w:tcPr>
            <w:tcW w:type="dxa" w:w="700"/>
            <w:tcBorders>
              <w:top w:val="single" w:color="E2E8F0" w:sz="1"/>
              <w:left w:val="single" w:color="E2E8F0" w:sz="1"/>
              <w:bottom w:val="single" w:color="E2E8F0" w:sz="1"/>
              <w:right w:val="single" w:color="E2E8F0" w:sz="1"/>
            </w:tcBorders>
            <w:shd w:fill="05966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58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475569"/>
                <w:sz w:val="19"/>
                <w:szCs w:val="19"/>
              </w:rPr>
              <w:t xml:space="preserve">Headlines are specific and avoid the worst clichés. “Every AI agent in your enterprise—governed, auditable, compliant” is strong. “AI agents are scaling. Governance isn’t.” is punchy. The regulatory specificity (SR 11-7, EU AI Act, NIST AI RMF) signals domain authority. However, some secondary copy is longer than it needs to be, and phrases like “designed to deliver” hedges confidence rather than claiming outcomes. A few sections repeat the same value proposition in slightly different words, creating scroll fatigue.</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1E293B"/>
                <w:sz w:val="20"/>
                <w:szCs w:val="20"/>
              </w:rPr>
              <w:t xml:space="preserve">4. Audience Sophistication &amp; Persona Fit</w:t>
            </w:r>
          </w:p>
        </w:tc>
        <w:tc>
          <w:tcPr>
            <w:tcW w:type="dxa" w:w="700"/>
            <w:tcBorders>
              <w:top w:val="single" w:color="E2E8F0" w:sz="1"/>
              <w:left w:val="single" w:color="E2E8F0" w:sz="1"/>
              <w:bottom w:val="single" w:color="E2E8F0" w:sz="1"/>
              <w:right w:val="single" w:color="E2E8F0" w:sz="1"/>
            </w:tcBorders>
            <w:shd w:fill="05966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58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475569"/>
                <w:sz w:val="19"/>
                <w:szCs w:val="19"/>
              </w:rPr>
              <w:t xml:space="preserve">The persona cards directly address CROs, AI/ML platform teams, and CIOs/CTOs with role-specific pain points. The regulatory vocabulary (SR 11-7, MRM, EU AI Act Article 6) demonstrates genuine domain expertise that a compliance officer would respect. The pain points are real and specific, not generic. However, the page doesn’t address procurement explicitly (no security questionnaire, no MSA templates, no vendor assessment facilitation), and there’s no content for the technical evaluator who wants to see an API reference, architecture diagram, or integration guide.</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1E293B"/>
                <w:sz w:val="20"/>
                <w:szCs w:val="20"/>
              </w:rPr>
              <w:t xml:space="preserve">5. Trust &amp; Credibility Architecture</w:t>
            </w:r>
          </w:p>
        </w:tc>
        <w:tc>
          <w:tcPr>
            <w:tcW w:type="dxa" w:w="700"/>
            <w:tcBorders>
              <w:top w:val="single" w:color="E2E8F0" w:sz="1"/>
              <w:left w:val="single" w:color="E2E8F0" w:sz="1"/>
              <w:bottom w:val="single" w:color="E2E8F0" w:sz="1"/>
              <w:right w:val="single" w:color="E2E8F0" w:sz="1"/>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58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475569"/>
                <w:sz w:val="19"/>
                <w:szCs w:val="19"/>
              </w:rPr>
              <w:t xml:space="preserve">This is the critical weakness. Zero named customers. Zero case studies with quantified outcomes. Zero analyst recognitions (no Gartner, Forrester, or IDC mentions). Zero named executive quotes or testimonials. The “design partners” section uses anonymous placeholders (“Top-10 US Bank,” “Fortune 100 Insurer”) that any enterprise buyer will read as “we don’t have permission to use their names.” The compliance badges (SOC 2, GDPR, HIPAA) are listed but the security page reveals SOC 2 is “undergoing” audit—which means it’s aspirational, not achieved. This gap between claims and proof is the single biggest conversion killer.</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1E293B"/>
                <w:sz w:val="20"/>
                <w:szCs w:val="20"/>
              </w:rPr>
              <w:t xml:space="preserve">6. Information Architecture &amp; Scannability</w:t>
            </w:r>
          </w:p>
        </w:tc>
        <w:tc>
          <w:tcPr>
            <w:tcW w:type="dxa" w:w="700"/>
            <w:tcBorders>
              <w:top w:val="single" w:color="E2E8F0" w:sz="1"/>
              <w:left w:val="single" w:color="E2E8F0" w:sz="1"/>
              <w:bottom w:val="single" w:color="E2E8F0" w:sz="1"/>
              <w:right w:val="single" w:color="E2E8F0" w:sz="1"/>
            </w:tcBorders>
            <w:shd w:fill="05966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58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475569"/>
                <w:sz w:val="19"/>
                <w:szCs w:val="19"/>
              </w:rPr>
              <w:t xml:space="preserve">The 10-section landing page follows a logical progression. Section headers with uppercase category labels and large subheadlines support scanning. The F-pattern is respected—key stats are in bold, large type with supporting context below. Anchor navigation in the top bar enables direct jumping. However, the page is long (1000+ lines of JSX, likely 6–10 full scrolls) and there is no sticky progress indicator or section navigation. The pricing page buries the “Most Popular” tier visual highlight behind a subtle scale effect that mobile users may miss.</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1E293B"/>
                <w:sz w:val="20"/>
                <w:szCs w:val="20"/>
              </w:rPr>
              <w:t xml:space="preserve">7. Visual Design System &amp; Brand Expression</w:t>
            </w:r>
          </w:p>
        </w:tc>
        <w:tc>
          <w:tcPr>
            <w:tcW w:type="dxa" w:w="700"/>
            <w:tcBorders>
              <w:top w:val="single" w:color="E2E8F0" w:sz="1"/>
              <w:left w:val="single" w:color="E2E8F0" w:sz="1"/>
              <w:bottom w:val="single" w:color="E2E8F0" w:sz="1"/>
              <w:right w:val="single" w:color="E2E8F0" w:sz="1"/>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58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475569"/>
                <w:sz w:val="19"/>
                <w:szCs w:val="19"/>
              </w:rPr>
              <w:t xml:space="preserve">The design is clean, dark-mode-first, and competently executed with consistent spacing and a coherent indigo/violet/emerald accent palette. The hero illustration (animated SVG governance pipeline) is a nice touch. However, the overall aesthetic reads as “polished Tailwind template” rather than “proprietary enterprise brand.” There are no real photographs, no custom illustrations beyond the hero SVG, and no video content. The product mockup in the hero is a static code-rendered fake UI, not a real screenshot. Typography is functional but generic (system/default, no distinctive type hierarchy). A CIO comparing this to Datadog, Snyk, or Vanta’s site would see a maturity gap.</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1E293B"/>
                <w:sz w:val="20"/>
                <w:szCs w:val="20"/>
              </w:rPr>
              <w:t xml:space="preserve">8. Conversion Strategy &amp; CTA Design</w:t>
            </w:r>
          </w:p>
        </w:tc>
        <w:tc>
          <w:tcPr>
            <w:tcW w:type="dxa" w:w="700"/>
            <w:tcBorders>
              <w:top w:val="single" w:color="E2E8F0" w:sz="1"/>
              <w:left w:val="single" w:color="E2E8F0" w:sz="1"/>
              <w:bottom w:val="single" w:color="E2E8F0" w:sz="1"/>
              <w:right w:val="single" w:color="E2E8F0" w:sz="1"/>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58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475569"/>
                <w:sz w:val="19"/>
                <w:szCs w:val="19"/>
              </w:rPr>
              <w:t xml:space="preserve">The primary CTA (“Request Early Access”) is appropriate for current stage. The modal form captures email, company, role, and use case—reasonable fields. A mid-page CTA (“Tell Us Your Use Case”) provides a second conversion point. However, the pricing page routes all three tiers to mailto:sales@intellios.io, which is unprofessional for an enterprise platform. There is no demo video, no gated content (whitepapers, benchmark reports), no self-serve trial, and no chatbot. The “We respond within one business day” commitment is good but the conversion funnel is essentially: one form or an email. That’s insufficient for a multi-stakeholder enterprise buying process.</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1E293B"/>
                <w:sz w:val="20"/>
                <w:szCs w:val="20"/>
              </w:rPr>
              <w:t xml:space="preserve">9. Technical &amp; SEO Foundations</w:t>
            </w:r>
          </w:p>
        </w:tc>
        <w:tc>
          <w:tcPr>
            <w:tcW w:type="dxa" w:w="700"/>
            <w:tcBorders>
              <w:top w:val="single" w:color="E2E8F0" w:sz="1"/>
              <w:left w:val="single" w:color="E2E8F0" w:sz="1"/>
              <w:bottom w:val="single" w:color="E2E8F0" w:sz="1"/>
              <w:right w:val="single" w:color="E2E8F0" w:sz="1"/>
            </w:tcBorders>
            <w:shd w:fill="05966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58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475569"/>
                <w:sz w:val="19"/>
                <w:szCs w:val="19"/>
              </w:rPr>
              <w:t xml:space="preserve">Strong technical SEO: comprehensive metadata with targeted keywords (AI governance, SR 11-7, agent governance platform), multiple JSON-LD schemas (Organization, SoftwareApplication, FAQPage), OpenGraph and Twitter cards, canonical URLs, and proper semantic heading hierarchy. The page is server-rendered (Next.js 16) with client-side islands for interactivity, which is good for Core Web Vitals. Scroll-reveal animations use a wrapper component. The prefers-reduced-motion media query on the hero SVG is a nice accessibility touch. Missing: no sitemap.xml reference found, no robots.txt configuration visible, and the title tag targets a long-tail phrase that may not match high-volume search intent.</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b/>
                <w:bCs/>
                <w:color w:val="1E293B"/>
                <w:sz w:val="20"/>
                <w:szCs w:val="20"/>
              </w:rPr>
              <w:t xml:space="preserve">10. Competitive Benchmark</w:t>
            </w:r>
          </w:p>
        </w:tc>
        <w:tc>
          <w:tcPr>
            <w:tcW w:type="dxa" w:w="700"/>
            <w:tcBorders>
              <w:top w:val="single" w:color="E2E8F0" w:sz="1"/>
              <w:left w:val="single" w:color="E2E8F0" w:sz="1"/>
              <w:bottom w:val="single" w:color="E2E8F0" w:sz="1"/>
              <w:right w:val="single" w:color="E2E8F0" w:sz="1"/>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58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4"/>
            </w:pPr>
            <w:r>
              <w:rPr>
                <w:rFonts w:ascii="Arial" w:cs="Arial" w:eastAsia="Arial" w:hAnsi="Arial"/>
                <w:color w:val="475569"/>
                <w:sz w:val="19"/>
                <w:szCs w:val="19"/>
              </w:rPr>
              <w:t xml:space="preserve">Against direct competitors in the AI governance space (which is nascent), Intellios holds its own—most competitors have even thinner marketing. Against the broader enterprise SaaS benchmark (Datadog, Snyk, Vanta, Lacework, Wiz), the site is clearly a tier below in visual polish, social proof, content depth, and conversion sophistication. The messaging quality punches above its weight. The design and proof architecture do not. A discerning enterprise buyer would classify this as “early-stage vendor with interesting technology” rather than “established platform I can recommend to the board.”</w:t>
            </w:r>
          </w:p>
        </w:tc>
      </w:tr>
    </w:tbl>
    <w:p>
      <w:r>
        <w:br w:type="page"/>
      </w:r>
    </w:p>
    <w:p>
      <w:pPr>
        <w:pStyle w:val="Heading1"/>
      </w:pPr>
      <w:r>
        <w:t xml:space="preserve">Top 3 Strengths Worth Preserving &amp; Amplifying</w:t>
      </w:r>
    </w:p>
    <w:p>
      <w:pPr>
        <w:pStyle w:val="Heading2"/>
      </w:pPr>
      <w:r>
        <w:t xml:space="preserve">1. Category-Defining Positioning</w:t>
      </w:r>
    </w:p>
    <w:p>
      <w:pPr>
        <w:spacing w:after="120" w:line="276"/>
      </w:pPr>
      <w:r>
        <w:rPr>
          <w:rFonts w:ascii="Arial" w:cs="Arial" w:eastAsia="Arial" w:hAnsi="Arial"/>
          <w:color w:val="1E293B"/>
          <w:sz w:val="22"/>
          <w:szCs w:val="22"/>
        </w:rPr>
        <w:t xml:space="preserve">The “governed control plane that sits above your cloud runtimes” is a position no competitor has claimed. It elegantly avoids competing with AWS or Azure while making Intellios essential to enterprises using either. This is a strategic asset—protect it, sharpen it, and make it the organizing principle of every piece of content. The three-pillar framework (Design-Time Governance, Lifecycle Management, Production Observability) is clear, memorable, and maps naturally to the buyer’s mental model.</w:t>
      </w:r>
    </w:p>
    <w:p>
      <w:pPr>
        <w:pStyle w:val="Heading2"/>
      </w:pPr>
      <w:r>
        <w:t xml:space="preserve">2. Data-Backed Problem Framing</w:t>
      </w:r>
    </w:p>
    <w:p>
      <w:pPr>
        <w:spacing w:after="120" w:line="276"/>
      </w:pPr>
      <w:r>
        <w:rPr>
          <w:rFonts w:ascii="Arial" w:cs="Arial" w:eastAsia="Arial" w:hAnsi="Arial"/>
          <w:color w:val="1E293B"/>
          <w:sz w:val="22"/>
          <w:szCs w:val="22"/>
        </w:rPr>
        <w:t xml:space="preserve">Every major claim on the landing page is sourced to a credible third party (Gartner, IBM/Ponemon, McKinsey, OCC enforcement actions). The governance gap section and the ROI section use fear of regulatory penalty and breach cost as motivation—this is exactly the right emotional lever for risk-averse enterprise buyers. The Citibank $75M penalty citation is particularly effective because it names a specific institution and a specific consequence. Preserve this evidence-based approach as the site scales.</w:t>
      </w:r>
    </w:p>
    <w:p>
      <w:pPr>
        <w:pStyle w:val="Heading2"/>
      </w:pPr>
      <w:r>
        <w:t xml:space="preserve">3. Persona-Specific Messaging Architecture</w:t>
      </w:r>
    </w:p>
    <w:p>
      <w:pPr>
        <w:spacing w:after="120" w:line="276"/>
      </w:pPr>
      <w:r>
        <w:rPr>
          <w:rFonts w:ascii="Arial" w:cs="Arial" w:eastAsia="Arial" w:hAnsi="Arial"/>
          <w:color w:val="1E293B"/>
          <w:sz w:val="22"/>
          <w:szCs w:val="22"/>
        </w:rPr>
        <w:t xml:space="preserve">The pain/resolution framework in the persona cards demonstrates genuine customer empathy. Each persona (CRO, AI/ML teams, CIO/CTO) has a distinct pain point, a specific resolution, and a supporting industry fact. This is structurally excellent and should be expanded—not replaced—as the site matures. Consider adding procurement/legal as a fourth persona, since that stakeholder controls the final signature.</w:t>
      </w:r>
    </w:p>
    <w:p>
      <w:pPr>
        <w:spacing w:before="200"/>
      </w:pPr>
    </w:p>
    <w:p>
      <w:pPr>
        <w:pStyle w:val="Heading1"/>
      </w:pPr>
      <w:r>
        <w:t xml:space="preserve">Top 5 Prioritized Recommendations</w:t>
      </w:r>
    </w:p>
    <w:p>
      <w:pPr>
        <w:spacing w:after="120" w:line="276"/>
      </w:pPr>
      <w:r>
        <w:rPr>
          <w:rFonts w:ascii="Arial" w:cs="Arial" w:eastAsia="Arial" w:hAnsi="Arial"/>
          <w:color w:val="1E293B"/>
          <w:sz w:val="22"/>
          <w:szCs w:val="22"/>
        </w:rPr>
        <w:t xml:space="preserve">Ordered by expected business impact. Effort: S = under 1 week, M = 2–4 weeks, L = 6+ weeks.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120"/>
        <w:gridCol w:w="800"/>
      </w:tblGrid>
      <w:tr>
        <w:tc>
          <w:tcPr>
            <w:tcW w:type="dxa" w:w="400"/>
            <w:tcBorders>
              <w:top w:val="single" w:color="E2E8F0" w:sz="1"/>
              <w:left w:val="single" w:color="E2E8F0" w:sz="1"/>
              <w:bottom w:val="single" w:color="E2E8F0" w:sz="1"/>
              <w:right w:val="single" w:color="E2E8F0" w:sz="1"/>
            </w:tcBorders>
            <w:shd w:fill="1E1B4B"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w:t>
            </w:r>
          </w:p>
        </w:tc>
        <w:tc>
          <w:tcPr>
            <w:tcW w:type="dxa" w:w="2400"/>
            <w:tcBorders>
              <w:top w:val="single" w:color="E2E8F0" w:sz="1"/>
              <w:left w:val="single" w:color="E2E8F0" w:sz="1"/>
              <w:bottom w:val="single" w:color="E2E8F0" w:sz="1"/>
              <w:right w:val="single" w:color="E2E8F0" w:sz="1"/>
            </w:tcBorders>
            <w:shd w:fill="1E1B4B" w:val="clear"/>
            <w:tcMar>
              <w:top w:type="dxa" w:w="80"/>
              <w:left w:type="dxa" w:w="120"/>
              <w:bottom w:type="dxa" w:w="80"/>
              <w:right w:type="dxa" w:w="120"/>
            </w:tcMar>
          </w:tcPr>
          <w:p>
            <w:pPr>
              <w:jc w:val="left"/>
            </w:pPr>
            <w:r>
              <w:rPr>
                <w:rFonts w:ascii="Arial" w:cs="Arial" w:eastAsia="Arial" w:hAnsi="Arial"/>
                <w:b/>
                <w:bCs/>
                <w:caps/>
                <w:color w:val="FFFFFF"/>
                <w:sz w:val="18"/>
                <w:szCs w:val="18"/>
              </w:rPr>
              <w:t xml:space="preserve">Issue</w:t>
            </w:r>
          </w:p>
        </w:tc>
        <w:tc>
          <w:tcPr>
            <w:tcW w:type="dxa" w:w="6120"/>
            <w:tcBorders>
              <w:top w:val="single" w:color="E2E8F0" w:sz="1"/>
              <w:left w:val="single" w:color="E2E8F0" w:sz="1"/>
              <w:bottom w:val="single" w:color="E2E8F0" w:sz="1"/>
              <w:right w:val="single" w:color="E2E8F0" w:sz="1"/>
            </w:tcBorders>
            <w:shd w:fill="1E1B4B" w:val="clear"/>
            <w:tcMar>
              <w:top w:type="dxa" w:w="80"/>
              <w:left w:type="dxa" w:w="120"/>
              <w:bottom w:type="dxa" w:w="80"/>
              <w:right w:type="dxa" w:w="120"/>
            </w:tcMar>
          </w:tcPr>
          <w:p>
            <w:pPr>
              <w:jc w:val="left"/>
            </w:pPr>
            <w:r>
              <w:rPr>
                <w:rFonts w:ascii="Arial" w:cs="Arial" w:eastAsia="Arial" w:hAnsi="Arial"/>
                <w:b/>
                <w:bCs/>
                <w:caps/>
                <w:color w:val="FFFFFF"/>
                <w:sz w:val="18"/>
                <w:szCs w:val="18"/>
              </w:rPr>
              <w:t xml:space="preserve">Recommended Fix</w:t>
            </w:r>
          </w:p>
        </w:tc>
        <w:tc>
          <w:tcPr>
            <w:tcW w:type="dxa" w:w="800"/>
            <w:tcBorders>
              <w:top w:val="single" w:color="E2E8F0" w:sz="1"/>
              <w:left w:val="single" w:color="E2E8F0" w:sz="1"/>
              <w:bottom w:val="single" w:color="E2E8F0" w:sz="1"/>
              <w:right w:val="single" w:color="E2E8F0" w:sz="1"/>
            </w:tcBorders>
            <w:shd w:fill="1E1B4B" w:val="clear"/>
            <w:tcMar>
              <w:top w:type="dxa" w:w="80"/>
              <w:left w:type="dxa" w:w="120"/>
              <w:bottom w:type="dxa" w:w="80"/>
              <w:right w:type="dxa" w:w="120"/>
            </w:tcMar>
          </w:tcPr>
          <w:p>
            <w:pPr>
              <w:jc w:val="center"/>
            </w:pPr>
            <w:r>
              <w:rPr>
                <w:rFonts w:ascii="Arial" w:cs="Arial" w:eastAsia="Arial" w:hAnsi="Arial"/>
                <w:b/>
                <w:bCs/>
                <w:caps/>
                <w:color w:val="FFFFFF"/>
                <w:sz w:val="18"/>
                <w:szCs w:val="18"/>
              </w:rPr>
              <w:t xml:space="preserve">Effort</w:t>
            </w:r>
          </w:p>
        </w:tc>
      </w:tr>
      <w:tr>
        <w:tc>
          <w:tcPr>
            <w:tcW w:type="dxa" w:w="400"/>
            <w:vMerge w:val="restart"/>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aps/>
                <w:color w:val="94A3B8"/>
                <w:sz w:val="17"/>
                <w:szCs w:val="17"/>
              </w:rPr>
              <w:t xml:space="preserve">Issue</w:t>
            </w:r>
          </w:p>
          <w:p>
            <w:pPr>
              <w:spacing w:before="40"/>
            </w:pPr>
            <w:r>
              <w:rPr>
                <w:rFonts w:ascii="Arial" w:cs="Arial" w:eastAsia="Arial" w:hAnsi="Arial"/>
                <w:color w:val="1E293B"/>
                <w:sz w:val="20"/>
                <w:szCs w:val="20"/>
              </w:rPr>
              <w:t xml:space="preserve">Zero social proof. No named customers, case studies, testimonials, or analyst recognition. Anonymous “design partner” placeholders signal pre-revenue.</w:t>
            </w:r>
          </w:p>
        </w:tc>
        <w:tc>
          <w:tcPr>
            <w:tcW w:type="dxa" w:w="6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aps/>
                <w:color w:val="94A3B8"/>
                <w:sz w:val="17"/>
                <w:szCs w:val="17"/>
              </w:rPr>
              <w:t xml:space="preserve">Recommended Fix</w:t>
            </w:r>
          </w:p>
          <w:p>
            <w:pPr>
              <w:spacing w:before="40"/>
            </w:pPr>
            <w:r>
              <w:rPr>
                <w:rFonts w:ascii="Arial" w:cs="Arial" w:eastAsia="Arial" w:hAnsi="Arial"/>
                <w:color w:val="1E293B"/>
                <w:sz w:val="20"/>
                <w:szCs w:val="20"/>
              </w:rPr>
              <w:t xml:space="preserve">Negotiate logo rights with at least 2 design partners for named attribution. Create one detailed case study with quantified outcomes (audit time reduction, agents governed, compliance pass rate). Add 2–3 named executive quotes. If analyst recognition isn’t available, pursue inclusion in Gartner’s Market Guide for AI TRiSM or Forrester’s AI Governance landscape.</w:t>
            </w:r>
          </w:p>
        </w:tc>
        <w:tc>
          <w:tcPr>
            <w:tcW w:type="dxa" w:w="800"/>
            <w:vMerge w:val="restart"/>
            <w:tcBorders>
              <w:top w:val="single" w:color="E2E8F0" w:sz="1"/>
              <w:left w:val="single" w:color="E2E8F0" w:sz="1"/>
              <w:bottom w:val="single" w:color="E2E8F0" w:sz="1"/>
              <w:right w:val="single" w:color="E2E8F0" w:sz="1"/>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w:t>
            </w:r>
          </w:p>
        </w:tc>
      </w:tr>
      <w:tr>
        <w:tc>
          <w:tcPr>
            <w:vMerge w:val="continue"/>
            <w:tcBorders>
              <w:top w:val="single" w:color="E2E8F0" w:sz="1"/>
              <w:left w:val="single" w:color="E2E8F0" w:sz="1"/>
              <w:bottom w:val="single" w:color="E2E8F0" w:sz="1"/>
              <w:right w:val="single" w:color="E2E8F0" w:sz="1"/>
            </w:tcBorders>
          </w:tcPr>
          <w:p/>
        </w:tc>
        <w:tc>
          <w:tcPr>
            <w:tcW w:type="dxa" w:w="2400"/>
            <w:gridSpan w:val="2"/>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iCs/>
                <w:color w:val="475569"/>
                <w:sz w:val="19"/>
                <w:szCs w:val="19"/>
              </w:rPr>
              <w:t xml:space="preserve">Rationale: </w:t>
            </w:r>
            <w:r>
              <w:rPr>
                <w:rFonts w:ascii="Arial" w:cs="Arial" w:eastAsia="Arial" w:hAnsi="Arial"/>
                <w:i/>
                <w:iCs/>
                <w:color w:val="475569"/>
                <w:sz w:val="19"/>
                <w:szCs w:val="19"/>
              </w:rPr>
              <w:t xml:space="preserve">Enterprise buyers at the consideration stage will not book a demo without proof that someone like them has succeeded. This is the single highest-ROI investment the marketing team can make.</w:t>
            </w:r>
          </w:p>
        </w:tc>
        <w:tc>
          <w:tcPr>
            <w:vMerge w:val="continue"/>
            <w:tcBorders>
              <w:top w:val="single" w:color="E2E8F0" w:sz="1"/>
              <w:left w:val="single" w:color="E2E8F0" w:sz="1"/>
              <w:bottom w:val="single" w:color="E2E8F0" w:sz="1"/>
              <w:right w:val="single" w:color="E2E8F0" w:sz="1"/>
            </w:tcBorders>
          </w:tcPr>
          <w:p/>
        </w:tc>
      </w:tr>
      <w:tr>
        <w:tc>
          <w:tcPr>
            <w:tcW w:type="dxa" w:w="400"/>
            <w:vMerge w:val="restart"/>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aps/>
                <w:color w:val="94A3B8"/>
                <w:sz w:val="17"/>
                <w:szCs w:val="17"/>
              </w:rPr>
              <w:t xml:space="preserve">Issue</w:t>
            </w:r>
          </w:p>
          <w:p>
            <w:pPr>
              <w:spacing w:before="40"/>
            </w:pPr>
            <w:r>
              <w:rPr>
                <w:rFonts w:ascii="Arial" w:cs="Arial" w:eastAsia="Arial" w:hAnsi="Arial"/>
                <w:color w:val="1E293B"/>
                <w:sz w:val="20"/>
                <w:szCs w:val="20"/>
              </w:rPr>
              <w:t xml:space="preserve">Pricing page routes all CTAs to mailto links. No structured demo booking, no calendar integration, no Hubspot/Salesforce form routing. Feels like a placeholder.</w:t>
            </w:r>
          </w:p>
        </w:tc>
        <w:tc>
          <w:tcPr>
            <w:tcW w:type="dxa" w:w="6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aps/>
                <w:color w:val="94A3B8"/>
                <w:sz w:val="17"/>
                <w:szCs w:val="17"/>
              </w:rPr>
              <w:t xml:space="preserve">Recommended Fix</w:t>
            </w:r>
          </w:p>
          <w:p>
            <w:pPr>
              <w:spacing w:before="40"/>
            </w:pPr>
            <w:r>
              <w:rPr>
                <w:rFonts w:ascii="Arial" w:cs="Arial" w:eastAsia="Arial" w:hAnsi="Arial"/>
                <w:color w:val="1E293B"/>
                <w:sz w:val="20"/>
                <w:szCs w:val="20"/>
              </w:rPr>
              <w:t xml:space="preserve">Replace mailto with Calendly or HubSpot meetings for demo booking. Implement a proper contact form with lead routing (at minimum: Hubspot free tier). Add a short demo video or interactive product tour (Navattic, Storylane) as a lower-friction conversion option before “talk to sales.”</w:t>
            </w:r>
          </w:p>
        </w:tc>
        <w:tc>
          <w:tcPr>
            <w:tcW w:type="dxa" w:w="800"/>
            <w:vMerge w:val="restart"/>
            <w:tcBorders>
              <w:top w:val="single" w:color="E2E8F0" w:sz="1"/>
              <w:left w:val="single" w:color="E2E8F0" w:sz="1"/>
              <w:bottom w:val="single" w:color="E2E8F0" w:sz="1"/>
              <w:right w:val="single" w:color="E2E8F0" w:sz="1"/>
            </w:tcBorders>
            <w:shd w:fill="05966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w:t>
            </w:r>
          </w:p>
        </w:tc>
      </w:tr>
      <w:tr>
        <w:tc>
          <w:tcPr>
            <w:vMerge w:val="continue"/>
            <w:tcBorders>
              <w:top w:val="single" w:color="E2E8F0" w:sz="1"/>
              <w:left w:val="single" w:color="E2E8F0" w:sz="1"/>
              <w:bottom w:val="single" w:color="E2E8F0" w:sz="1"/>
              <w:right w:val="single" w:color="E2E8F0" w:sz="1"/>
            </w:tcBorders>
          </w:tcPr>
          <w:p/>
        </w:tc>
        <w:tc>
          <w:tcPr>
            <w:tcW w:type="dxa" w:w="2400"/>
            <w:gridSpan w:val="2"/>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iCs/>
                <w:color w:val="475569"/>
                <w:sz w:val="19"/>
                <w:szCs w:val="19"/>
              </w:rPr>
              <w:t xml:space="preserve">Rationale: </w:t>
            </w:r>
            <w:r>
              <w:rPr>
                <w:rFonts w:ascii="Arial" w:cs="Arial" w:eastAsia="Arial" w:hAnsi="Arial"/>
                <w:i/>
                <w:iCs/>
                <w:color w:val="475569"/>
                <w:sz w:val="19"/>
                <w:szCs w:val="19"/>
              </w:rPr>
              <w:t xml:space="preserve">Every mailto link is a conversion leak. Enterprise procurement expects a structured engagement process, not an email thread. This also blocks any analytics or attribution tracking.</w:t>
            </w:r>
          </w:p>
        </w:tc>
        <w:tc>
          <w:tcPr>
            <w:vMerge w:val="continue"/>
            <w:tcBorders>
              <w:top w:val="single" w:color="E2E8F0" w:sz="1"/>
              <w:left w:val="single" w:color="E2E8F0" w:sz="1"/>
              <w:bottom w:val="single" w:color="E2E8F0" w:sz="1"/>
              <w:right w:val="single" w:color="E2E8F0" w:sz="1"/>
            </w:tcBorders>
          </w:tcPr>
          <w:p/>
        </w:tc>
      </w:tr>
      <w:tr>
        <w:tc>
          <w:tcPr>
            <w:tcW w:type="dxa" w:w="400"/>
            <w:vMerge w:val="restart"/>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aps/>
                <w:color w:val="94A3B8"/>
                <w:sz w:val="17"/>
                <w:szCs w:val="17"/>
              </w:rPr>
              <w:t xml:space="preserve">Issue</w:t>
            </w:r>
          </w:p>
          <w:p>
            <w:pPr>
              <w:spacing w:before="40"/>
            </w:pPr>
            <w:r>
              <w:rPr>
                <w:rFonts w:ascii="Arial" w:cs="Arial" w:eastAsia="Arial" w:hAnsi="Arial"/>
                <w:color w:val="1E293B"/>
                <w:sz w:val="20"/>
                <w:szCs w:val="20"/>
              </w:rPr>
              <w:t xml:space="preserve">The visual design is clean but generic. No proprietary brand expression, no photography, no video, no custom illustration system beyond the hero SVG. Product mockup is a static fake UI.</w:t>
            </w:r>
          </w:p>
        </w:tc>
        <w:tc>
          <w:tcPr>
            <w:tcW w:type="dxa" w:w="6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aps/>
                <w:color w:val="94A3B8"/>
                <w:sz w:val="17"/>
                <w:szCs w:val="17"/>
              </w:rPr>
              <w:t xml:space="preserve">Recommended Fix</w:t>
            </w:r>
          </w:p>
          <w:p>
            <w:pPr>
              <w:spacing w:before="40"/>
            </w:pPr>
            <w:r>
              <w:rPr>
                <w:rFonts w:ascii="Arial" w:cs="Arial" w:eastAsia="Arial" w:hAnsi="Arial"/>
                <w:color w:val="1E293B"/>
                <w:sz w:val="20"/>
                <w:szCs w:val="20"/>
              </w:rPr>
              <w:t xml:space="preserve">Commission a custom illustration system or visual language that is distinctly Intellios (not Tailwind defaults). Replace the hero mockup with actual product screenshots or a short product video. Add at least one lifestyle/enterprise photography element. Invest in a distinctive typeface pairing. Study Vanta’s and Linear’s visual identity for inspiration on how small teams create premium brand expression.</w:t>
            </w:r>
          </w:p>
        </w:tc>
        <w:tc>
          <w:tcPr>
            <w:tcW w:type="dxa" w:w="800"/>
            <w:vMerge w:val="restart"/>
            <w:tcBorders>
              <w:top w:val="single" w:color="E2E8F0" w:sz="1"/>
              <w:left w:val="single" w:color="E2E8F0" w:sz="1"/>
              <w:bottom w:val="single" w:color="E2E8F0" w:sz="1"/>
              <w:right w:val="single" w:color="E2E8F0" w:sz="1"/>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L</w:t>
            </w:r>
          </w:p>
        </w:tc>
      </w:tr>
      <w:tr>
        <w:tc>
          <w:tcPr>
            <w:vMerge w:val="continue"/>
            <w:tcBorders>
              <w:top w:val="single" w:color="E2E8F0" w:sz="1"/>
              <w:left w:val="single" w:color="E2E8F0" w:sz="1"/>
              <w:bottom w:val="single" w:color="E2E8F0" w:sz="1"/>
              <w:right w:val="single" w:color="E2E8F0" w:sz="1"/>
            </w:tcBorders>
          </w:tcPr>
          <w:p/>
        </w:tc>
        <w:tc>
          <w:tcPr>
            <w:tcW w:type="dxa" w:w="2400"/>
            <w:gridSpan w:val="2"/>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iCs/>
                <w:color w:val="475569"/>
                <w:sz w:val="19"/>
                <w:szCs w:val="19"/>
              </w:rPr>
              <w:t xml:space="preserve">Rationale: </w:t>
            </w:r>
            <w:r>
              <w:rPr>
                <w:rFonts w:ascii="Arial" w:cs="Arial" w:eastAsia="Arial" w:hAnsi="Arial"/>
                <w:i/>
                <w:iCs/>
                <w:color w:val="475569"/>
                <w:sz w:val="19"/>
                <w:szCs w:val="19"/>
              </w:rPr>
              <w:t xml:space="preserve">Visual maturity is a proxy signal for product maturity in enterprise. A CIO will unconsciously discount the product if the site looks like it was built in a weekend hackathon. Brand investment compounds across every touchpoint.</w:t>
            </w:r>
          </w:p>
        </w:tc>
        <w:tc>
          <w:tcPr>
            <w:vMerge w:val="continue"/>
            <w:tcBorders>
              <w:top w:val="single" w:color="E2E8F0" w:sz="1"/>
              <w:left w:val="single" w:color="E2E8F0" w:sz="1"/>
              <w:bottom w:val="single" w:color="E2E8F0" w:sz="1"/>
              <w:right w:val="single" w:color="E2E8F0" w:sz="1"/>
            </w:tcBorders>
          </w:tcPr>
          <w:p/>
        </w:tc>
      </w:tr>
      <w:tr>
        <w:tc>
          <w:tcPr>
            <w:tcW w:type="dxa" w:w="400"/>
            <w:vMerge w:val="restart"/>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aps/>
                <w:color w:val="94A3B8"/>
                <w:sz w:val="17"/>
                <w:szCs w:val="17"/>
              </w:rPr>
              <w:t xml:space="preserve">Issue</w:t>
            </w:r>
          </w:p>
          <w:p>
            <w:pPr>
              <w:spacing w:before="40"/>
            </w:pPr>
            <w:r>
              <w:rPr>
                <w:rFonts w:ascii="Arial" w:cs="Arial" w:eastAsia="Arial" w:hAnsi="Arial"/>
                <w:color w:val="1E293B"/>
                <w:sz w:val="20"/>
                <w:szCs w:val="20"/>
              </w:rPr>
              <w:t xml:space="preserve">SOC 2 badge displayed prominently while security page admits the audit is in progress. Compliance badges may overstate current certification status.</w:t>
            </w:r>
          </w:p>
        </w:tc>
        <w:tc>
          <w:tcPr>
            <w:tcW w:type="dxa" w:w="6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aps/>
                <w:color w:val="94A3B8"/>
                <w:sz w:val="17"/>
                <w:szCs w:val="17"/>
              </w:rPr>
              <w:t xml:space="preserve">Recommended Fix</w:t>
            </w:r>
          </w:p>
          <w:p>
            <w:pPr>
              <w:spacing w:before="40"/>
            </w:pPr>
            <w:r>
              <w:rPr>
                <w:rFonts w:ascii="Arial" w:cs="Arial" w:eastAsia="Arial" w:hAnsi="Arial"/>
                <w:color w:val="1E293B"/>
                <w:sz w:val="20"/>
                <w:szCs w:val="20"/>
              </w:rPr>
              <w:t xml:space="preserve">Either remove SOC 2 badge until audit is complete, or clearly label as “In Progress” on the badge itself. Add expected completion date. For badges that are achieved, link each to a verification page or trust center (Vanta Trust Center, Drata, or similar). Create a dedicated /trust page that serves as the single source of truth for all compliance status.</w:t>
            </w:r>
          </w:p>
        </w:tc>
        <w:tc>
          <w:tcPr>
            <w:tcW w:type="dxa" w:w="800"/>
            <w:vMerge w:val="restart"/>
            <w:tcBorders>
              <w:top w:val="single" w:color="E2E8F0" w:sz="1"/>
              <w:left w:val="single" w:color="E2E8F0" w:sz="1"/>
              <w:bottom w:val="single" w:color="E2E8F0" w:sz="1"/>
              <w:right w:val="single" w:color="E2E8F0" w:sz="1"/>
            </w:tcBorders>
            <w:shd w:fill="05966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w:t>
            </w:r>
          </w:p>
        </w:tc>
      </w:tr>
      <w:tr>
        <w:tc>
          <w:tcPr>
            <w:vMerge w:val="continue"/>
            <w:tcBorders>
              <w:top w:val="single" w:color="E2E8F0" w:sz="1"/>
              <w:left w:val="single" w:color="E2E8F0" w:sz="1"/>
              <w:bottom w:val="single" w:color="E2E8F0" w:sz="1"/>
              <w:right w:val="single" w:color="E2E8F0" w:sz="1"/>
            </w:tcBorders>
          </w:tcPr>
          <w:p/>
        </w:tc>
        <w:tc>
          <w:tcPr>
            <w:tcW w:type="dxa" w:w="2400"/>
            <w:gridSpan w:val="2"/>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iCs/>
                <w:color w:val="475569"/>
                <w:sz w:val="19"/>
                <w:szCs w:val="19"/>
              </w:rPr>
              <w:t xml:space="preserve">Rationale: </w:t>
            </w:r>
            <w:r>
              <w:rPr>
                <w:rFonts w:ascii="Arial" w:cs="Arial" w:eastAsia="Arial" w:hAnsi="Arial"/>
                <w:i/>
                <w:iCs/>
                <w:color w:val="475569"/>
                <w:sz w:val="19"/>
                <w:szCs w:val="19"/>
              </w:rPr>
              <w:t xml:space="preserve">Enterprise procurement will verify every claim. A discrepancy between the landing page badge and the security page disclosure will erode trust at the exact moment you’re trying to build it. Transparency is more credible than aspiration.</w:t>
            </w:r>
          </w:p>
        </w:tc>
        <w:tc>
          <w:tcPr>
            <w:vMerge w:val="continue"/>
            <w:tcBorders>
              <w:top w:val="single" w:color="E2E8F0" w:sz="1"/>
              <w:left w:val="single" w:color="E2E8F0" w:sz="1"/>
              <w:bottom w:val="single" w:color="E2E8F0" w:sz="1"/>
              <w:right w:val="single" w:color="E2E8F0" w:sz="1"/>
            </w:tcBorders>
          </w:tcPr>
          <w:p/>
        </w:tc>
      </w:tr>
      <w:tr>
        <w:tc>
          <w:tcPr>
            <w:tcW w:type="dxa" w:w="400"/>
            <w:vMerge w:val="restart"/>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aps/>
                <w:color w:val="94A3B8"/>
                <w:sz w:val="17"/>
                <w:szCs w:val="17"/>
              </w:rPr>
              <w:t xml:space="preserve">Issue</w:t>
            </w:r>
          </w:p>
          <w:p>
            <w:pPr>
              <w:spacing w:before="40"/>
            </w:pPr>
            <w:r>
              <w:rPr>
                <w:rFonts w:ascii="Arial" w:cs="Arial" w:eastAsia="Arial" w:hAnsi="Arial"/>
                <w:color w:val="1E293B"/>
                <w:sz w:val="20"/>
                <w:szCs w:val="20"/>
              </w:rPr>
              <w:t xml:space="preserve">No content for the technical evaluator persona. No API documentation, architecture diagrams, integration guides, or developer-focused resources.</w:t>
            </w:r>
          </w:p>
        </w:tc>
        <w:tc>
          <w:tcPr>
            <w:tcW w:type="dxa" w:w="61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aps/>
                <w:color w:val="94A3B8"/>
                <w:sz w:val="17"/>
                <w:szCs w:val="17"/>
              </w:rPr>
              <w:t xml:space="preserve">Recommended Fix</w:t>
            </w:r>
          </w:p>
          <w:p>
            <w:pPr>
              <w:spacing w:before="40"/>
            </w:pPr>
            <w:r>
              <w:rPr>
                <w:rFonts w:ascii="Arial" w:cs="Arial" w:eastAsia="Arial" w:hAnsi="Arial"/>
                <w:color w:val="1E293B"/>
                <w:sz w:val="20"/>
                <w:szCs w:val="20"/>
              </w:rPr>
              <w:t xml:space="preserve">Create a /docs or /developers section with at minimum: a high-level architecture diagram, API overview, integration quick-start, and supported frameworks list. Even a single-page technical overview would meaningfully improve conversion for the technical champion who needs to validate Intellios before recommending it to the buying committee.</w:t>
            </w:r>
          </w:p>
        </w:tc>
        <w:tc>
          <w:tcPr>
            <w:tcW w:type="dxa" w:w="800"/>
            <w:vMerge w:val="restart"/>
            <w:tcBorders>
              <w:top w:val="single" w:color="E2E8F0" w:sz="1"/>
              <w:left w:val="single" w:color="E2E8F0" w:sz="1"/>
              <w:bottom w:val="single" w:color="E2E8F0" w:sz="1"/>
              <w:right w:val="single" w:color="E2E8F0" w:sz="1"/>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w:t>
            </w:r>
          </w:p>
        </w:tc>
      </w:tr>
      <w:tr>
        <w:tc>
          <w:tcPr>
            <w:vMerge w:val="continue"/>
            <w:tcBorders>
              <w:top w:val="single" w:color="E2E8F0" w:sz="1"/>
              <w:left w:val="single" w:color="E2E8F0" w:sz="1"/>
              <w:bottom w:val="single" w:color="E2E8F0" w:sz="1"/>
              <w:right w:val="single" w:color="E2E8F0" w:sz="1"/>
            </w:tcBorders>
          </w:tcPr>
          <w:p/>
        </w:tc>
        <w:tc>
          <w:tcPr>
            <w:tcW w:type="dxa" w:w="2400"/>
            <w:gridSpan w:val="2"/>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iCs/>
                <w:color w:val="475569"/>
                <w:sz w:val="19"/>
                <w:szCs w:val="19"/>
              </w:rPr>
              <w:t xml:space="preserve">Rationale: </w:t>
            </w:r>
            <w:r>
              <w:rPr>
                <w:rFonts w:ascii="Arial" w:cs="Arial" w:eastAsia="Arial" w:hAnsi="Arial"/>
                <w:i/>
                <w:iCs/>
                <w:color w:val="475569"/>
                <w:sz w:val="19"/>
                <w:szCs w:val="19"/>
              </w:rPr>
              <w:t xml:space="preserve">Enterprise deals require a technical champion. Without developer-facing content, Intellios relies entirely on the sales call to address technical feasibility. A /docs page also has significant SEO value for bottom-of-funnel search queries.</w:t>
            </w:r>
          </w:p>
        </w:tc>
        <w:tc>
          <w:tcPr>
            <w:vMerge w:val="continue"/>
            <w:tcBorders>
              <w:top w:val="single" w:color="E2E8F0" w:sz="1"/>
              <w:left w:val="single" w:color="E2E8F0" w:sz="1"/>
              <w:bottom w:val="single" w:color="E2E8F0" w:sz="1"/>
              <w:right w:val="single" w:color="E2E8F0" w:sz="1"/>
            </w:tcBorders>
          </w:tcPr>
          <w:p/>
        </w:tc>
      </w:tr>
    </w:tbl>
    <w:p>
      <w:r>
        <w:br w:type="page"/>
      </w:r>
    </w:p>
    <w:p>
      <w:pPr>
        <w:pStyle w:val="Heading1"/>
      </w:pPr>
      <w:r>
        <w:t xml:space="preserve">Quick Wins (Shippable in Under a Day)</w:t>
      </w:r>
    </w:p>
    <w:p>
      <w:pPr>
        <w:pStyle w:val="Heading3"/>
      </w:pPr>
      <w:r>
        <w:t xml:space="preserve">Replace mailto CTAs with a proper form</w:t>
      </w:r>
    </w:p>
    <w:p>
      <w:pPr>
        <w:spacing w:after="120" w:line="276"/>
      </w:pPr>
      <w:r>
        <w:rPr>
          <w:rFonts w:ascii="Arial" w:cs="Arial" w:eastAsia="Arial" w:hAnsi="Arial"/>
          <w:color w:val="1E293B"/>
          <w:sz w:val="22"/>
          <w:szCs w:val="22"/>
        </w:rPr>
        <w:t xml:space="preserve">The pricing page’s three tiers all point to mailto:sales@intellios.io. Replace with the existing RequestAccessModal component already built into the landing page, or embed a Calendly widget. This requires zero design work—the component already exists.</w:t>
      </w:r>
    </w:p>
    <w:p>
      <w:pPr>
        <w:pStyle w:val="Heading3"/>
      </w:pPr>
      <w:r>
        <w:t xml:space="preserve">Fix the SOC 2 badge transparency gap</w:t>
      </w:r>
    </w:p>
    <w:p>
      <w:pPr>
        <w:spacing w:after="120" w:line="276"/>
      </w:pPr>
      <w:r>
        <w:rPr>
          <w:rFonts w:ascii="Arial" w:cs="Arial" w:eastAsia="Arial" w:hAnsi="Arial"/>
          <w:color w:val="1E293B"/>
          <w:sz w:val="22"/>
          <w:szCs w:val="22"/>
        </w:rPr>
        <w:t xml:space="preserve">Add “(In Progress)” to the SOC 2 badge on the landing page and footer. Update the security page to include an expected completion date. This is a 15-minute copy edit that prevents a trust-destroying discovery during procurement.</w:t>
      </w:r>
    </w:p>
    <w:p>
      <w:pPr>
        <w:pStyle w:val="Heading3"/>
      </w:pPr>
      <w:r>
        <w:t xml:space="preserve">Add a sticky section nav to the landing page</w:t>
      </w:r>
    </w:p>
    <w:p>
      <w:pPr>
        <w:spacing w:after="120" w:line="276"/>
      </w:pPr>
      <w:r>
        <w:rPr>
          <w:rFonts w:ascii="Arial" w:cs="Arial" w:eastAsia="Arial" w:hAnsi="Arial"/>
          <w:color w:val="1E293B"/>
          <w:sz w:val="22"/>
          <w:szCs w:val="22"/>
        </w:rPr>
        <w:t xml:space="preserve">The landing page is 10+ sections long. A sticky dot-nav or progress indicator (similar to Apple’s product pages) would reduce scroll fatigue and improve navigation for executives who scan rather than scroll.</w:t>
      </w:r>
    </w:p>
    <w:p>
      <w:pPr>
        <w:pStyle w:val="Heading3"/>
      </w:pPr>
      <w:r>
        <w:t xml:space="preserve">Consolidate the two identity framings</w:t>
      </w:r>
    </w:p>
    <w:p>
      <w:pPr>
        <w:spacing w:after="120" w:line="276"/>
      </w:pPr>
      <w:r>
        <w:rPr>
          <w:rFonts w:ascii="Arial" w:cs="Arial" w:eastAsia="Arial" w:hAnsi="Arial"/>
          <w:color w:val="1E293B"/>
          <w:sz w:val="22"/>
          <w:szCs w:val="22"/>
        </w:rPr>
        <w:t xml:space="preserve">The CLAUDE.md describes Intellios as a “white-label enterprise agent factory.” The landing page positions it as a “governed control plane.” Pick one primary identity for external messaging. The governed control plane framing is stronger—it’s defensible and category-creating. Reserve “agent factory” for internal/developer contexts.</w:t>
      </w:r>
    </w:p>
    <w:p>
      <w:pPr>
        <w:pStyle w:val="Heading3"/>
      </w:pPr>
      <w:r>
        <w:t xml:space="preserve">Add a “Book a Demo” CTA to the navigation bar</w:t>
      </w:r>
    </w:p>
    <w:p>
      <w:pPr>
        <w:spacing w:after="120" w:line="276"/>
      </w:pPr>
      <w:r>
        <w:rPr>
          <w:rFonts w:ascii="Arial" w:cs="Arial" w:eastAsia="Arial" w:hAnsi="Arial"/>
          <w:color w:val="1E293B"/>
          <w:sz w:val="22"/>
          <w:szCs w:val="22"/>
        </w:rPr>
        <w:t xml:space="preserve">The nav currently has “Sign In” and “Request Early Access.” Replace or supplement with “Book a Demo” once the calendar infrastructure is in place. This is the #1 CTA enterprise buyers look for.</w:t>
      </w:r>
    </w:p>
    <w:p>
      <w:pPr>
        <w:spacing w:before="200"/>
      </w:pPr>
    </w:p>
    <w:p>
      <w:pPr>
        <w:pStyle w:val="Heading1"/>
      </w:pPr>
      <w:r>
        <w:t xml:space="preserve">Strategic Initiatives (Larger Investments)</w:t>
      </w:r>
    </w:p>
    <w:p>
      <w:pPr>
        <w:pStyle w:val="Heading2"/>
      </w:pPr>
      <w:r>
        <w:t xml:space="preserve">Trust Center &amp; Evidence Infrastructure</w:t>
      </w:r>
    </w:p>
    <w:p>
      <w:pPr>
        <w:spacing w:after="120" w:line="276"/>
      </w:pPr>
      <w:r>
        <w:rPr>
          <w:rFonts w:ascii="Arial" w:cs="Arial" w:eastAsia="Arial" w:hAnsi="Arial"/>
          <w:color w:val="1E293B"/>
          <w:sz w:val="22"/>
          <w:szCs w:val="22"/>
        </w:rPr>
        <w:t xml:space="preserve">Build a dedicated /trust page (or use Vanta Trust Center) that serves as the single source of truth for all security certifications, compliance attestations, penetration test summaries, and data handling practices. Link every compliance badge on the site to this page. Enterprise procurement teams expect this, and its absence signals immaturity. This becomes the foundation for every security questionnaire and vendor assessment.</w:t>
      </w:r>
    </w:p>
    <w:p>
      <w:pPr>
        <w:pStyle w:val="Heading2"/>
      </w:pPr>
      <w:r>
        <w:t xml:space="preserve">Content Engine: Case Studies, Whitepapers, Webinars</w:t>
      </w:r>
    </w:p>
    <w:p>
      <w:pPr>
        <w:spacing w:after="120" w:line="276"/>
      </w:pPr>
      <w:r>
        <w:rPr>
          <w:rFonts w:ascii="Arial" w:cs="Arial" w:eastAsia="Arial" w:hAnsi="Arial"/>
          <w:color w:val="1E293B"/>
          <w:sz w:val="22"/>
          <w:szCs w:val="22"/>
        </w:rPr>
        <w:t xml:space="preserve">The site currently has zero gated content. Build a content pipeline starting with: one flagship case study with a named design partner, a benchmark whitepaper on AI governance maturity in regulated industries (leveraging the IBM/McKinsey data already cited), and a quarterly webinar or roundtable. Gated content serves dual purposes: lead generation and credibility amplification. Every enterprise marketing site needs a /resources section.</w:t>
      </w:r>
    </w:p>
    <w:p>
      <w:pPr>
        <w:pStyle w:val="Heading2"/>
      </w:pPr>
      <w:r>
        <w:t xml:space="preserve">Brand Identity &amp; Design System Refresh</w:t>
      </w:r>
    </w:p>
    <w:p>
      <w:pPr>
        <w:spacing w:after="120" w:line="276"/>
      </w:pPr>
      <w:r>
        <w:rPr>
          <w:rFonts w:ascii="Arial" w:cs="Arial" w:eastAsia="Arial" w:hAnsi="Arial"/>
          <w:color w:val="1E293B"/>
          <w:sz w:val="22"/>
          <w:szCs w:val="22"/>
        </w:rPr>
        <w:t xml:space="preserve">Invest in a distinctive visual identity that goes beyond the current Tailwind defaults. Commission a custom type pairing, a proprietary illustration system, and a photographic direction. The current site is functionally clean but visually interchangeable with hundreds of other Tailwind-based SaaS sites. For an enterprise platform selling trust and governance, the brand itself needs to project authority, permanence, and sophistication. Study how Stripe, Linear, and Vercel use design as a competitive moat.</w:t>
      </w:r>
    </w:p>
    <w:p>
      <w:pPr>
        <w:pStyle w:val="Heading2"/>
      </w:pPr>
      <w:r>
        <w:t xml:space="preserve">Developer &amp; Technical Evaluator Experience</w:t>
      </w:r>
    </w:p>
    <w:p>
      <w:pPr>
        <w:spacing w:after="120" w:line="276"/>
      </w:pPr>
      <w:r>
        <w:rPr>
          <w:rFonts w:ascii="Arial" w:cs="Arial" w:eastAsia="Arial" w:hAnsi="Arial"/>
          <w:color w:val="1E293B"/>
          <w:sz w:val="22"/>
          <w:szCs w:val="22"/>
        </w:rPr>
        <w:t xml:space="preserve">Create a /docs section with interactive API documentation, architecture diagrams, integration guides, and a sandbox environment. Enterprise deals require a technical champion who validates feasibility before recommending to the buying committee. Without this, Intellios depends entirely on sales-led technical validation, which slows the deal cycle and limits the addressable funnel.</w:t>
      </w:r>
    </w:p>
    <w:p>
      <w:pPr>
        <w:spacing w:before="200"/>
      </w:pPr>
    </w:p>
    <w:p>
      <w:pPr>
        <w:pStyle w:val="Heading1"/>
      </w:pPr>
      <w:r>
        <w:t xml:space="preserve">Competitive Reference Points</w:t>
      </w:r>
    </w:p>
    <w:p>
      <w:pPr>
        <w:pStyle w:val="Heading2"/>
      </w:pPr>
      <w:r>
        <w:t xml:space="preserve">Vanta (vanta.com)</w:t>
      </w:r>
    </w:p>
    <w:p>
      <w:pPr>
        <w:spacing w:after="120" w:line="276"/>
      </w:pPr>
      <w:r>
        <w:rPr>
          <w:rFonts w:ascii="Arial" w:cs="Arial" w:eastAsia="Arial" w:hAnsi="Arial"/>
          <w:color w:val="1E293B"/>
          <w:sz w:val="22"/>
          <w:szCs w:val="22"/>
        </w:rPr>
        <w:t xml:space="preserve">Study Vanta for trust architecture and compliance credibility. Their Trust Center, customer logos wall, named case studies with quantified outcomes, and compliance badge implementation set the standard for security-focused enterprise SaaS. Vanta’s site demonstrates how to turn compliance into a marketing asset—exactly what Intellios needs. The trust page structure, badge verification flow, and procurement-friendly resource library are all directly applicable.</w:t>
      </w:r>
    </w:p>
    <w:p>
      <w:pPr>
        <w:pStyle w:val="Heading2"/>
      </w:pPr>
      <w:r>
        <w:t xml:space="preserve">Snyk (snyk.io)</w:t>
      </w:r>
    </w:p>
    <w:p>
      <w:pPr>
        <w:spacing w:after="120" w:line="276"/>
      </w:pPr>
      <w:r>
        <w:rPr>
          <w:rFonts w:ascii="Arial" w:cs="Arial" w:eastAsia="Arial" w:hAnsi="Arial"/>
          <w:color w:val="1E293B"/>
          <w:sz w:val="22"/>
          <w:szCs w:val="22"/>
        </w:rPr>
        <w:t xml:space="preserve">Study Snyk for developer-focused enterprise marketing. Their site bridges the gap between technical depth (docs, API references, code examples) and business-outcome messaging (ROI calculators, C-suite content) in a way that serves the full buying committee. Their visual identity is distinctive without being flashy. The content strategy—blog, research reports, analyst recognition badges, customer stories—provides a roadmap for building credibility at scale.</w:t>
      </w:r>
    </w:p>
    <w:p>
      <w:pPr>
        <w:pStyle w:val="Heading2"/>
      </w:pPr>
      <w:r>
        <w:t xml:space="preserve">Wiz (wiz.io)</w:t>
      </w:r>
    </w:p>
    <w:p>
      <w:pPr>
        <w:spacing w:after="120" w:line="276"/>
      </w:pPr>
      <w:r>
        <w:rPr>
          <w:rFonts w:ascii="Arial" w:cs="Arial" w:eastAsia="Arial" w:hAnsi="Arial"/>
          <w:color w:val="1E293B"/>
          <w:sz w:val="22"/>
          <w:szCs w:val="22"/>
        </w:rPr>
        <w:t xml:space="preserve">Study Wiz for rapid credibility building in a nascent category. Wiz went from zero to dominant cloud security platform in part by aggressively pursuing analyst recognition, named customer logos, and quantified ROI claims. Their landing page’s hero section demonstrates how to combine a bold positioning statement with immediate social proof (customer count, logos, Gartner placement). Their pricing and demo booking flow is also best-in-class for enterprise conversion.</w:t>
      </w:r>
    </w:p>
    <w:p>
      <w:r>
        <w:br w:type="page"/>
      </w:r>
    </w:p>
    <w:p>
      <w:pPr>
        <w:pStyle w:val="Heading1"/>
      </w:pPr>
      <w:r>
        <w:t xml:space="preserve">Portfolio-Level Assessment</w:t>
      </w:r>
    </w:p>
    <w:p>
      <w:pPr>
        <w:pStyle w:val="Heading2"/>
      </w:pPr>
      <w:r>
        <w:t xml:space="preserve">Messaging Consistency</w:t>
      </w:r>
    </w:p>
    <w:p>
      <w:pPr>
        <w:spacing w:after="120" w:line="276"/>
      </w:pPr>
      <w:r>
        <w:rPr>
          <w:rFonts w:ascii="Arial" w:cs="Arial" w:eastAsia="Arial" w:hAnsi="Arial"/>
          <w:color w:val="1E293B"/>
          <w:sz w:val="22"/>
          <w:szCs w:val="22"/>
        </w:rPr>
        <w:t xml:space="preserve">Generally strong. The “governed control plane” positioning carries through from the landing page to the security page, login page, and registration flow. However, the internal codebase describes Intellios as a “white-label enterprise agent factory” which creates a potential identity split if it leaks into marketing content. The pricing page and landing page use consistent language around design partnerships, regulatory frameworks, and the three-pillar model. The one area of inconsistency is the compliance badge presentation—badges are displayed identically whether achieved or in-progress, which undermines the credibility they’re intended to build.</w:t>
      </w:r>
    </w:p>
    <w:p>
      <w:pPr>
        <w:pStyle w:val="Heading2"/>
      </w:pPr>
      <w:r>
        <w:t xml:space="preserve">Design System Discipline</w:t>
      </w:r>
    </w:p>
    <w:p>
      <w:pPr>
        <w:spacing w:after="120" w:line="276"/>
      </w:pPr>
      <w:r>
        <w:rPr>
          <w:rFonts w:ascii="Arial" w:cs="Arial" w:eastAsia="Arial" w:hAnsi="Arial"/>
          <w:color w:val="1E293B"/>
          <w:sz w:val="22"/>
          <w:szCs w:val="22"/>
        </w:rPr>
        <w:t xml:space="preserve">Good internal consistency. The Catalyst component library provides a solid foundation, and the marketing pages use a coherent dark-mode-first palette with indigo/violet/emerald accents. Spacing, border radius, and typographic scale are consistent across pages. The gap is not inconsistency but genericity—the design system produces clean output but doesn’t produce distinctive output. A brand audit would likely conclude that the current system is a strong starting point that needs a proprietary layer on top.</w:t>
      </w:r>
    </w:p>
    <w:p>
      <w:pPr>
        <w:pStyle w:val="Heading2"/>
      </w:pPr>
      <w:r>
        <w:t xml:space="preserve">Navigation Coherence</w:t>
      </w:r>
    </w:p>
    <w:p>
      <w:pPr>
        <w:spacing w:after="120" w:line="276"/>
      </w:pPr>
      <w:r>
        <w:rPr>
          <w:rFonts w:ascii="Arial" w:cs="Arial" w:eastAsia="Arial" w:hAnsi="Arial"/>
          <w:color w:val="1E293B"/>
          <w:sz w:val="22"/>
          <w:szCs w:val="22"/>
        </w:rPr>
        <w:t xml:space="preserve">The MarketingNav component provides consistent navigation across all public pages with appropriate links to Features, Use Cases, Security, Templates, and ROI. The footer mirrors this structure with additional legal links. The “Sign In” and “Request Early Access” CTAs are consistently placed. One structural issue: the pricing page is not linked from the main navigation, which means a visitor interested in pricing must find it through the footer or direct URL. This is a meaningful omission for a consideration-stage page.</w:t>
      </w:r>
    </w:p>
    <w:p>
      <w:pPr>
        <w:pStyle w:val="Heading2"/>
      </w:pPr>
      <w:r>
        <w:t xml:space="preserve">Funnel Logic Between Pages</w:t>
      </w:r>
    </w:p>
    <w:p>
      <w:pPr>
        <w:spacing w:after="120" w:line="276"/>
      </w:pPr>
      <w:r>
        <w:rPr>
          <w:rFonts w:ascii="Arial" w:cs="Arial" w:eastAsia="Arial" w:hAnsi="Arial"/>
          <w:color w:val="1E293B"/>
          <w:sz w:val="22"/>
          <w:szCs w:val="22"/>
        </w:rPr>
        <w:t xml:space="preserve">The primary funnel is: Landing Page (awareness) → Pricing (consideration) → Request Access modal or mailto (decision). This is thin for enterprise sales. There is no middle-funnel content (whitepapers, webinars, benchmark reports) to nurture prospects who aren’t ready to talk to sales. There is no /demo page, no /contact page (beyond the modal), and no /resources or /blog. The authentication pages (login, register) have appropriate marketing branding. The welcome/onboarding flow is a strong post-sale touchpoint that most enterprise platforms neglect.</w:t>
      </w:r>
    </w:p>
    <w:p>
      <w:pPr>
        <w:pStyle w:val="Heading2"/>
      </w:pPr>
      <w:r>
        <w:t xml:space="preserve">Brand Integrity Assessment</w:t>
      </w:r>
    </w:p>
    <w:p>
      <w:pPr>
        <w:spacing w:after="120" w:line="276"/>
      </w:pPr>
      <w:r>
        <w:rPr>
          <w:rFonts w:ascii="Arial" w:cs="Arial" w:eastAsia="Arial" w:hAnsi="Arial"/>
          <w:color w:val="1E293B"/>
          <w:sz w:val="22"/>
          <w:szCs w:val="22"/>
        </w:rPr>
        <w:t xml:space="preserve">A discerning enterprise buyer would form a mixed impression. The messaging signals deep domain expertise and strategic clarity. The visual design signals competence but not leadership. The trust architecture signals early-stage status. The overall effect is a platform that is clearly smart and possibly excellent—but hasn’t yet proven it. For a product that sells governance and risk reduction, this trust gap is particularly consequential. The brand needs to practice what it preaches: just as Intellios governs AI agents with evidence and verification, the website needs to govern its claims with evidence and verification.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Intellios Marketing Audit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F46E5" w:sz="4" w:space="6"/>
      </w:pBdr>
      <w:spacing w:after="200" w:before="360"/>
      <w:outlineLvl w:val="0"/>
    </w:pPr>
    <w:rPr>
      <w:rFonts w:ascii="Arial" w:cs="Arial" w:eastAsia="Arial" w:hAnsi="Arial"/>
      <w:b/>
      <w:bCs/>
      <w:color w:val="1B255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4F46E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2026-04-08T00:31:23.394Z</dcterms:created>
  <dcterms:modified xsi:type="dcterms:W3CDTF">2026-04-08T00:31:23.395Z</dcterms:modified>
</cp:coreProperties>
</file>

<file path=docProps/custom.xml><?xml version="1.0" encoding="utf-8"?>
<Properties xmlns="http://schemas.openxmlformats.org/officeDocument/2006/custom-properties" xmlns:vt="http://schemas.openxmlformats.org/officeDocument/2006/docPropsVTypes"/>
</file>