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INTELLIOS</w:t>
      </w:r>
    </w:p>
    <w:p>
      <w:pPr>
        <w:spacing w:after="100"/>
        <w:jc w:val="center"/>
      </w:pPr>
      <w:r>
        <w:rPr>
          <w:rFonts w:ascii="Arial" w:cs="Arial" w:eastAsia="Arial" w:hAnsi="Arial"/>
          <w:color w:val="1E293B"/>
          <w:sz w:val="36"/>
          <w:szCs w:val="36"/>
        </w:rPr>
        <w:t xml:space="preserve">Brand Identity Audit</w:t>
      </w:r>
    </w:p>
    <w:p>
      <w:pPr>
        <w:spacing w:after="600"/>
        <w:jc w:val="center"/>
      </w:pPr>
      <w:r>
        <w:rPr>
          <w:rFonts w:ascii="Arial" w:cs="Arial" w:eastAsia="Arial" w:hAnsi="Arial"/>
          <w:color w:val="1E293B"/>
          <w:sz w:val="36"/>
          <w:szCs w:val="36"/>
        </w:rPr>
        <w:t xml:space="preserve">&amp; Mitigation Plan</w:t>
      </w:r>
    </w:p>
    <w:p>
      <w:pPr>
        <w:pBdr>
          <w:top w:val="single" w:color="CBD5E1" w:sz="2" w:space="12"/>
        </w:pBdr>
        <w:spacing w:after="100" w:before="2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April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Prepared for Samy Hamad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Classification: Internal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audit evaluates the Intellios brand identity system across its codebase, design tokens, white-label architecture, and UI components. The analysis was conducted against enterprise SaaS branding best practices, covering visual consistency, token architecture, white-label readiness, and brand governance.</w:t>
      </w:r>
    </w:p>
    <w:p>
      <w:pPr>
        <w:spacing w:after="120"/>
      </w:pPr>
      <w:r>
        <w:rPr>
          <w:b/>
          <w:bCs/>
        </w:rPr>
        <w:t xml:space="preserve">Overall assessment: </w:t>
      </w:r>
      <w:r>
        <w:t xml:space="preserve">Intellios has a strong token foundation with a comprehensive CSS custom property system, dark mode support, and a nascent white-label configuration pipeline. However, six material inconsistencies undermine brand coherence and white-label integrity. The primary risk is a </w:t>
      </w:r>
      <w:r>
        <w:rPr>
          <w:b/>
          <w:bCs/>
          <w:color w:val="DC2626"/>
        </w:rPr>
        <w:t xml:space="preserve">split identity between indigo (#4F46E5) and violet (#7C3AED)</w:t>
      </w:r>
      <w:r>
        <w:t xml:space="preserve"> that creates a fragmented brand impression and will break when enterprise customers attempt to apply their own branding.</w:t>
      </w:r>
    </w:p>
    <w:p>
      <w:pPr>
        <w:pStyle w:val="Heading1"/>
      </w:pPr>
      <w:r>
        <w:t xml:space="preserve">2. Scorecard</w:t>
      </w:r>
    </w:p>
    <w:p>
      <w:pPr>
        <w:spacing w:after="120"/>
      </w:pPr>
      <w:r>
        <w:t xml:space="preserve">Each dimension is scored against enterprise SaaS best practices on a 5-point scale.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 Token Architecture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4 / 5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Comprehensive CSS custom property system with light/dark mode. Deduction for dual-primary conflict.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Typography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4 / 5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Geist Sans/Mono with variable weight. Minor gap: no formal type scale beyond 2 micro sizes.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White-Label Readiness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2 / 5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schema exists but CSS token bridge is missing. Charts, login, metadata all hardcoded.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Consistency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2 / 5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Indigo vs. violet split; hardcoded hex in workflow builder, welcome page, charts.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Asset Completeness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/ 5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favicon, no OG image, no static logo, no brand guidelines doc.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 Theming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3 / 5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Catalyst components use Tailwind tokens. Custom components often hardcode hex values.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Findings</w:t>
      </w:r>
    </w:p>
    <w:p>
      <w:pPr>
        <w:spacing w:after="120"/>
      </w:pPr>
      <w:r>
        <w:t xml:space="preserve">The following six findings represent the material branding issues discovered during the audit, ordered by severity.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200"/>
        <w:gridCol w:w="41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F-1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Dual Primary Color Identity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 tokens use #4F46E5 (indigo-600) but white-label defaults to #7C3AED (violet-600). Sidebar fallbacks diverge between main and governor views.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F-2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White-Label Token Bridge Missing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primaryColor setting never writes to CSS --color-primary. Charts, gradients, shadows, and buttons ignore enterprise color.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F-3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Hardcoded Hex Across UI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~60+ instances of literal indigo/violet hex values in workflow builder, welcome page, templates page, login, and creation wizard.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F-4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Static Brand Assets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favicon.ico, no apple-touch-icon, no OG images, no manifest.json. Browser tabs show generic icon. Social shares have no preview.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F-5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Metadata Not White-Labeled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 &lt;title&gt; hardcoded to "Intellios". Description static. Enterprise customers see Intellios branding in browser tabs.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F-6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 Colors Bypass Tokens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chart-tokens.ts duplicates hex values instead of reading CSS custom properties. Charts won't respond to theme or brand changes.</w:t>
            </w:r>
          </w:p>
        </w:tc>
      </w:tr>
    </w:tbl>
    <w:p>
      <w:pPr>
        <w:pStyle w:val="Heading2"/>
      </w:pPr>
      <w:r>
        <w:t xml:space="preserve">3.1 F-1: Dual Primary Color Identity</w:t>
      </w:r>
    </w:p>
    <w:p>
      <w:pPr>
        <w:spacing w:after="120"/>
      </w:pPr>
      <w:r>
        <w:rPr>
          <w:b/>
          <w:bCs/>
        </w:rPr>
        <w:t xml:space="preserve">Root cause: </w:t>
      </w:r>
      <w:r>
        <w:t xml:space="preserve">Two independent color decisions were made at different times. The CSS design token layer chose indigo-600 (#4F46E5) as the primary brand color. The white-label enterprise settings system chose violet-600 (#7C3AED) as its default. Neither was reconciled.</w:t>
      </w:r>
    </w:p>
    <w:p>
      <w:pPr>
        <w:spacing w:after="120"/>
      </w:pPr>
      <w:r>
        <w:rPr>
          <w:b/>
          <w:bCs/>
        </w:rPr>
        <w:t xml:space="preserve">Evidence: </w:t>
      </w:r>
      <w:r>
        <w:t xml:space="preserve">globals.css line 20 defines --color-primary as #4F46E5. settings/types.ts line 327 defaults branding.primaryColor to #7C3AED. sidebar.tsx falls back to #4F46E5 while governor-sidebar.tsx falls back to #7C3AED. The user sees different brand colors depending on which navigation context they are in.</w:t>
      </w:r>
    </w:p>
    <w:p>
      <w:pPr>
        <w:pStyle w:val="Heading2"/>
      </w:pPr>
      <w:r>
        <w:t xml:space="preserve">3.2 F-2: White-Label Token Bridge Missing</w:t>
      </w:r>
    </w:p>
    <w:p>
      <w:pPr>
        <w:spacing w:after="120"/>
      </w:pPr>
      <w:r>
        <w:rPr>
          <w:b/>
          <w:bCs/>
        </w:rPr>
        <w:t xml:space="preserve">Root cause: </w:t>
      </w:r>
      <w:r>
        <w:t xml:space="preserve">The enterprise settings branding.primaryColor is consumed directly in component inline styles (sidebar logo badge only) but is never propagated to the CSS custom property layer. The --color-primary token, which drives buttons, links, focus rings, shadows, and gradients, remains static regardless of enterprise configuration.</w:t>
      </w:r>
    </w:p>
    <w:p>
      <w:pPr>
        <w:spacing w:after="120"/>
      </w:pPr>
      <w:r>
        <w:rPr>
          <w:b/>
          <w:bCs/>
        </w:rPr>
        <w:t xml:space="preserve">Consequence: </w:t>
      </w:r>
      <w:r>
        <w:t xml:space="preserve">An enterprise customer who sets their brand color to, say, #E11D48 (rose-600) will see their color only on the sidebar logo badge. Every button, link highlight, chart accent, gradient, and shadow across the entire application will remain indigo.</w:t>
      </w:r>
    </w:p>
    <w:p>
      <w:pPr>
        <w:pStyle w:val="Heading2"/>
      </w:pPr>
      <w:r>
        <w:t xml:space="preserve">3.3 F-3: Hardcoded Hex Across UI</w:t>
      </w:r>
    </w:p>
    <w:p>
      <w:pPr>
        <w:spacing w:after="120"/>
      </w:pPr>
      <w:r>
        <w:t xml:space="preserve">The workflow builder alone contains 25+ literal references to violet Tailwind classes (violet-50, violet-200, violet-400, violet-500, violet-600, violet-700, violet-800, violet-950). The welcome page, templates page, and creation wizard each have 5-15 more. These are unreachable by any theming or white-label system.</w:t>
      </w:r>
    </w:p>
    <w:p>
      <w:pPr>
        <w:pStyle w:val="Heading2"/>
      </w:pPr>
      <w:r>
        <w:t xml:space="preserve">3.4 F-4: No Static Brand Assets</w:t>
      </w:r>
    </w:p>
    <w:p>
      <w:pPr>
        <w:spacing w:after="120"/>
      </w:pPr>
      <w:r>
        <w:t xml:space="preserve">The public/ directory contains no favicon, apple-touch-icon, Open Graph image, or web manifest. The only visual brand mark is a dynamically generated SVG in the sidebar (an upward arrow with horizontal bar). This means browser tabs show a generic icon, bookmarks have no visual identity, social media shares produce a blank preview, and PWA installation is unsupported.</w:t>
      </w:r>
    </w:p>
    <w:p>
      <w:r>
        <w:br w:type="page"/>
      </w:r>
    </w:p>
    <w:p>
      <w:pPr>
        <w:pStyle w:val="Heading1"/>
      </w:pPr>
      <w:r>
        <w:t xml:space="preserve">4. Best Practice Comparison</w:t>
      </w:r>
    </w:p>
    <w:p>
      <w:pPr>
        <w:spacing w:after="120"/>
      </w:pPr>
      <w:r>
        <w:t xml:space="preserve">The following table maps each finding to the enterprise SaaS branding principle it violates.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 Violated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Practice Standard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F-1, F-3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Source of Truth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color values should trace to one canonical definition. Hardcoded hex breaks the chain of custody from brand guideline to pixel.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F-2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 Theming Completeness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White-label systems must propagate brand tokens to every visual surface: buttons, charts, focus states, shadows, and gradients.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F-4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Asset Completeness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software requires favicon (multi-size), OG images (1200x630), apple-touch-icon (180x180), and web manifest at minimum.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F-5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Metadata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White-label platforms must inject enterprise name into HTML title, meta description, and structured data.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F-6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Consumption Discipline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UI libraries (including chart renderers) must read from the canonical token source, even if that means a runtime bridge.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Mitigation Plan</w:t>
      </w:r>
    </w:p>
    <w:p>
      <w:pPr>
        <w:spacing w:after="120"/>
      </w:pPr>
      <w:r>
        <w:t xml:space="preserve">The plan is organized into four phases. Phase 1 addresses the critical identity split and should be completed before any customer-facing white-label deployment. Phases 2-4 can be parallelized.</w:t>
      </w:r>
    </w:p>
    <w:p>
      <w:pPr>
        <w:pStyle w:val="Heading2"/>
      </w:pPr>
      <w:r>
        <w:t xml:space="preserve">Phase 1: Resolve Identity Split (Critical)</w:t>
      </w:r>
    </w:p>
    <w:p>
      <w:pPr>
        <w:spacing w:after="120"/>
      </w:pPr>
      <w:r>
        <w:rPr>
          <w:b/>
          <w:bCs/>
        </w:rPr>
        <w:t xml:space="preserve">Estimated effort: </w:t>
      </w:r>
      <w:r>
        <w:t xml:space="preserve">4-6 hours  |  Addresses: F-1, F-2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Establish a single canonical brand color and connect the white-label pipeline to the CSS token layer so every UI surface responds to enterprise branding.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Decide the canonical Intellios primary color. </w:t>
      </w:r>
      <w:r>
        <w:t xml:space="preserve">Recommend #4F46E5 (indigo-600) since it is already the CSS token default, used in shadows and gradients, and has established dark-mode counterparts. Update DEFAULT_ENTERPRISE_SETTINGS.branding.primaryColor from #7C3AED to #4F46E5.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 a CSS custom property bridge in the root layout. </w:t>
      </w:r>
      <w:r>
        <w:t xml:space="preserve">Fetch enterprise branding server-side in layout.tsx. Inject a &lt;style&gt; tag on &lt;html&gt; that overrides --color-primary, --color-primary-hover, --color-primary-subtle, --color-primary-muted, and all derived tokens (--ring, --primary, --accent-foreground, --sidebar-accent, gradient stops, shadow colors) with computed values derived from the enterprise primaryColor using a color manipulation utility (e.g. culori or color.js).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Unify sidebar fallbacks. </w:t>
      </w:r>
      <w:r>
        <w:t xml:space="preserve">Remove all inline fallback hex values from sidebar.tsx and governor-sidebar.tsx. Replace with var(--color-primary) or consume from the branding prop without divergent defaults.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Record an ADR (ADR-013). </w:t>
      </w:r>
      <w:r>
        <w:t xml:space="preserve">Document the primary color decision, the token bridge architecture, and the rationale for indigo over violet.</w:t>
      </w:r>
    </w:p>
    <w:p>
      <w:pPr>
        <w:pStyle w:val="Heading2"/>
      </w:pPr>
      <w:r>
        <w:t xml:space="preserve">Phase 2: Eliminate Hardcoded Color References (High)</w:t>
      </w:r>
    </w:p>
    <w:p>
      <w:pPr>
        <w:spacing w:after="120"/>
      </w:pPr>
      <w:r>
        <w:rPr>
          <w:b/>
          <w:bCs/>
        </w:rPr>
        <w:t xml:space="preserve">Estimated effort: </w:t>
      </w:r>
      <w:r>
        <w:t xml:space="preserve">6-8 hours  |  Addresses: F-3, F-6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Replace every hardcoded brand hex and Tailwind color class with semantic token references so the entire UI responds to theme changes.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Audit and replace workflow builder colors. </w:t>
      </w:r>
      <w:r>
        <w:t xml:space="preserve">The workflow-builder.tsx and creation-wizard.tsx files contain ~40 hardcoded violet-* Tailwind classes. Replace with semantic classes: bg-primary-subtle, text-primary, border-primary-subtle, etc. Add these semantic utilities to Tailwind config if not present.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Audit welcome and templates pages. </w:t>
      </w:r>
      <w:r>
        <w:t xml:space="preserve">Replace violet-* classes in welcome/page.tsx and templates/page.tsx with semantic primary token classes.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Bridge chart tokens to CSS. </w:t>
      </w:r>
      <w:r>
        <w:t xml:space="preserve">Refactor chart-tokens.ts to read from CSS custom properties at runtime using getComputedStyle(). Provide a React hook (useChartColors) that resolves tokens once on mount and when theme changes. Fall back to hardcoded values only in SSR contexts.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Add a lint rule. </w:t>
      </w:r>
      <w:r>
        <w:t xml:space="preserve">Create an ESLint rule or grep-based CI check that flags raw hex color values (#XXXXXX) and non-semantic Tailwind color classes (indigo-*, violet-*) in component files. Allow exceptions only in globals.css and theme definition files.</w:t>
      </w:r>
    </w:p>
    <w:p>
      <w:pPr>
        <w:pStyle w:val="Heading2"/>
      </w:pPr>
      <w:r>
        <w:t xml:space="preserve">Phase 3: Brand Assets &amp; Metadata (High)</w:t>
      </w:r>
    </w:p>
    <w:p>
      <w:pPr>
        <w:spacing w:after="120"/>
      </w:pPr>
      <w:r>
        <w:rPr>
          <w:b/>
          <w:bCs/>
        </w:rPr>
        <w:t xml:space="preserve">Estimated effort: </w:t>
      </w:r>
      <w:r>
        <w:t xml:space="preserve">3-4 hours  |  Addresses: F-4, F-5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Ensure Intellios has a complete set of brand assets and that all metadata surfaces are white-label-aware.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Create static brand assets. </w:t>
      </w:r>
      <w:r>
        <w:t xml:space="preserve">Design and export: favicon.ico (16x16, 32x32, 48x48), apple-touch-icon.png (180x180), og-image.png (1200x630), and a web manifest (manifest.json) with name, short_name, theme_color, icons at 192 and 512px. Place in public/.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White-label metadata. </w:t>
      </w:r>
      <w:r>
        <w:t xml:space="preserve">Update layout.tsx to generate metadata dynamically from enterprise settings: title becomes companyName, description becomes "[companyName] Agent Factory", and themeColor uses primaryColor. For OG images, create an API route (/api/og) that generates branded OG images dynamically using @vercel/og or satori.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Dynamic favicon. </w:t>
      </w:r>
      <w:r>
        <w:t xml:space="preserve">For white-label deployments, allow enterprise settings to specify a faviconUrl. Serve as a &lt;link rel="icon"&gt; override in the root layout when set.</w:t>
      </w:r>
    </w:p>
    <w:p>
      <w:pPr>
        <w:pStyle w:val="Heading2"/>
      </w:pPr>
      <w:r>
        <w:t xml:space="preserve">Phase 4: Brand Governance &amp; Documentation (Medium)</w:t>
      </w:r>
    </w:p>
    <w:p>
      <w:pPr>
        <w:spacing w:after="120"/>
      </w:pPr>
      <w:r>
        <w:rPr>
          <w:b/>
          <w:bCs/>
        </w:rPr>
        <w:t xml:space="preserve">Estimated effort: </w:t>
      </w:r>
      <w:r>
        <w:t xml:space="preserve">2-3 hours  |  Addresses: Long-term maintainability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Prevent regression and establish a living brand reference for contributors.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Create a brand guidelines document. </w:t>
      </w:r>
      <w:r>
        <w:t xml:space="preserve">Add docs/brand-guidelines.md covering: primary/secondary/accent colors with hex and Tailwind token names, typography scale, logo usage rules, spacing conventions, and do/don't examples.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Add a CI brand-consistency check. </w:t>
      </w:r>
      <w:r>
        <w:t xml:space="preserve">Script that greps for raw hex brand colors and non-semantic Tailwind classes in src/. Runs in CI alongside lint. Zero-tolerance for new hardcoded brand colors.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Expand white-label settings schema. </w:t>
      </w:r>
      <w:r>
        <w:t xml:space="preserve">Add secondaryColor, faviconUrl, and fontFamily to the branding block in EnterpriseSettings. Expose in admin settings UI with live preview.</w:t>
      </w:r>
    </w:p>
    <w:p>
      <w:r>
        <w:br w:type="page"/>
      </w:r>
    </w:p>
    <w:p>
      <w:pPr>
        <w:pStyle w:val="Heading1"/>
      </w:pPr>
      <w:r>
        <w:t xml:space="preserve">6. Implementation Priority Matrix</w:t>
      </w:r>
    </w:p>
    <w:p>
      <w:pPr>
        <w:spacing w:after="120"/>
      </w:pPr>
      <w:r>
        <w:t xml:space="preserve">This matrix maps each mitigation step to its business value and technical effort to guide sprint planning.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1600"/>
        <w:gridCol w:w="15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If Skipped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Unify primary color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CSS token bridge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hrs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 decision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Unify sidebar fallbacks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 decision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hardcoded hex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hrs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bridge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Bridge chart tokens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bridge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brand assets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 decision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metadata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fetch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guidelines doc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 decision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 lint rule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Guidelines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</w:tbl>
    <w:p>
      <w:pPr>
        <w:pStyle w:val="Heading1"/>
      </w:pPr>
      <w:r>
        <w:t xml:space="preserve">7. Appendix: Current Token Architecture</w:t>
      </w:r>
    </w:p>
    <w:p>
      <w:pPr>
        <w:spacing w:after="120"/>
      </w:pPr>
      <w:r>
        <w:t xml:space="preserve">The following table documents the current state of the design token system for reference during remediation.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Layer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White-Label?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 Custom Properties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globals.css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Comprehensive (60+ tokens)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(static)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@theme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globals.css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Bridged from CSS vars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(static)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shadcn/ui aliases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globals.css :root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coverage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(static)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tokens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globals.css :root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tokens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(static)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mode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globals.css html.dark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override set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(static)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 colors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chart-tokens.ts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colors, duplicated hex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(static)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branding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settings/types.ts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fields (name, logo, color)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(DB)</w:t>
            </w:r>
          </w:p>
        </w:tc>
      </w:tr>
    </w:tbl>
    <w:p>
      <w:pPr>
        <w:spacing w:before="400"/>
      </w:pPr>
    </w:p>
    <w:p>
      <w:pPr>
        <w:pBdr>
          <w:top w:val="single" w:color="CBD5E1" w:sz="1" w:space="8"/>
        </w:pBdr>
        <w:spacing w:before="2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Intellios Brand Identity Audit</w:t>
    </w:r>
    <w:r>
      <w:t xml:space="preserve">	</w:t>
    </w: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2026-04-08T01:45:53.927Z</dcterms:created>
  <dcterms:modified xsi:type="dcterms:W3CDTF">2026-04-08T01:45:53.927Z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