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4F46E5"/>
          <w:sz w:val="48"/>
          <w:szCs w:val="48"/>
        </w:rPr>
        <w:t xml:space="preserve">INTELLIOS</w:t>
      </w:r>
    </w:p>
    <w:p>
      <w:pPr>
        <w:spacing w:after="100"/>
        <w:jc w:val="center"/>
      </w:pPr>
      <w:r>
        <w:rPr>
          <w:rFonts w:ascii="Arial" w:cs="Arial" w:eastAsia="Arial" w:hAnsi="Arial"/>
          <w:b/>
          <w:bCs/>
          <w:color w:val="1F2937"/>
          <w:sz w:val="32"/>
          <w:szCs w:val="32"/>
        </w:rPr>
        <w:t xml:space="preserve">Marketing Landing Page Audit</w:t>
      </w:r>
    </w:p>
    <w:p>
      <w:pPr>
        <w:spacing w:after="400"/>
        <w:jc w:val="center"/>
      </w:pPr>
      <w:r>
        <w:rPr>
          <w:rFonts w:ascii="Arial" w:cs="Arial" w:eastAsia="Arial" w:hAnsi="Arial"/>
          <w:color w:val="6B7280"/>
          <w:sz w:val="22"/>
          <w:szCs w:val="22"/>
        </w:rPr>
        <w:t xml:space="preserve">Comprehensive evaluation across 7 dimensions with prioritized findings</w:t>
      </w:r>
    </w:p>
    <w:p>
      <w:pPr>
        <w:pBdr>
          <w:top w:val="single" w:color="E5E7EB" w:sz="2" w:space="8"/>
        </w:pBdr>
        <w:spacing w:after="80" w:before="200"/>
        <w:jc w:val="center"/>
      </w:pPr>
      <w:r>
        <w:rPr>
          <w:rFonts w:ascii="Arial" w:cs="Arial" w:eastAsia="Arial" w:hAnsi="Arial"/>
          <w:color w:val="9CA3AF"/>
          <w:sz w:val="20"/>
          <w:szCs w:val="20"/>
        </w:rPr>
        <w:t xml:space="preserve">April 5, 2026  |  src/app/landing/page.tsx  |  10 sections</w:t>
      </w:r>
    </w:p>
    <w:p>
      <w:r>
        <w:br w:type="page"/>
      </w:r>
    </w:p>
    <w:p>
      <w:pPr>
        <w:pStyle w:val="Heading1"/>
      </w:pPr>
      <w:r>
        <w:t xml:space="preserve">Executive Summary</w:t>
      </w:r>
    </w:p>
    <w:p>
      <w:pPr>
        <w:spacing w:after="120"/>
      </w:pPr>
      <w:r>
        <w:rPr>
          <w:rFonts w:ascii="Arial" w:cs="Arial" w:eastAsia="Arial" w:hAnsi="Arial"/>
          <w:sz w:val="22"/>
          <w:szCs w:val="22"/>
        </w:rPr>
        <w:t xml:space="preserve">The Intellios landing page is a strong foundation for enterprise B2B marketing. It correctly identifies a real, timely market pain (ungoverned AI agents in regulated industries), supports claims with sourced statistics, and structures the narrative in a logical problem-solution-proof arc. The visual design is clean, professional, and well-suited to the target buyer persona.</w:t>
      </w:r>
    </w:p>
    <w:p>
      <w:pPr>
        <w:spacing w:after="120"/>
      </w:pPr>
      <w:r>
        <w:rPr>
          <w:rFonts w:ascii="Arial" w:cs="Arial" w:eastAsia="Arial" w:hAnsi="Arial"/>
          <w:sz w:val="22"/>
          <w:szCs w:val="22"/>
        </w:rPr>
        <w:t xml:space="preserve">However, several critical and high-priority issues limit its conversion potential and market credibility. This audit identifies 23 findings across 7 dimensions, organized by severity. The most impactful changes center on replacing placeholder trust signals with real ones, sharpening the hero value proposition, and adding a product visualization to make the platform tangible.</w:t>
      </w:r>
    </w:p>
    <w:p>
      <w:pPr>
        <w:spacing w:after="120" w:before="200"/>
      </w:pPr>
      <w:r>
        <w:rPr>
          <w:rFonts w:ascii="Arial" w:cs="Arial" w:eastAsia="Arial" w:hAnsi="Arial"/>
          <w:b/>
          <w:bCs/>
          <w:sz w:val="22"/>
          <w:szCs w:val="22"/>
        </w:rPr>
        <w:t xml:space="preserve">Finding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BE4E4" w:val="clear"/>
            <w:tcMar>
              <w:top w:type="dxa" w:w="80"/>
              <w:left w:type="dxa" w:w="120"/>
              <w:bottom w:type="dxa" w:w="80"/>
              <w:right w:type="dxa" w:w="120"/>
            </w:tcMar>
          </w:tcPr>
          <w:p>
            <w:pPr>
              <w:jc w:val="center"/>
            </w:pPr>
            <w:r>
              <w:rPr>
                <w:rFonts w:ascii="Arial" w:cs="Arial" w:eastAsia="Arial" w:hAnsi="Arial"/>
                <w:b/>
                <w:bCs/>
                <w:color w:val="C00000"/>
                <w:sz w:val="28"/>
                <w:szCs w:val="28"/>
              </w:rPr>
              <w:t xml:space="preserve">3</w:t>
            </w:r>
            <w:r>
              <w:rPr>
                <w:rFonts w:ascii="Arial" w:cs="Arial" w:eastAsia="Arial" w:hAnsi="Arial"/>
                <w:color w:val="C00000"/>
                <w:sz w:val="18"/>
                <w:szCs w:val="18"/>
              </w:rPr>
              <w:t xml:space="preserve">  CRITICAL</w:t>
            </w:r>
          </w:p>
        </w:tc>
        <w:tc>
          <w:tcPr>
            <w:tcW w:type="dxa" w:w="2340"/>
            <w:tcBorders>
              <w:top w:val="single" w:color="CCCCCC" w:sz="1"/>
              <w:left w:val="single" w:color="CCCCCC" w:sz="1"/>
              <w:bottom w:val="single" w:color="CCCCCC" w:sz="1"/>
              <w:right w:val="single" w:color="CCCCCC" w:sz="1"/>
            </w:tcBorders>
            <w:shd w:fill="FFF2E0" w:val="clear"/>
            <w:tcMar>
              <w:top w:type="dxa" w:w="80"/>
              <w:left w:type="dxa" w:w="120"/>
              <w:bottom w:type="dxa" w:w="80"/>
              <w:right w:type="dxa" w:w="120"/>
            </w:tcMar>
          </w:tcPr>
          <w:p>
            <w:pPr>
              <w:jc w:val="center"/>
            </w:pPr>
            <w:r>
              <w:rPr>
                <w:rFonts w:ascii="Arial" w:cs="Arial" w:eastAsia="Arial" w:hAnsi="Arial"/>
                <w:b/>
                <w:bCs/>
                <w:color w:val="E36C09"/>
                <w:sz w:val="28"/>
                <w:szCs w:val="28"/>
              </w:rPr>
              <w:t xml:space="preserve">8</w:t>
            </w:r>
            <w:r>
              <w:rPr>
                <w:rFonts w:ascii="Arial" w:cs="Arial" w:eastAsia="Arial" w:hAnsi="Arial"/>
                <w:color w:val="E36C09"/>
                <w:sz w:val="18"/>
                <w:szCs w:val="18"/>
              </w:rPr>
              <w:t xml:space="preserve">  HIGH</w:t>
            </w:r>
          </w:p>
        </w:tc>
        <w:tc>
          <w:tcPr>
            <w:tcW w:type="dxa" w:w="2340"/>
            <w:tcBorders>
              <w:top w:val="single" w:color="CCCCCC" w:sz="1"/>
              <w:left w:val="single" w:color="CCCCCC" w:sz="1"/>
              <w:bottom w:val="single" w:color="CCCCCC" w:sz="1"/>
              <w:right w:val="single" w:color="CCCCCC" w:sz="1"/>
            </w:tcBorders>
            <w:shd w:fill="FFF9E0" w:val="clear"/>
            <w:tcMar>
              <w:top w:type="dxa" w:w="80"/>
              <w:left w:type="dxa" w:w="120"/>
              <w:bottom w:type="dxa" w:w="80"/>
              <w:right w:type="dxa" w:w="120"/>
            </w:tcMar>
          </w:tcPr>
          <w:p>
            <w:pPr>
              <w:jc w:val="center"/>
            </w:pPr>
            <w:r>
              <w:rPr>
                <w:rFonts w:ascii="Arial" w:cs="Arial" w:eastAsia="Arial" w:hAnsi="Arial"/>
                <w:b/>
                <w:bCs/>
                <w:color w:val="BF8F00"/>
                <w:sz w:val="28"/>
                <w:szCs w:val="28"/>
              </w:rPr>
              <w:t xml:space="preserve">8</w:t>
            </w:r>
            <w:r>
              <w:rPr>
                <w:rFonts w:ascii="Arial" w:cs="Arial" w:eastAsia="Arial" w:hAnsi="Arial"/>
                <w:color w:val="BF8F00"/>
                <w:sz w:val="18"/>
                <w:szCs w:val="18"/>
              </w:rPr>
              <w:t xml:space="preserve">  MEDIUM</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548235"/>
                <w:sz w:val="28"/>
                <w:szCs w:val="28"/>
              </w:rPr>
              <w:t xml:space="preserve">4</w:t>
            </w:r>
            <w:r>
              <w:rPr>
                <w:rFonts w:ascii="Arial" w:cs="Arial" w:eastAsia="Arial" w:hAnsi="Arial"/>
                <w:color w:val="548235"/>
                <w:sz w:val="18"/>
                <w:szCs w:val="18"/>
              </w:rPr>
              <w:t xml:space="preserve">  LOW</w:t>
            </w:r>
          </w:p>
        </w:tc>
      </w:tr>
    </w:tbl>
    <w:p>
      <w:r>
        <w:br w:type="page"/>
      </w:r>
    </w:p>
    <w:p>
      <w:pPr>
        <w:pStyle w:val="Heading1"/>
      </w:pPr>
      <w:r>
        <w:t xml:space="preserve">1. First Impression &amp; Hero</w:t>
      </w:r>
    </w:p>
    <w:p>
      <w:pPr>
        <w:pStyle w:val="Heading2"/>
      </w:pPr>
      <w:r>
        <w:t xml:space="preserve">What Works</w:t>
      </w:r>
    </w:p>
    <w:p>
      <w:pPr>
        <w:pStyle w:val="ListParagraph"/>
        <w:numPr>
          <w:ilvl w:val="0"/>
          <w:numId w:val="2"/>
        </w:numPr>
        <w:spacing w:after="80"/>
      </w:pPr>
      <w:r>
        <w:rPr>
          <w:rFonts w:ascii="Arial" w:cs="Arial" w:eastAsia="Arial" w:hAnsi="Arial"/>
          <w:sz w:val="22"/>
          <w:szCs w:val="22"/>
        </w:rPr>
        <w:t xml:space="preserve">The headline structure (statement + gradient-highlighted imperative) is strong. The contrast between building and governing creates immediate tension.</w:t>
      </w:r>
    </w:p>
    <w:p>
      <w:pPr>
        <w:pStyle w:val="ListParagraph"/>
        <w:numPr>
          <w:ilvl w:val="0"/>
          <w:numId w:val="2"/>
        </w:numPr>
        <w:spacing w:after="80"/>
      </w:pPr>
      <w:r>
        <w:rPr>
          <w:rFonts w:ascii="Arial" w:cs="Arial" w:eastAsia="Arial" w:hAnsi="Arial"/>
          <w:sz w:val="22"/>
          <w:szCs w:val="22"/>
        </w:rPr>
        <w:t xml:space="preserve">The subheadline pill badge establishes category positioning immediately.</w:t>
      </w:r>
    </w:p>
    <w:p>
      <w:pPr>
        <w:pStyle w:val="ListParagraph"/>
        <w:numPr>
          <w:ilvl w:val="0"/>
          <w:numId w:val="2"/>
        </w:numPr>
        <w:spacing w:after="80"/>
      </w:pPr>
      <w:r>
        <w:rPr>
          <w:rFonts w:ascii="Arial" w:cs="Arial" w:eastAsia="Arial" w:hAnsi="Arial"/>
          <w:sz w:val="22"/>
          <w:szCs w:val="22"/>
        </w:rPr>
        <w:t xml:space="preserve">Dual CTA pattern (primary action + exploratory) follows best practice for enterprise B2B landing pages.</w:t>
      </w:r>
    </w:p>
    <w:p>
      <w:pPr>
        <w:pStyle w:val="ListParagraph"/>
        <w:numPr>
          <w:ilvl w:val="0"/>
          <w:numId w:val="2"/>
        </w:numPr>
        <w:spacing w:after="80"/>
      </w:pPr>
      <w:r>
        <w:rPr>
          <w:rFonts w:ascii="Arial" w:cs="Arial" w:eastAsia="Arial" w:hAnsi="Arial"/>
          <w:sz w:val="22"/>
          <w:szCs w:val="22"/>
        </w:rPr>
        <w:t xml:space="preserve">The animated SVG node grid with governance shield overlay is a subtle, tasteful background treatment that avoids the stock-photo trap.</w:t>
      </w:r>
    </w:p>
    <w:p>
      <w:pPr>
        <w:pStyle w:val="Heading2"/>
      </w:pPr>
      <w:r>
        <w:t xml:space="preserve">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408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408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r>
      <w:tr>
        <w:tc>
          <w:tcPr>
            <w:tcW w:type="dxa" w:w="1200"/>
            <w:tcBorders>
              <w:top w:val="single" w:color="CCCCCC" w:sz="1"/>
              <w:left w:val="single" w:color="CCCCCC" w:sz="1"/>
              <w:bottom w:val="single" w:color="CCCCCC" w:sz="1"/>
              <w:right w:val="single" w:color="CCCCCC" w:sz="1"/>
            </w:tcBorders>
            <w:shd w:fill="FFF2E0" w:val="clear"/>
            <w:vAlign w:val="center"/>
          </w:tcPr>
          <w:p>
            <w:pPr>
              <w:jc w:val="center"/>
            </w:pPr>
            <w:r>
              <w:rPr>
                <w:rFonts w:ascii="Arial" w:cs="Arial" w:eastAsia="Arial" w:hAnsi="Arial"/>
                <w:b/>
                <w:bCs/>
                <w:color w:val="E36C09"/>
                <w:sz w:val="20"/>
                <w:szCs w:val="20"/>
              </w:rPr>
              <w:t xml:space="preserve">HIGH</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Hero subtext is too long (45 words). Enterprise buyers scanning at 200-250 WPM will skip it. The AIDA Interest hook needs to land in under 20 words.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 into two tiers: a bold 15-word value proposition line, then a secondary supporting sentence. Example: bold line: "The governed control plane that makes every AI agent policy-compliant from design through production." Supporting: "Built for regulated industries. Runtime-agnostic. Audit-ready by default."</w:t>
            </w:r>
          </w:p>
        </w:tc>
      </w:tr>
      <w:tr>
        <w:tc>
          <w:tcPr>
            <w:tcW w:type="dxa" w:w="1200"/>
            <w:tcBorders>
              <w:top w:val="single" w:color="CCCCCC" w:sz="1"/>
              <w:left w:val="single" w:color="CCCCCC" w:sz="1"/>
              <w:bottom w:val="single" w:color="CCCCCC" w:sz="1"/>
              <w:right w:val="single" w:color="CCCCCC" w:sz="1"/>
            </w:tcBorders>
            <w:shd w:fill="FFF2E0" w:val="clear"/>
            <w:vAlign w:val="center"/>
          </w:tcPr>
          <w:p>
            <w:pPr>
              <w:jc w:val="center"/>
            </w:pPr>
            <w:r>
              <w:rPr>
                <w:rFonts w:ascii="Arial" w:cs="Arial" w:eastAsia="Arial" w:hAnsi="Arial"/>
                <w:b/>
                <w:bCs/>
                <w:color w:val="E36C09"/>
                <w:sz w:val="20"/>
                <w:szCs w:val="20"/>
              </w:rPr>
              <w:t xml:space="preserve">HIGH</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product visualization in the hero. Enterprise buyers need to see the product to believe it exists. A text-only hero reads as vaporware, especially for a platform play.</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hero screenshot, product mockup, or animated UI preview showing the governance dashboard or blueprint review interface below the CTA buttons. Even a stylized browser frame with a governance validation screen would dramatically increase perceived maturity.</w:t>
            </w:r>
          </w:p>
        </w:tc>
      </w:tr>
      <w:tr>
        <w:tc>
          <w:tcPr>
            <w:tcW w:type="dxa" w:w="1200"/>
            <w:tcBorders>
              <w:top w:val="single" w:color="CCCCCC" w:sz="1"/>
              <w:left w:val="single" w:color="CCCCCC" w:sz="1"/>
              <w:bottom w:val="single" w:color="CCCCCC" w:sz="1"/>
              <w:right w:val="single" w:color="CCCCCC" w:sz="1"/>
            </w:tcBorders>
            <w:shd w:fill="FFF9E0" w:val="clear"/>
            <w:vAlign w:val="center"/>
          </w:tcPr>
          <w:p>
            <w:pPr>
              <w:jc w:val="center"/>
            </w:pPr>
            <w:r>
              <w:rPr>
                <w:rFonts w:ascii="Arial" w:cs="Arial" w:eastAsia="Arial" w:hAnsi="Arial"/>
                <w:b/>
                <w:bCs/>
                <w:color w:val="BF8F00"/>
                <w:sz w:val="20"/>
                <w:szCs w:val="20"/>
              </w:rPr>
              <w:t xml:space="preserve">MEDIUM</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tagline under CTAs ("Built for financial services, healthcare, and regulated enterprise") is low-contrast gray at xs size. It functions as an important qualifier but is visually deprioritized.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Increase to sm size, use a slightly stronger gray (gray-500 vs gray-400), and consider converting to inline badges (e.g., three small pill badges for the vertical segments).</w:t>
            </w:r>
          </w:p>
        </w:tc>
      </w:tr>
      <w:tr>
        <w:tc>
          <w:tcPr>
            <w:tcW w:type="dxa" w:w="1200"/>
            <w:tcBorders>
              <w:top w:val="single" w:color="CCCCCC" w:sz="1"/>
              <w:left w:val="single" w:color="CCCCCC" w:sz="1"/>
              <w:bottom w:val="single" w:color="CCCCCC" w:sz="1"/>
              <w:right w:val="single" w:color="CCCCCC" w:sz="1"/>
            </w:tcBorders>
            <w:shd w:fill="E8F5E9" w:val="clear"/>
            <w:vAlign w:val="center"/>
          </w:tcPr>
          <w:p>
            <w:pPr>
              <w:jc w:val="center"/>
            </w:pPr>
            <w:r>
              <w:rPr>
                <w:rFonts w:ascii="Arial" w:cs="Arial" w:eastAsia="Arial" w:hAnsi="Arial"/>
                <w:b/>
                <w:bCs/>
                <w:color w:val="548235"/>
                <w:sz w:val="20"/>
                <w:szCs w:val="20"/>
              </w:rPr>
              <w:t xml:space="preserve">LOW</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hero background gradient blobs are standard Tailwind UI patterns seen across hundreds of SaaS sites. While clean, they do not differentiate the brand visually.</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Consider a custom generative pattern or a more distinctive visual motif related to governance/compliance (e.g., policy graph visualization, compliance checkpoint flow).</w:t>
            </w:r>
          </w:p>
        </w:tc>
      </w:tr>
    </w:tbl>
    <w:p>
      <w:r>
        <w:br w:type="page"/>
      </w:r>
    </w:p>
    <w:p>
      <w:pPr>
        <w:pStyle w:val="Heading1"/>
      </w:pPr>
      <w:r>
        <w:t xml:space="preserve">2. Messaging &amp; Copy</w:t>
      </w:r>
    </w:p>
    <w:p>
      <w:pPr>
        <w:pStyle w:val="Heading2"/>
      </w:pPr>
      <w:r>
        <w:t xml:space="preserve">What Works</w:t>
      </w:r>
    </w:p>
    <w:p>
      <w:pPr>
        <w:pStyle w:val="ListParagraph"/>
        <w:numPr>
          <w:ilvl w:val="0"/>
          <w:numId w:val="2"/>
        </w:numPr>
        <w:spacing w:after="80"/>
      </w:pPr>
      <w:r>
        <w:rPr>
          <w:rFonts w:ascii="Arial" w:cs="Arial" w:eastAsia="Arial" w:hAnsi="Arial"/>
          <w:sz w:val="22"/>
          <w:szCs w:val="22"/>
        </w:rPr>
        <w:t xml:space="preserve">The problem-solution narrative arc is textbook: Governance Gap (pain) &gt; Three Pillars (solution) &gt; Architecture (how) &gt; Personas (who) &gt; Differentiation (why us) &gt; ROI (proof) &gt; CTA (action). This follows the AIDA model correctly.</w:t>
      </w:r>
    </w:p>
    <w:p>
      <w:pPr>
        <w:pStyle w:val="ListParagraph"/>
        <w:numPr>
          <w:ilvl w:val="0"/>
          <w:numId w:val="2"/>
        </w:numPr>
        <w:spacing w:after="80"/>
      </w:pPr>
      <w:r>
        <w:rPr>
          <w:rFonts w:ascii="Arial" w:cs="Arial" w:eastAsia="Arial" w:hAnsi="Arial"/>
          <w:sz w:val="22"/>
          <w:szCs w:val="22"/>
        </w:rPr>
        <w:t xml:space="preserve">Statistics are all sourced and attributed with publication dates, which is exceptional for a B2B landing page. Sources include Gartner, IBM/Ponemon, McKinsey, and OCC enforcement actions.</w:t>
      </w:r>
    </w:p>
    <w:p>
      <w:pPr>
        <w:pStyle w:val="ListParagraph"/>
        <w:numPr>
          <w:ilvl w:val="0"/>
          <w:numId w:val="2"/>
        </w:numPr>
        <w:spacing w:after="80"/>
      </w:pPr>
      <w:r>
        <w:rPr>
          <w:rFonts w:ascii="Arial" w:cs="Arial" w:eastAsia="Arial" w:hAnsi="Arial"/>
          <w:sz w:val="22"/>
          <w:szCs w:val="22"/>
        </w:rPr>
        <w:t xml:space="preserve">The persona cards use a Pain/Resolution structure that mirrors enterprise buying psychology (acknowledge the pain before presenting the solution).</w:t>
      </w:r>
    </w:p>
    <w:p>
      <w:pPr>
        <w:pStyle w:val="ListParagraph"/>
        <w:numPr>
          <w:ilvl w:val="0"/>
          <w:numId w:val="2"/>
        </w:numPr>
        <w:spacing w:after="80"/>
      </w:pPr>
      <w:r>
        <w:rPr>
          <w:rFonts w:ascii="Arial" w:cs="Arial" w:eastAsia="Arial" w:hAnsi="Arial"/>
          <w:sz w:val="22"/>
          <w:szCs w:val="22"/>
        </w:rPr>
        <w:t xml:space="preserve">Regulatory terminology is used precisely (SR 11-7, MRM, OCC, EU AI Act), which signals deep domain expertise to compliance buyers.</w:t>
      </w:r>
    </w:p>
    <w:p>
      <w:pPr>
        <w:pStyle w:val="Heading2"/>
      </w:pPr>
      <w:r>
        <w:t xml:space="preserve">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408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408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r>
      <w:tr>
        <w:tc>
          <w:tcPr>
            <w:tcW w:type="dxa" w:w="1200"/>
            <w:tcBorders>
              <w:top w:val="single" w:color="CCCCCC" w:sz="1"/>
              <w:left w:val="single" w:color="CCCCCC" w:sz="1"/>
              <w:bottom w:val="single" w:color="CCCCCC" w:sz="1"/>
              <w:right w:val="single" w:color="CCCCCC" w:sz="1"/>
            </w:tcBorders>
            <w:shd w:fill="FFF2E0" w:val="clear"/>
            <w:vAlign w:val="center"/>
          </w:tcPr>
          <w:p>
            <w:pPr>
              <w:jc w:val="center"/>
            </w:pPr>
            <w:r>
              <w:rPr>
                <w:rFonts w:ascii="Arial" w:cs="Arial" w:eastAsia="Arial" w:hAnsi="Arial"/>
                <w:b/>
                <w:bCs/>
                <w:color w:val="E36C09"/>
                <w:sz w:val="20"/>
                <w:szCs w:val="20"/>
              </w:rPr>
              <w:t xml:space="preserve">HIGH</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word "governance" appears 30+ times on the page. While SEO-relevant, it creates repetition fatigue and reads as a single-note message. Buyers in different roles process governance differently (risk = audit readiness; engineering = pipeline velocity; CIO = visibility).</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Vary the vocabulary by persona: use "audit readiness" for compliance, "pipeline velocity" for engineering, "fleet visibility" for CIOs. The persona cards already do this partially, but the surrounding section headers and taglines should also vary.</w:t>
            </w:r>
          </w:p>
        </w:tc>
      </w:tr>
      <w:tr>
        <w:tc>
          <w:tcPr>
            <w:tcW w:type="dxa" w:w="1200"/>
            <w:tcBorders>
              <w:top w:val="single" w:color="CCCCCC" w:sz="1"/>
              <w:left w:val="single" w:color="CCCCCC" w:sz="1"/>
              <w:bottom w:val="single" w:color="CCCCCC" w:sz="1"/>
              <w:right w:val="single" w:color="CCCCCC" w:sz="1"/>
            </w:tcBorders>
            <w:shd w:fill="FFF2E0" w:val="clear"/>
            <w:vAlign w:val="center"/>
          </w:tcPr>
          <w:p>
            <w:pPr>
              <w:jc w:val="center"/>
            </w:pPr>
            <w:r>
              <w:rPr>
                <w:rFonts w:ascii="Arial" w:cs="Arial" w:eastAsia="Arial" w:hAnsi="Arial"/>
                <w:b/>
                <w:bCs/>
                <w:color w:val="E36C09"/>
                <w:sz w:val="20"/>
                <w:szCs w:val="20"/>
              </w:rPr>
              <w:t xml:space="preserve">HIGH</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McKinsey agent sprawl quote in the Pillars section is a long, dense block quote (43 words) that breaks the visual rhythm and slows reading velocity. Quoting third-party analysts at length also shifts authority away from Intellios.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 the key phrase ("agent sprawl") as an inline callout and attribute it parenthetically. Rewrite the surrounding copy to make Intellios the subject, not McKinsey. Example: "What McKinsey calls agent sprawl, Intellios was designed to prevent."</w:t>
            </w:r>
          </w:p>
        </w:tc>
      </w:tr>
      <w:tr>
        <w:tc>
          <w:tcPr>
            <w:tcW w:type="dxa" w:w="1200"/>
            <w:tcBorders>
              <w:top w:val="single" w:color="CCCCCC" w:sz="1"/>
              <w:left w:val="single" w:color="CCCCCC" w:sz="1"/>
              <w:bottom w:val="single" w:color="CCCCCC" w:sz="1"/>
              <w:right w:val="single" w:color="CCCCCC" w:sz="1"/>
            </w:tcBorders>
            <w:shd w:fill="FFF9E0" w:val="clear"/>
            <w:vAlign w:val="center"/>
          </w:tcPr>
          <w:p>
            <w:pPr>
              <w:jc w:val="center"/>
            </w:pPr>
            <w:r>
              <w:rPr>
                <w:rFonts w:ascii="Arial" w:cs="Arial" w:eastAsia="Arial" w:hAnsi="Arial"/>
                <w:b/>
                <w:bCs/>
                <w:color w:val="BF8F00"/>
                <w:sz w:val="20"/>
                <w:szCs w:val="20"/>
              </w:rPr>
              <w:t xml:space="preserve">MEDIUM</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Governance Gap section lead-in ("AI agents are scaling. Governance isn't.") is excellent, but the supporting paragraph immediately below it largely restates the same idea in more words, diluting impact.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Cut the supporting paragraph to one sentence maximum, or remove it entirely. The stat cards below already do the explanatory work. Let the bold statement stand on its own.</w:t>
            </w:r>
          </w:p>
        </w:tc>
      </w:tr>
      <w:tr>
        <w:tc>
          <w:tcPr>
            <w:tcW w:type="dxa" w:w="1200"/>
            <w:tcBorders>
              <w:top w:val="single" w:color="CCCCCC" w:sz="1"/>
              <w:left w:val="single" w:color="CCCCCC" w:sz="1"/>
              <w:bottom w:val="single" w:color="CCCCCC" w:sz="1"/>
              <w:right w:val="single" w:color="CCCCCC" w:sz="1"/>
            </w:tcBorders>
            <w:shd w:fill="FFF9E0" w:val="clear"/>
            <w:vAlign w:val="center"/>
          </w:tcPr>
          <w:p>
            <w:pPr>
              <w:jc w:val="center"/>
            </w:pPr>
            <w:r>
              <w:rPr>
                <w:rFonts w:ascii="Arial" w:cs="Arial" w:eastAsia="Arial" w:hAnsi="Arial"/>
                <w:b/>
                <w:bCs/>
                <w:color w:val="BF8F00"/>
                <w:sz w:val="20"/>
                <w:szCs w:val="20"/>
              </w:rPr>
              <w:t xml:space="preserve">MEDIUM</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Several section subtitles end with a period, creating inconsistent punctuation (some do, some don't). This is a minor polish issue but signals editorial inconsistency to detail-oriented enterprise buyers.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Standardize: no terminal periods on section subtitles/taglines. They function as headlines, not sentences.</w:t>
            </w:r>
          </w:p>
        </w:tc>
      </w:tr>
      <w:tr>
        <w:tc>
          <w:tcPr>
            <w:tcW w:type="dxa" w:w="1200"/>
            <w:tcBorders>
              <w:top w:val="single" w:color="CCCCCC" w:sz="1"/>
              <w:left w:val="single" w:color="CCCCCC" w:sz="1"/>
              <w:bottom w:val="single" w:color="CCCCCC" w:sz="1"/>
              <w:right w:val="single" w:color="CCCCCC" w:sz="1"/>
            </w:tcBorders>
            <w:shd w:fill="E8F5E9" w:val="clear"/>
            <w:vAlign w:val="center"/>
          </w:tcPr>
          <w:p>
            <w:pPr>
              <w:jc w:val="center"/>
            </w:pPr>
            <w:r>
              <w:rPr>
                <w:rFonts w:ascii="Arial" w:cs="Arial" w:eastAsia="Arial" w:hAnsi="Arial"/>
                <w:b/>
                <w:bCs/>
                <w:color w:val="548235"/>
                <w:sz w:val="20"/>
                <w:szCs w:val="20"/>
              </w:rPr>
              <w:t xml:space="preserve">LOW</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final CTA headline ("Govern your AI agents before your regulators do") is strong but the supporting copy reverts to a three-clause list structure ("audit finding... breach vector... compliance gap") that feels formulaic.</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Rewrite as a single provocative closing sentence that creates urgency without the tricolon structure. Example: "The compliance gap compounds with every ungoverned deployment. Close it before your next audit."</w:t>
            </w:r>
          </w:p>
        </w:tc>
      </w:tr>
    </w:tbl>
    <w:p>
      <w:r>
        <w:br w:type="page"/>
      </w:r>
    </w:p>
    <w:p>
      <w:pPr>
        <w:pStyle w:val="Heading1"/>
      </w:pPr>
      <w:r>
        <w:t xml:space="preserve">3. Structure &amp; Information Architecture</w:t>
      </w:r>
    </w:p>
    <w:p>
      <w:pPr>
        <w:pStyle w:val="Heading2"/>
      </w:pPr>
      <w:r>
        <w:t xml:space="preserve">What Works</w:t>
      </w:r>
    </w:p>
    <w:p>
      <w:pPr>
        <w:pStyle w:val="ListParagraph"/>
        <w:numPr>
          <w:ilvl w:val="0"/>
          <w:numId w:val="2"/>
        </w:numPr>
        <w:spacing w:after="80"/>
      </w:pPr>
      <w:r>
        <w:rPr>
          <w:rFonts w:ascii="Arial" w:cs="Arial" w:eastAsia="Arial" w:hAnsi="Arial"/>
          <w:sz w:val="22"/>
          <w:szCs w:val="22"/>
        </w:rPr>
        <w:t xml:space="preserve">The 10-section layout follows a logical persuasion sequence that mirrors enterprise buying psychology: identify pain, explain solution, prove architecture, show personas, differentiate, establish trust, quantify ROI, close.</w:t>
      </w:r>
    </w:p>
    <w:p>
      <w:pPr>
        <w:pStyle w:val="ListParagraph"/>
        <w:numPr>
          <w:ilvl w:val="0"/>
          <w:numId w:val="2"/>
        </w:numPr>
        <w:spacing w:after="80"/>
      </w:pPr>
      <w:r>
        <w:rPr>
          <w:rFonts w:ascii="Arial" w:cs="Arial" w:eastAsia="Arial" w:hAnsi="Arial"/>
          <w:sz w:val="22"/>
          <w:szCs w:val="22"/>
        </w:rPr>
        <w:t xml:space="preserve">Alternating background colors (white/gray-50) create clear visual section boundaries and reduce cognitive load.</w:t>
      </w:r>
    </w:p>
    <w:p>
      <w:pPr>
        <w:pStyle w:val="ListParagraph"/>
        <w:numPr>
          <w:ilvl w:val="0"/>
          <w:numId w:val="2"/>
        </w:numPr>
        <w:spacing w:after="80"/>
      </w:pPr>
      <w:r>
        <w:rPr>
          <w:rFonts w:ascii="Arial" w:cs="Arial" w:eastAsia="Arial" w:hAnsi="Arial"/>
          <w:sz w:val="22"/>
          <w:szCs w:val="22"/>
        </w:rPr>
        <w:t xml:space="preserve">The sticky header with anchor navigation (Problem, Product, Architecture, Use Cases, ROI) provides wayfinding for long-scroll pages.</w:t>
      </w:r>
    </w:p>
    <w:p>
      <w:pPr>
        <w:pStyle w:val="ListParagraph"/>
        <w:numPr>
          <w:ilvl w:val="0"/>
          <w:numId w:val="2"/>
        </w:numPr>
        <w:spacing w:after="80"/>
      </w:pPr>
      <w:r>
        <w:rPr>
          <w:rFonts w:ascii="Arial" w:cs="Arial" w:eastAsia="Arial" w:hAnsi="Arial"/>
          <w:sz w:val="22"/>
          <w:szCs w:val="22"/>
        </w:rPr>
        <w:t xml:space="preserve">Mobile responsiveness is well-handled with a hamburger menu and responsive grid layouts.</w:t>
      </w:r>
    </w:p>
    <w:p>
      <w:pPr>
        <w:pStyle w:val="Heading2"/>
      </w:pPr>
      <w:r>
        <w:t xml:space="preserve">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408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408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r>
      <w:tr>
        <w:tc>
          <w:tcPr>
            <w:tcW w:type="dxa" w:w="1200"/>
            <w:tcBorders>
              <w:top w:val="single" w:color="CCCCCC" w:sz="1"/>
              <w:left w:val="single" w:color="CCCCCC" w:sz="1"/>
              <w:bottom w:val="single" w:color="CCCCCC" w:sz="1"/>
              <w:right w:val="single" w:color="CCCCCC" w:sz="1"/>
            </w:tcBorders>
            <w:shd w:fill="FFF9E0" w:val="clear"/>
            <w:vAlign w:val="center"/>
          </w:tcPr>
          <w:p>
            <w:pPr>
              <w:jc w:val="center"/>
            </w:pPr>
            <w:r>
              <w:rPr>
                <w:rFonts w:ascii="Arial" w:cs="Arial" w:eastAsia="Arial" w:hAnsi="Arial"/>
                <w:b/>
                <w:bCs/>
                <w:color w:val="BF8F00"/>
                <w:sz w:val="20"/>
                <w:szCs w:val="20"/>
              </w:rPr>
              <w:t xml:space="preserve">MEDIUM</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page has 10 sections, which exceeds the cognitive threshold for single-page marketing sites. Hick's Law suggests that more options increase decision time. The Differentiation section ("Why Intellios") and the Pillars section overlap significantly in messaging.</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Merge the Differentiation section into the Pillars section as a comparison subsection, or convert the "vs. X" cards into a tabbed comparison within the Pillars section. This reduces section count to 9 and eliminates message redundancy.</w:t>
            </w:r>
          </w:p>
        </w:tc>
      </w:tr>
      <w:tr>
        <w:tc>
          <w:tcPr>
            <w:tcW w:type="dxa" w:w="1200"/>
            <w:tcBorders>
              <w:top w:val="single" w:color="CCCCCC" w:sz="1"/>
              <w:left w:val="single" w:color="CCCCCC" w:sz="1"/>
              <w:bottom w:val="single" w:color="CCCCCC" w:sz="1"/>
              <w:right w:val="single" w:color="CCCCCC" w:sz="1"/>
            </w:tcBorders>
            <w:shd w:fill="FFF9E0" w:val="clear"/>
            <w:vAlign w:val="center"/>
          </w:tcPr>
          <w:p>
            <w:pPr>
              <w:jc w:val="center"/>
            </w:pPr>
            <w:r>
              <w:rPr>
                <w:rFonts w:ascii="Arial" w:cs="Arial" w:eastAsia="Arial" w:hAnsi="Arial"/>
                <w:b/>
                <w:bCs/>
                <w:color w:val="BF8F00"/>
                <w:sz w:val="20"/>
                <w:szCs w:val="20"/>
              </w:rPr>
              <w:t xml:space="preserve">MEDIUM</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Architecture section is positioned third, before personas and use cases. For executive and compliance audiences (who are less likely to care about architecture diagrams), this creates a technical barrier in the middle of the persuasion flow.</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Architecture after Personas/Use Cases. Executive and compliance buyers should encounter pain &gt; solution &gt; relevance (personas) before technical proof. Engineering buyers who want architecture early can use the nav anchor.</w:t>
            </w:r>
          </w:p>
        </w:tc>
      </w:tr>
      <w:tr>
        <w:tc>
          <w:tcPr>
            <w:tcW w:type="dxa" w:w="1200"/>
            <w:tcBorders>
              <w:top w:val="single" w:color="CCCCCC" w:sz="1"/>
              <w:left w:val="single" w:color="CCCCCC" w:sz="1"/>
              <w:bottom w:val="single" w:color="CCCCCC" w:sz="1"/>
              <w:right w:val="single" w:color="CCCCCC" w:sz="1"/>
            </w:tcBorders>
            <w:shd w:fill="E8F5E9" w:val="clear"/>
            <w:vAlign w:val="center"/>
          </w:tcPr>
          <w:p>
            <w:pPr>
              <w:jc w:val="center"/>
            </w:pPr>
            <w:r>
              <w:rPr>
                <w:rFonts w:ascii="Arial" w:cs="Arial" w:eastAsia="Arial" w:hAnsi="Arial"/>
                <w:b/>
                <w:bCs/>
                <w:color w:val="548235"/>
                <w:sz w:val="20"/>
                <w:szCs w:val="20"/>
              </w:rPr>
              <w:t xml:space="preserve">LOW</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nav links (Problem, Product, Architecture, Use Cases, ROI) skip the Differentiation, Trust, and CTA sections. A reader using nav-only navigation misses key decision-making content.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"Why Us" to the nav (pointing to the Differentiation section). Trust and CTA don't need nav entries as they're bottom-of-page natural endpoints.</w:t>
            </w:r>
          </w:p>
        </w:tc>
      </w:tr>
    </w:tbl>
    <w:p>
      <w:r>
        <w:br w:type="page"/>
      </w:r>
    </w:p>
    <w:p>
      <w:pPr>
        <w:pStyle w:val="Heading1"/>
      </w:pPr>
      <w:r>
        <w:t xml:space="preserve">4. CTAs &amp; Conversion</w:t>
      </w:r>
    </w:p>
    <w:p>
      <w:pPr>
        <w:pStyle w:val="Heading2"/>
      </w:pPr>
      <w:r>
        <w:t xml:space="preserve">What Works</w:t>
      </w:r>
    </w:p>
    <w:p>
      <w:pPr>
        <w:pStyle w:val="ListParagraph"/>
        <w:numPr>
          <w:ilvl w:val="0"/>
          <w:numId w:val="2"/>
        </w:numPr>
        <w:spacing w:after="80"/>
      </w:pPr>
      <w:r>
        <w:rPr>
          <w:rFonts w:ascii="Arial" w:cs="Arial" w:eastAsia="Arial" w:hAnsi="Arial"/>
          <w:sz w:val="22"/>
          <w:szCs w:val="22"/>
        </w:rPr>
        <w:t xml:space="preserve">The RequestAccessModal is well-implemented: render-prop pattern for flexible trigger placement, role-based dropdown for lead qualification, success state with clear expectations ("typically reach out within one business day").</w:t>
      </w:r>
    </w:p>
    <w:p>
      <w:pPr>
        <w:pStyle w:val="ListParagraph"/>
        <w:numPr>
          <w:ilvl w:val="0"/>
          <w:numId w:val="2"/>
        </w:numPr>
        <w:spacing w:after="80"/>
      </w:pPr>
      <w:r>
        <w:rPr>
          <w:rFonts w:ascii="Arial" w:cs="Arial" w:eastAsia="Arial" w:hAnsi="Arial"/>
          <w:sz w:val="22"/>
          <w:szCs w:val="22"/>
        </w:rPr>
        <w:t xml:space="preserve">Form fields are appropriately scoped: work email + company (required) and role + use case (optional). This balances conversion friction with lead quality.</w:t>
      </w:r>
    </w:p>
    <w:p>
      <w:pPr>
        <w:pStyle w:val="ListParagraph"/>
        <w:numPr>
          <w:ilvl w:val="0"/>
          <w:numId w:val="2"/>
        </w:numPr>
        <w:spacing w:after="80"/>
      </w:pPr>
      <w:r>
        <w:rPr>
          <w:rFonts w:ascii="Arial" w:cs="Arial" w:eastAsia="Arial" w:hAnsi="Arial"/>
          <w:sz w:val="22"/>
          <w:szCs w:val="22"/>
        </w:rPr>
        <w:t xml:space="preserve">The dual CTA in the hero ("Request a Demo" + "See How It Works") correctly offers both high-intent and low-intent paths.</w:t>
      </w:r>
    </w:p>
    <w:p>
      <w:pPr>
        <w:pStyle w:val="Heading2"/>
      </w:pPr>
      <w:r>
        <w:t xml:space="preserve">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408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408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r>
      <w:tr>
        <w:tc>
          <w:tcPr>
            <w:tcW w:type="dxa" w:w="1200"/>
            <w:tcBorders>
              <w:top w:val="single" w:color="CCCCCC" w:sz="1"/>
              <w:left w:val="single" w:color="CCCCCC" w:sz="1"/>
              <w:bottom w:val="single" w:color="CCCCCC" w:sz="1"/>
              <w:right w:val="single" w:color="CCCCCC" w:sz="1"/>
            </w:tcBorders>
            <w:shd w:fill="FFF2E0" w:val="clear"/>
            <w:vAlign w:val="center"/>
          </w:tcPr>
          <w:p>
            <w:pPr>
              <w:jc w:val="center"/>
            </w:pPr>
            <w:r>
              <w:rPr>
                <w:rFonts w:ascii="Arial" w:cs="Arial" w:eastAsia="Arial" w:hAnsi="Arial"/>
                <w:b/>
                <w:bCs/>
                <w:color w:val="E36C09"/>
                <w:sz w:val="20"/>
                <w:szCs w:val="20"/>
              </w:rPr>
              <w:t xml:space="preserve">HIGH</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a Demo" appears 3 times (header, hero, final CTA) but the action behind it is actually a waitlist/early access form, not a demo scheduler. This creates an expectation mismatch. The modal title says "Request early access" while the button says "Request a Demo."</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 CTA copy with the actual action. Either: (a) change buttons to "Request Early Access" to match the modal, or (b) add actual demo scheduling (Calendly embed or similar) to deliver on the "demo" promise. Option (a) is the quick win; option (b) is the right long-term answer.</w:t>
            </w:r>
          </w:p>
        </w:tc>
      </w:tr>
      <w:tr>
        <w:tc>
          <w:tcPr>
            <w:tcW w:type="dxa" w:w="1200"/>
            <w:tcBorders>
              <w:top w:val="single" w:color="CCCCCC" w:sz="1"/>
              <w:left w:val="single" w:color="CCCCCC" w:sz="1"/>
              <w:bottom w:val="single" w:color="CCCCCC" w:sz="1"/>
              <w:right w:val="single" w:color="CCCCCC" w:sz="1"/>
            </w:tcBorders>
            <w:shd w:fill="FFF2E0" w:val="clear"/>
            <w:vAlign w:val="center"/>
          </w:tcPr>
          <w:p>
            <w:pPr>
              <w:jc w:val="center"/>
            </w:pPr>
            <w:r>
              <w:rPr>
                <w:rFonts w:ascii="Arial" w:cs="Arial" w:eastAsia="Arial" w:hAnsi="Arial"/>
                <w:b/>
                <w:bCs/>
                <w:color w:val="E36C09"/>
                <w:sz w:val="20"/>
                <w:szCs w:val="20"/>
              </w:rPr>
              <w:t xml:space="preserve">HIGH</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"Talk to Sales" button in the final CTA section links to "#" (dead link). This is the highest-intent CTA on the page and it goes nowhere.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Wire to either: (a) a Calendly/HubSpot meeting link, (b) a mailto: with a pre-filled subject line, or (c) the same RequestAccessModal with a "sales inquiry" flag. Never ship a dead link on a primary CTA.</w:t>
            </w:r>
          </w:p>
        </w:tc>
      </w:tr>
      <w:tr>
        <w:tc>
          <w:tcPr>
            <w:tcW w:type="dxa" w:w="1200"/>
            <w:tcBorders>
              <w:top w:val="single" w:color="CCCCCC" w:sz="1"/>
              <w:left w:val="single" w:color="CCCCCC" w:sz="1"/>
              <w:bottom w:val="single" w:color="CCCCCC" w:sz="1"/>
              <w:right w:val="single" w:color="CCCCCC" w:sz="1"/>
            </w:tcBorders>
            <w:shd w:fill="FFF9E0" w:val="clear"/>
            <w:vAlign w:val="center"/>
          </w:tcPr>
          <w:p>
            <w:pPr>
              <w:jc w:val="center"/>
            </w:pPr>
            <w:r>
              <w:rPr>
                <w:rFonts w:ascii="Arial" w:cs="Arial" w:eastAsia="Arial" w:hAnsi="Arial"/>
                <w:b/>
                <w:bCs/>
                <w:color w:val="BF8F00"/>
                <w:sz w:val="20"/>
                <w:szCs w:val="20"/>
              </w:rPr>
              <w:t xml:space="preserve">MEDIUM</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whitepaper download ("The AI-Native SDLC") also links to "#". Content offers are critical for mid-funnel nurturing, and a dead download link damages credibility.</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Either create and host the whitepaper PDF, or remove the callout entirely until the asset exists. A broken content offer is worse than no content offer.</w:t>
            </w:r>
          </w:p>
        </w:tc>
      </w:tr>
      <w:tr>
        <w:tc>
          <w:tcPr>
            <w:tcW w:type="dxa" w:w="1200"/>
            <w:tcBorders>
              <w:top w:val="single" w:color="CCCCCC" w:sz="1"/>
              <w:left w:val="single" w:color="CCCCCC" w:sz="1"/>
              <w:bottom w:val="single" w:color="CCCCCC" w:sz="1"/>
              <w:right w:val="single" w:color="CCCCCC" w:sz="1"/>
            </w:tcBorders>
            <w:shd w:fill="FFF9E0" w:val="clear"/>
            <w:vAlign w:val="center"/>
          </w:tcPr>
          <w:p>
            <w:pPr>
              <w:jc w:val="center"/>
            </w:pPr>
            <w:r>
              <w:rPr>
                <w:rFonts w:ascii="Arial" w:cs="Arial" w:eastAsia="Arial" w:hAnsi="Arial"/>
                <w:b/>
                <w:bCs/>
                <w:color w:val="BF8F00"/>
                <w:sz w:val="20"/>
                <w:szCs w:val="20"/>
              </w:rPr>
              <w:t xml:space="preserve">MEDIUM</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There is no mid-page CTA between the hero and the final section. That is 7 sections of content (~4-5 scroll heights) with no conversion opportunity. Readers who are convinced at section 4 have to scroll past 3 more sections to act.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mid-page CTA banner after the Personas section (the point of maximum relevance identification). A simple "Ready to see it in action? Request a demo" bar would capture mid-funnel converts.</w:t>
            </w:r>
          </w:p>
        </w:tc>
      </w:tr>
    </w:tbl>
    <w:p>
      <w:r>
        <w:br w:type="page"/>
      </w:r>
    </w:p>
    <w:p>
      <w:pPr>
        <w:pStyle w:val="Heading1"/>
      </w:pPr>
      <w:r>
        <w:t xml:space="preserve">5. Trust &amp; Credibility</w:t>
      </w:r>
    </w:p>
    <w:p>
      <w:pPr>
        <w:pStyle w:val="Heading2"/>
      </w:pPr>
      <w:r>
        <w:t xml:space="preserve">What Works</w:t>
      </w:r>
    </w:p>
    <w:p>
      <w:pPr>
        <w:pStyle w:val="ListParagraph"/>
        <w:numPr>
          <w:ilvl w:val="0"/>
          <w:numId w:val="2"/>
        </w:numPr>
        <w:spacing w:after="80"/>
      </w:pPr>
      <w:r>
        <w:rPr>
          <w:rFonts w:ascii="Arial" w:cs="Arial" w:eastAsia="Arial" w:hAnsi="Arial"/>
          <w:sz w:val="22"/>
          <w:szCs w:val="22"/>
        </w:rPr>
        <w:t xml:space="preserve">Source attribution on every statistic is outstanding. Enterprise buyers verify claims, and providing Gartner, IBM/Ponemon, McKinsey, and OCC enforcement action sources with dates demonstrates research rigor.</w:t>
      </w:r>
    </w:p>
    <w:p>
      <w:pPr>
        <w:pStyle w:val="ListParagraph"/>
        <w:numPr>
          <w:ilvl w:val="0"/>
          <w:numId w:val="2"/>
        </w:numPr>
        <w:spacing w:after="80"/>
      </w:pPr>
      <w:r>
        <w:rPr>
          <w:rFonts w:ascii="Arial" w:cs="Arial" w:eastAsia="Arial" w:hAnsi="Arial"/>
          <w:sz w:val="22"/>
          <w:szCs w:val="22"/>
        </w:rPr>
        <w:t xml:space="preserve">The compliance badge strip (SOC 2, ISO 27001, FedRAMP, SR 11-7, EU AI Act, NIST AI RMF) covers the major frameworks that regulated industry buyers evaluate.</w:t>
      </w:r>
    </w:p>
    <w:p>
      <w:pPr>
        <w:pStyle w:val="ListParagraph"/>
        <w:numPr>
          <w:ilvl w:val="0"/>
          <w:numId w:val="2"/>
        </w:numPr>
        <w:spacing w:after="80"/>
      </w:pPr>
      <w:r>
        <w:rPr>
          <w:rFonts w:ascii="Arial" w:cs="Arial" w:eastAsia="Arial" w:hAnsi="Arial"/>
          <w:sz w:val="22"/>
          <w:szCs w:val="22"/>
        </w:rPr>
        <w:t xml:space="preserve">Honest labeling of compliance status ("Planned", "Roadmap") shows transparency rather than overclaiming.</w:t>
      </w:r>
    </w:p>
    <w:p>
      <w:pPr>
        <w:pStyle w:val="Heading2"/>
      </w:pPr>
      <w:r>
        <w:t xml:space="preserve">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408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408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r>
      <w:tr>
        <w:tc>
          <w:tcPr>
            <w:tcW w:type="dxa" w:w="1200"/>
            <w:tcBorders>
              <w:top w:val="single" w:color="CCCCCC" w:sz="1"/>
              <w:left w:val="single" w:color="CCCCCC" w:sz="1"/>
              <w:bottom w:val="single" w:color="CCCCCC" w:sz="1"/>
              <w:right w:val="single" w:color="CCCCCC" w:sz="1"/>
            </w:tcBorders>
            <w:shd w:fill="FBE4E4" w:val="clear"/>
            <w:vAlign w:val="center"/>
          </w:tcPr>
          <w:p>
            <w:pPr>
              <w:jc w:val="center"/>
            </w:pPr>
            <w:r>
              <w:rPr>
                <w:rFonts w:ascii="Arial" w:cs="Arial" w:eastAsia="Arial" w:hAnsi="Arial"/>
                <w:b/>
                <w:bCs/>
                <w:color w:val="C00000"/>
                <w:sz w:val="20"/>
                <w:szCs w:val="20"/>
              </w:rPr>
              <w:t xml:space="preserve">CRITICAL</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"Trusted by teams at" section shows 5 placeholder gray boxes with the text "Logo." This is the single most damaging element on the page. Empty logo placeholders signal that either no customers exist or the page is unfinished. Enterprise buyers will interpret this as vaporware.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Option A (immediate): Remove the entire section until you have real logos. Option B (short-term): Replace with "Designed with input from teams in financial services, healthcare, and insurance" without logos. Option C (medium-term): Secure 2-3 design partner logos with permission and display them. Any option is better than placeholder boxes.</w:t>
            </w:r>
          </w:p>
        </w:tc>
      </w:tr>
      <w:tr>
        <w:tc>
          <w:tcPr>
            <w:tcW w:type="dxa" w:w="1200"/>
            <w:tcBorders>
              <w:top w:val="single" w:color="CCCCCC" w:sz="1"/>
              <w:left w:val="single" w:color="CCCCCC" w:sz="1"/>
              <w:bottom w:val="single" w:color="CCCCCC" w:sz="1"/>
              <w:right w:val="single" w:color="CCCCCC" w:sz="1"/>
            </w:tcBorders>
            <w:shd w:fill="FBE4E4" w:val="clear"/>
            <w:vAlign w:val="center"/>
          </w:tcPr>
          <w:p>
            <w:pPr>
              <w:jc w:val="center"/>
            </w:pPr>
            <w:r>
              <w:rPr>
                <w:rFonts w:ascii="Arial" w:cs="Arial" w:eastAsia="Arial" w:hAnsi="Arial"/>
                <w:b/>
                <w:bCs/>
                <w:color w:val="C00000"/>
                <w:sz w:val="20"/>
                <w:szCs w:val="20"/>
              </w:rPr>
              <w:t xml:space="preserve">CRITICAL</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testimonial quote is explicitly marked as "(Illustrative — design partner testimonial)." While the honesty is admirable, a flagged fake testimonial actively undermines trust. It tells the reader: we don't have real customer validation yet, but we want you to imagine we do.</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the testimonial entirely until a real one exists. Replace with a value proposition callout or a data-driven claim. Example: a highlighted stat like "12 weeks to 2 weeks: the MRM documentation reduction our governance engine is designed to deliver." This makes the same point without fabricating social proof.</w:t>
            </w:r>
          </w:p>
        </w:tc>
      </w:tr>
      <w:tr>
        <w:tc>
          <w:tcPr>
            <w:tcW w:type="dxa" w:w="1200"/>
            <w:tcBorders>
              <w:top w:val="single" w:color="CCCCCC" w:sz="1"/>
              <w:left w:val="single" w:color="CCCCCC" w:sz="1"/>
              <w:bottom w:val="single" w:color="CCCCCC" w:sz="1"/>
              <w:right w:val="single" w:color="CCCCCC" w:sz="1"/>
            </w:tcBorders>
            <w:shd w:fill="FBE4E4" w:val="clear"/>
            <w:vAlign w:val="center"/>
          </w:tcPr>
          <w:p>
            <w:pPr>
              <w:jc w:val="center"/>
            </w:pPr>
            <w:r>
              <w:rPr>
                <w:rFonts w:ascii="Arial" w:cs="Arial" w:eastAsia="Arial" w:hAnsi="Arial"/>
                <w:b/>
                <w:bCs/>
                <w:color w:val="C00000"/>
                <w:sz w:val="20"/>
                <w:szCs w:val="20"/>
              </w:rPr>
              <w:t xml:space="preserve">CRITICAL</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Forrester TEI reference explicitly states Intellios does not have its own TEI study. Referencing a competitor's Forrester study (Microsoft Foundry) and noting it as a "benchmark framework" is likely to backfire with sophisticated enterprise buyers who will interpret it as borrowed credibility.</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 with Intellios-specific ROI modeling. Use the sourced statistics already on the page to build a simple TCO argument: "At $670K additional breach cost per shadow AI incident, governance pays for itself on the first prevented event." This is stronger because it uses the page's own cited data, not a competitor's analyst report.</w:t>
            </w:r>
          </w:p>
        </w:tc>
      </w:tr>
      <w:tr>
        <w:tc>
          <w:tcPr>
            <w:tcW w:type="dxa" w:w="1200"/>
            <w:tcBorders>
              <w:top w:val="single" w:color="CCCCCC" w:sz="1"/>
              <w:left w:val="single" w:color="CCCCCC" w:sz="1"/>
              <w:bottom w:val="single" w:color="CCCCCC" w:sz="1"/>
              <w:right w:val="single" w:color="CCCCCC" w:sz="1"/>
            </w:tcBorders>
            <w:shd w:fill="FFF2E0" w:val="clear"/>
            <w:vAlign w:val="center"/>
          </w:tcPr>
          <w:p>
            <w:pPr>
              <w:jc w:val="center"/>
            </w:pPr>
            <w:r>
              <w:rPr>
                <w:rFonts w:ascii="Arial" w:cs="Arial" w:eastAsia="Arial" w:hAnsi="Arial"/>
                <w:b/>
                <w:bCs/>
                <w:color w:val="E36C09"/>
                <w:sz w:val="20"/>
                <w:szCs w:val="20"/>
              </w:rPr>
              <w:t xml:space="preserve">HIGH</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compliance badges show SOC 2 Type II and ISO 27001 as "Planned" and FedRAMP as "Roadmap." For enterprise procurement, planned certifications have zero weight. Showing them alongside achieved alignments (SR 11-7, EU AI Act) creates a misleading equivalence.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Visually separate "achieved" from "in progress" certifications. Use solid badges for SR 11-7/EU AI Act/NIST AI RMF alignment and outlined/dimmed badges for planned certifications. Add expected completion dates for planned items.</w:t>
            </w:r>
          </w:p>
        </w:tc>
      </w:tr>
    </w:tbl>
    <w:p>
      <w:r>
        <w:br w:type="page"/>
      </w:r>
    </w:p>
    <w:p>
      <w:pPr>
        <w:pStyle w:val="Heading1"/>
      </w:pPr>
      <w:r>
        <w:t xml:space="preserve">6. Visual Design &amp; UX</w:t>
      </w:r>
    </w:p>
    <w:p>
      <w:pPr>
        <w:pStyle w:val="Heading2"/>
      </w:pPr>
      <w:r>
        <w:t xml:space="preserve">What Works</w:t>
      </w:r>
    </w:p>
    <w:p>
      <w:pPr>
        <w:pStyle w:val="ListParagraph"/>
        <w:numPr>
          <w:ilvl w:val="0"/>
          <w:numId w:val="2"/>
        </w:numPr>
        <w:spacing w:after="80"/>
      </w:pPr>
      <w:r>
        <w:rPr>
          <w:rFonts w:ascii="Arial" w:cs="Arial" w:eastAsia="Arial" w:hAnsi="Arial"/>
          <w:sz w:val="22"/>
          <w:szCs w:val="22"/>
        </w:rPr>
        <w:t xml:space="preserve">The indigo-violet color system is well-calibrated for enterprise B2B: professional, distinct, and not aggressive. It reads as both technical and trustworthy.</w:t>
      </w:r>
    </w:p>
    <w:p>
      <w:pPr>
        <w:pStyle w:val="ListParagraph"/>
        <w:numPr>
          <w:ilvl w:val="0"/>
          <w:numId w:val="2"/>
        </w:numPr>
        <w:spacing w:after="80"/>
      </w:pPr>
      <w:r>
        <w:rPr>
          <w:rFonts w:ascii="Arial" w:cs="Arial" w:eastAsia="Arial" w:hAnsi="Arial"/>
          <w:sz w:val="22"/>
          <w:szCs w:val="22"/>
        </w:rPr>
        <w:t xml:space="preserve">Typography hierarchy is clean with consistent use of tracking-tight on headlines and relaxed leading on body copy.</w:t>
      </w:r>
    </w:p>
    <w:p>
      <w:pPr>
        <w:pStyle w:val="ListParagraph"/>
        <w:numPr>
          <w:ilvl w:val="0"/>
          <w:numId w:val="2"/>
        </w:numPr>
        <w:spacing w:after="80"/>
      </w:pPr>
      <w:r>
        <w:rPr>
          <w:rFonts w:ascii="Arial" w:cs="Arial" w:eastAsia="Arial" w:hAnsi="Arial"/>
          <w:sz w:val="22"/>
          <w:szCs w:val="22"/>
        </w:rPr>
        <w:t xml:space="preserve">Dark mode support is comprehensive and well-implemented with proper contrast ratios on both surfaces.</w:t>
      </w:r>
    </w:p>
    <w:p>
      <w:pPr>
        <w:pStyle w:val="ListParagraph"/>
        <w:numPr>
          <w:ilvl w:val="0"/>
          <w:numId w:val="2"/>
        </w:numPr>
        <w:spacing w:after="80"/>
      </w:pPr>
      <w:r>
        <w:rPr>
          <w:rFonts w:ascii="Arial" w:cs="Arial" w:eastAsia="Arial" w:hAnsi="Arial"/>
          <w:sz w:val="22"/>
          <w:szCs w:val="22"/>
        </w:rPr>
        <w:t xml:space="preserve">Scroll reveal animations are tasteful (0.6s ease-out with staggered grid children) without being distracting.</w:t>
      </w:r>
    </w:p>
    <w:p>
      <w:pPr>
        <w:pStyle w:val="ListParagraph"/>
        <w:numPr>
          <w:ilvl w:val="0"/>
          <w:numId w:val="2"/>
        </w:numPr>
        <w:spacing w:after="80"/>
      </w:pPr>
      <w:r>
        <w:rPr>
          <w:rFonts w:ascii="Arial" w:cs="Arial" w:eastAsia="Arial" w:hAnsi="Arial"/>
          <w:sz w:val="22"/>
          <w:szCs w:val="22"/>
        </w:rPr>
        <w:t xml:space="preserve">Card hover effects (shadow elevation + border color shift) provide appropriate interactive feedback.</w:t>
      </w:r>
    </w:p>
    <w:p>
      <w:pPr>
        <w:pStyle w:val="Heading2"/>
      </w:pPr>
      <w:r>
        <w:t xml:space="preserve">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408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408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r>
      <w:tr>
        <w:tc>
          <w:tcPr>
            <w:tcW w:type="dxa" w:w="1200"/>
            <w:tcBorders>
              <w:top w:val="single" w:color="CCCCCC" w:sz="1"/>
              <w:left w:val="single" w:color="CCCCCC" w:sz="1"/>
              <w:bottom w:val="single" w:color="CCCCCC" w:sz="1"/>
              <w:right w:val="single" w:color="CCCCCC" w:sz="1"/>
            </w:tcBorders>
            <w:shd w:fill="FFF9E0" w:val="clear"/>
            <w:vAlign w:val="center"/>
          </w:tcPr>
          <w:p>
            <w:pPr>
              <w:jc w:val="center"/>
            </w:pPr>
            <w:r>
              <w:rPr>
                <w:rFonts w:ascii="Arial" w:cs="Arial" w:eastAsia="Arial" w:hAnsi="Arial"/>
                <w:b/>
                <w:bCs/>
                <w:color w:val="BF8F00"/>
                <w:sz w:val="20"/>
                <w:szCs w:val="20"/>
              </w:rPr>
              <w:t xml:space="preserve">MEDIUM</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persona cards have a high density of information (role, pain block, resolution block, supporting fact, source citation). At mobile widths, each card becomes very tall, creating an excessive scroll distance through this section.</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Consider a tabbed or accordion interaction for persona cards on mobile. Show the role + pain by default, with "See solution" expanding the resolution and supporting fact. This reduces initial visual weight while preserving all content.</w:t>
            </w:r>
          </w:p>
        </w:tc>
      </w:tr>
      <w:tr>
        <w:tc>
          <w:tcPr>
            <w:tcW w:type="dxa" w:w="1200"/>
            <w:tcBorders>
              <w:top w:val="single" w:color="CCCCCC" w:sz="1"/>
              <w:left w:val="single" w:color="CCCCCC" w:sz="1"/>
              <w:bottom w:val="single" w:color="CCCCCC" w:sz="1"/>
              <w:right w:val="single" w:color="CCCCCC" w:sz="1"/>
            </w:tcBorders>
            <w:shd w:fill="FFF9E0" w:val="clear"/>
            <w:vAlign w:val="center"/>
          </w:tcPr>
          <w:p>
            <w:pPr>
              <w:jc w:val="center"/>
            </w:pPr>
            <w:r>
              <w:rPr>
                <w:rFonts w:ascii="Arial" w:cs="Arial" w:eastAsia="Arial" w:hAnsi="Arial"/>
                <w:b/>
                <w:bCs/>
                <w:color w:val="BF8F00"/>
                <w:sz w:val="20"/>
                <w:szCs w:val="20"/>
              </w:rPr>
              <w:t xml:space="preserve">MEDIUM</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architecture diagram is built with inline CSS classes and hardcoded SVG, making it non-interactive and static. For an enterprise platform marketing page, the architecture is a key differentiator that deserves more visual investment.</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Consider upgrading to an interactive architecture diagram where hovering over each layer reveals a tooltip or expands with additional detail. Even a simple CSS animation (e.g., data flowing between layers) would make the architecture feel alive.</w:t>
            </w:r>
          </w:p>
        </w:tc>
      </w:tr>
      <w:tr>
        <w:tc>
          <w:tcPr>
            <w:tcW w:type="dxa" w:w="1200"/>
            <w:tcBorders>
              <w:top w:val="single" w:color="CCCCCC" w:sz="1"/>
              <w:left w:val="single" w:color="CCCCCC" w:sz="1"/>
              <w:bottom w:val="single" w:color="CCCCCC" w:sz="1"/>
              <w:right w:val="single" w:color="CCCCCC" w:sz="1"/>
            </w:tcBorders>
            <w:shd w:fill="E8F5E9" w:val="clear"/>
            <w:vAlign w:val="center"/>
          </w:tcPr>
          <w:p>
            <w:pPr>
              <w:jc w:val="center"/>
            </w:pPr>
            <w:r>
              <w:rPr>
                <w:rFonts w:ascii="Arial" w:cs="Arial" w:eastAsia="Arial" w:hAnsi="Arial"/>
                <w:b/>
                <w:bCs/>
                <w:color w:val="548235"/>
                <w:sz w:val="20"/>
                <w:szCs w:val="20"/>
              </w:rPr>
              <w:t xml:space="preserve">LOW</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mobile menu uses a simple toggle with no animation. It appears/disappears instantly, which feels abrupt compared to the smooth scroll reveal animations used elsewhere on the page.</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slide-down transition (max-height or transform animation) to the mobile menu panel to match the overall motion design language of the page.</w:t>
            </w:r>
          </w:p>
        </w:tc>
      </w:tr>
      <w:tr>
        <w:tc>
          <w:tcPr>
            <w:tcW w:type="dxa" w:w="1200"/>
            <w:tcBorders>
              <w:top w:val="single" w:color="CCCCCC" w:sz="1"/>
              <w:left w:val="single" w:color="CCCCCC" w:sz="1"/>
              <w:bottom w:val="single" w:color="CCCCCC" w:sz="1"/>
              <w:right w:val="single" w:color="CCCCCC" w:sz="1"/>
            </w:tcBorders>
            <w:shd w:fill="E8F5E9" w:val="clear"/>
            <w:vAlign w:val="center"/>
          </w:tcPr>
          <w:p>
            <w:pPr>
              <w:jc w:val="center"/>
            </w:pPr>
            <w:r>
              <w:rPr>
                <w:rFonts w:ascii="Arial" w:cs="Arial" w:eastAsia="Arial" w:hAnsi="Arial"/>
                <w:b/>
                <w:bCs/>
                <w:color w:val="548235"/>
                <w:sz w:val="20"/>
                <w:szCs w:val="20"/>
              </w:rPr>
              <w:t xml:space="preserve">LOW</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footer uses a 5-column grid that collapses to 2 columns on mobile, but many footer links point to "#" (About, Blog, Careers, Contact, Whitepaper, ROI Calculator, Case Studies, Privacy, Terms, Security). 13 of 16 footer links are dead.</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Either populate these links or reduce the footer to only functional links. A smaller, honest footer is better than an expansive one with dead links. Dead footer links are a negative quality signal for enterprise technical evaluators who systematically check link integrity.</w:t>
            </w:r>
          </w:p>
        </w:tc>
      </w:tr>
    </w:tbl>
    <w:p>
      <w:r>
        <w:br w:type="page"/>
      </w:r>
    </w:p>
    <w:p>
      <w:pPr>
        <w:pStyle w:val="Heading1"/>
      </w:pPr>
      <w:r>
        <w:t xml:space="preserve">7. Strategic Positioning</w:t>
      </w:r>
    </w:p>
    <w:p>
      <w:pPr>
        <w:pStyle w:val="Heading2"/>
      </w:pPr>
      <w:r>
        <w:t xml:space="preserve">What Works</w:t>
      </w:r>
    </w:p>
    <w:p>
      <w:pPr>
        <w:pStyle w:val="ListParagraph"/>
        <w:numPr>
          <w:ilvl w:val="0"/>
          <w:numId w:val="2"/>
        </w:numPr>
        <w:spacing w:after="80"/>
      </w:pPr>
      <w:r>
        <w:rPr>
          <w:rFonts w:ascii="Arial" w:cs="Arial" w:eastAsia="Arial" w:hAnsi="Arial"/>
          <w:sz w:val="22"/>
          <w:szCs w:val="22"/>
        </w:rPr>
        <w:t xml:space="preserve">The "governed control plane" positioning is excellent category creation. It establishes Intellios as a new layer in the enterprise AI stack rather than competing in an existing category.</w:t>
      </w:r>
    </w:p>
    <w:p>
      <w:pPr>
        <w:pStyle w:val="ListParagraph"/>
        <w:numPr>
          <w:ilvl w:val="0"/>
          <w:numId w:val="2"/>
        </w:numPr>
        <w:spacing w:after="80"/>
      </w:pPr>
      <w:r>
        <w:rPr>
          <w:rFonts w:ascii="Arial" w:cs="Arial" w:eastAsia="Arial" w:hAnsi="Arial"/>
          <w:sz w:val="22"/>
          <w:szCs w:val="22"/>
        </w:rPr>
        <w:t xml:space="preserve">Runtime-agnostic positioning ("sits above your cloud runtimes") avoids vendor lock-in concerns and broadens the addressable market.</w:t>
      </w:r>
    </w:p>
    <w:p>
      <w:pPr>
        <w:pStyle w:val="ListParagraph"/>
        <w:numPr>
          <w:ilvl w:val="0"/>
          <w:numId w:val="2"/>
        </w:numPr>
        <w:spacing w:after="80"/>
      </w:pPr>
      <w:r>
        <w:rPr>
          <w:rFonts w:ascii="Arial" w:cs="Arial" w:eastAsia="Arial" w:hAnsi="Arial"/>
          <w:sz w:val="22"/>
          <w:szCs w:val="22"/>
        </w:rPr>
        <w:t xml:space="preserve">The "vs." differentiation cards correctly identify the three alternatives buyers will evaluate: build, cloud-native tools alone, and point solutions.</w:t>
      </w:r>
    </w:p>
    <w:p>
      <w:pPr>
        <w:pStyle w:val="ListParagraph"/>
        <w:numPr>
          <w:ilvl w:val="0"/>
          <w:numId w:val="2"/>
        </w:numPr>
        <w:spacing w:after="80"/>
      </w:pPr>
      <w:r>
        <w:rPr>
          <w:rFonts w:ascii="Arial" w:cs="Arial" w:eastAsia="Arial" w:hAnsi="Arial"/>
          <w:sz w:val="22"/>
          <w:szCs w:val="22"/>
        </w:rPr>
        <w:t xml:space="preserve">Regulatory framing leads with pain that is board-level and audit-committee-level, which is the right altitude for enterprise selling.</w:t>
      </w:r>
    </w:p>
    <w:p>
      <w:pPr>
        <w:pStyle w:val="Heading2"/>
      </w:pPr>
      <w:r>
        <w:t xml:space="preserve">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408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408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r>
      <w:tr>
        <w:tc>
          <w:tcPr>
            <w:tcW w:type="dxa" w:w="1200"/>
            <w:tcBorders>
              <w:top w:val="single" w:color="CCCCCC" w:sz="1"/>
              <w:left w:val="single" w:color="CCCCCC" w:sz="1"/>
              <w:bottom w:val="single" w:color="CCCCCC" w:sz="1"/>
              <w:right w:val="single" w:color="CCCCCC" w:sz="1"/>
            </w:tcBorders>
            <w:shd w:fill="FFF2E0" w:val="clear"/>
            <w:vAlign w:val="center"/>
          </w:tcPr>
          <w:p>
            <w:pPr>
              <w:jc w:val="center"/>
            </w:pPr>
            <w:r>
              <w:rPr>
                <w:rFonts w:ascii="Arial" w:cs="Arial" w:eastAsia="Arial" w:hAnsi="Arial"/>
                <w:b/>
                <w:bCs/>
                <w:color w:val="E36C09"/>
                <w:sz w:val="20"/>
                <w:szCs w:val="20"/>
              </w:rPr>
              <w:t xml:space="preserve">HIGH</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page does not address the competitive landscape directly. Enterprise buyers will compare Intellios against emerging governance offerings from Arize, Arthur AI, Weights &amp; Biases, and the cloud providers' own governance features. The "vs." section addresses categories but not specific competitors.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Consider adding a "Landscape" section or at minimum addressing why the cloud providers' built-in governance capabilities (e.g., AWS Guardrails, Azure AI Content Safety) are insufficient. The runtime adapter architecture is the key differentiator here but the page doesn't make this competitive argument explicitly.</w:t>
            </w:r>
          </w:p>
        </w:tc>
      </w:tr>
      <w:tr>
        <w:tc>
          <w:tcPr>
            <w:tcW w:type="dxa" w:w="1200"/>
            <w:tcBorders>
              <w:top w:val="single" w:color="CCCCCC" w:sz="1"/>
              <w:left w:val="single" w:color="CCCCCC" w:sz="1"/>
              <w:bottom w:val="single" w:color="CCCCCC" w:sz="1"/>
              <w:right w:val="single" w:color="CCCCCC" w:sz="1"/>
            </w:tcBorders>
            <w:shd w:fill="FFF2E0" w:val="clear"/>
            <w:vAlign w:val="center"/>
          </w:tcPr>
          <w:p>
            <w:pPr>
              <w:jc w:val="center"/>
            </w:pPr>
            <w:r>
              <w:rPr>
                <w:rFonts w:ascii="Arial" w:cs="Arial" w:eastAsia="Arial" w:hAnsi="Arial"/>
                <w:b/>
                <w:bCs/>
                <w:color w:val="E36C09"/>
                <w:sz w:val="20"/>
                <w:szCs w:val="20"/>
              </w:rPr>
              <w:t xml:space="preserve">HIGH</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white-label capability, which is a core architectural differentiator per the product spec, is mentioned only once in the footer tagline. Enterprise buyers evaluating platforms for multi-tenant or partner-facing deployment would miss this entirely.</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white-label is a real differentiator, it deserves its own section or at minimum a prominent callout in the Pillars or Differentiation section. For regulated enterprises with partner ecosystems, white-label governance is a powerful positioning point.</w:t>
            </w:r>
          </w:p>
        </w:tc>
      </w:tr>
      <w:tr>
        <w:tc>
          <w:tcPr>
            <w:tcW w:type="dxa" w:w="1200"/>
            <w:tcBorders>
              <w:top w:val="single" w:color="CCCCCC" w:sz="1"/>
              <w:left w:val="single" w:color="CCCCCC" w:sz="1"/>
              <w:bottom w:val="single" w:color="CCCCCC" w:sz="1"/>
              <w:right w:val="single" w:color="CCCCCC" w:sz="1"/>
            </w:tcBorders>
            <w:shd w:fill="FFF9E0" w:val="clear"/>
            <w:vAlign w:val="center"/>
          </w:tcPr>
          <w:p>
            <w:pPr>
              <w:jc w:val="center"/>
            </w:pPr>
            <w:r>
              <w:rPr>
                <w:rFonts w:ascii="Arial" w:cs="Arial" w:eastAsia="Arial" w:hAnsi="Arial"/>
                <w:b/>
                <w:bCs/>
                <w:color w:val="BF8F00"/>
                <w:sz w:val="20"/>
                <w:szCs w:val="20"/>
              </w:rPr>
              <w:t xml:space="preserve">MEDIUM</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page heavily targets financial services and healthcare but doesn't mention insurance, energy, or defense/federal sectors, which also face AI governance mandates. The addressable market appears narrower than it likely is.</w:t>
            </w:r>
          </w:p>
        </w:tc>
        <w:tc>
          <w:tcPr>
            <w:tcW w:type="dxa" w:w="4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Broaden vertical mentions to include insurance (already in the modal copy), energy/utilities (NERC CIP), and federal/defense (NIST AI RMF is already cited but not connected to federal procurement). This expands perceived TAM without diluting the core message.</w:t>
            </w:r>
          </w:p>
        </w:tc>
      </w:tr>
    </w:tbl>
    <w:p>
      <w:r>
        <w:br w:type="page"/>
      </w:r>
    </w:p>
    <w:p>
      <w:pPr>
        <w:pStyle w:val="Heading1"/>
      </w:pPr>
      <w:r>
        <w:t xml:space="preserve">Quick Wins (Implement This Week)</w:t>
      </w:r>
    </w:p>
    <w:p>
      <w:pPr>
        <w:pStyle w:val="ListParagraph"/>
        <w:numPr>
          <w:ilvl w:val="0"/>
          <w:numId w:val="3"/>
        </w:numPr>
        <w:spacing w:after="100"/>
      </w:pPr>
      <w:r>
        <w:rPr>
          <w:rFonts w:ascii="Arial" w:cs="Arial" w:eastAsia="Arial" w:hAnsi="Arial"/>
          <w:b/>
          <w:bCs/>
          <w:sz w:val="22"/>
          <w:szCs w:val="22"/>
        </w:rPr>
        <w:t xml:space="preserve">Remove placeholder logos and fake testimonial. </w:t>
      </w:r>
      <w:r>
        <w:rPr>
          <w:rFonts w:ascii="Arial" w:cs="Arial" w:eastAsia="Arial" w:hAnsi="Arial"/>
          <w:sz w:val="22"/>
          <w:szCs w:val="22"/>
        </w:rPr>
        <w:t xml:space="preserve">These are the two most damaging elements on the page. Replace with honest alternatives (design partner framing, data-driven callout) or remove entirely. Estimated impact: eliminates the #1 trust objection.</w:t>
      </w:r>
    </w:p>
    <w:p>
      <w:pPr>
        <w:pStyle w:val="ListParagraph"/>
        <w:numPr>
          <w:ilvl w:val="0"/>
          <w:numId w:val="3"/>
        </w:numPr>
        <w:spacing w:after="100"/>
      </w:pPr>
      <w:r>
        <w:rPr>
          <w:rFonts w:ascii="Arial" w:cs="Arial" w:eastAsia="Arial" w:hAnsi="Arial"/>
          <w:b/>
          <w:bCs/>
          <w:sz w:val="22"/>
          <w:szCs w:val="22"/>
        </w:rPr>
        <w:t xml:space="preserve">Fix dead CTA links. </w:t>
      </w:r>
      <w:r>
        <w:rPr>
          <w:rFonts w:ascii="Arial" w:cs="Arial" w:eastAsia="Arial" w:hAnsi="Arial"/>
          <w:sz w:val="22"/>
          <w:szCs w:val="22"/>
        </w:rPr>
        <w:t xml:space="preserve">Wire "Talk to Sales" to a meeting scheduler or mailto. Fix the whitepaper download or remove it. Dead CTAs on a marketing page are conversion killers. Estimated impact: captures high-intent visitors who currently hit dead ends.</w:t>
      </w:r>
    </w:p>
    <w:p>
      <w:pPr>
        <w:pStyle w:val="ListParagraph"/>
        <w:numPr>
          <w:ilvl w:val="0"/>
          <w:numId w:val="3"/>
        </w:numPr>
        <w:spacing w:after="100"/>
      </w:pPr>
      <w:r>
        <w:rPr>
          <w:rFonts w:ascii="Arial" w:cs="Arial" w:eastAsia="Arial" w:hAnsi="Arial"/>
          <w:b/>
          <w:bCs/>
          <w:sz w:val="22"/>
          <w:szCs w:val="22"/>
        </w:rPr>
        <w:t xml:space="preserve">Align CTA copy with modal action. </w:t>
      </w:r>
      <w:r>
        <w:rPr>
          <w:rFonts w:ascii="Arial" w:cs="Arial" w:eastAsia="Arial" w:hAnsi="Arial"/>
          <w:sz w:val="22"/>
          <w:szCs w:val="22"/>
        </w:rPr>
        <w:t xml:space="preserve">Change "Request a Demo" to "Request Early Access" (or add real demo scheduling). Expectation mismatches erode trust at the exact moment of conversion. Estimated impact: reduces form abandonment from confused visitors.</w:t>
      </w:r>
    </w:p>
    <w:p>
      <w:pPr>
        <w:pStyle w:val="ListParagraph"/>
        <w:numPr>
          <w:ilvl w:val="0"/>
          <w:numId w:val="3"/>
        </w:numPr>
        <w:spacing w:after="100"/>
      </w:pPr>
      <w:r>
        <w:rPr>
          <w:rFonts w:ascii="Arial" w:cs="Arial" w:eastAsia="Arial" w:hAnsi="Arial"/>
          <w:b/>
          <w:bCs/>
          <w:sz w:val="22"/>
          <w:szCs w:val="22"/>
        </w:rPr>
        <w:t xml:space="preserve">Remove the Forrester TEI reference. </w:t>
      </w:r>
      <w:r>
        <w:rPr>
          <w:rFonts w:ascii="Arial" w:cs="Arial" w:eastAsia="Arial" w:hAnsi="Arial"/>
          <w:sz w:val="22"/>
          <w:szCs w:val="22"/>
        </w:rPr>
        <w:t xml:space="preserve">Replace with Intellios-specific ROI modeling built from the page's own cited statistics. Borrowed analyst credibility from a competitor's study is worse than no analyst reference. Estimated impact: strengthens ROI section from a liability to an asset.</w:t>
      </w:r>
    </w:p>
    <w:p>
      <w:pPr>
        <w:pStyle w:val="ListParagraph"/>
        <w:numPr>
          <w:ilvl w:val="0"/>
          <w:numId w:val="3"/>
        </w:numPr>
        <w:spacing w:after="100"/>
      </w:pPr>
      <w:r>
        <w:rPr>
          <w:rFonts w:ascii="Arial" w:cs="Arial" w:eastAsia="Arial" w:hAnsi="Arial"/>
          <w:b/>
          <w:bCs/>
          <w:sz w:val="22"/>
          <w:szCs w:val="22"/>
        </w:rPr>
        <w:t xml:space="preserve">Clean up dead footer links. </w:t>
      </w:r>
      <w:r>
        <w:rPr>
          <w:rFonts w:ascii="Arial" w:cs="Arial" w:eastAsia="Arial" w:hAnsi="Arial"/>
          <w:sz w:val="22"/>
          <w:szCs w:val="22"/>
        </w:rPr>
        <w:t xml:space="preserve">Reduce footer to only functional links. 13 of 16 dead links is a negative quality signal that enterprise technical evaluators will flag. Estimated impact: eliminates a low-hanging credibility concern.</w:t>
      </w:r>
    </w:p>
    <w:p>
      <w:pPr>
        <w:pStyle w:val="Heading1"/>
      </w:pPr>
      <w:r>
        <w:t xml:space="preserve">High-Impact Recommendations (Next 30 Days)</w:t>
      </w:r>
    </w:p>
    <w:p>
      <w:pPr>
        <w:pStyle w:val="ListParagraph"/>
        <w:numPr>
          <w:ilvl w:val="0"/>
          <w:numId w:val="3"/>
        </w:numPr>
        <w:spacing w:after="100"/>
      </w:pPr>
      <w:r>
        <w:rPr>
          <w:rFonts w:ascii="Arial" w:cs="Arial" w:eastAsia="Arial" w:hAnsi="Arial"/>
          <w:b/>
          <w:bCs/>
          <w:sz w:val="22"/>
          <w:szCs w:val="22"/>
        </w:rPr>
        <w:t xml:space="preserve">Add a product visualization to the hero. </w:t>
      </w:r>
      <w:r>
        <w:rPr>
          <w:rFonts w:ascii="Arial" w:cs="Arial" w:eastAsia="Arial" w:hAnsi="Arial"/>
          <w:sz w:val="22"/>
          <w:szCs w:val="22"/>
        </w:rPr>
        <w:t xml:space="preserve">A screenshot, mockup, or animated preview of the governance dashboard transforms the page from vaporware-adjacent to product-led. This is the single highest-impact change for perceived product maturity.</w:t>
      </w:r>
    </w:p>
    <w:p>
      <w:pPr>
        <w:pStyle w:val="ListParagraph"/>
        <w:numPr>
          <w:ilvl w:val="0"/>
          <w:numId w:val="3"/>
        </w:numPr>
        <w:spacing w:after="100"/>
      </w:pPr>
      <w:r>
        <w:rPr>
          <w:rFonts w:ascii="Arial" w:cs="Arial" w:eastAsia="Arial" w:hAnsi="Arial"/>
          <w:b/>
          <w:bCs/>
          <w:sz w:val="22"/>
          <w:szCs w:val="22"/>
        </w:rPr>
        <w:t xml:space="preserve">Secure 2-3 design partner testimonials. </w:t>
      </w:r>
      <w:r>
        <w:rPr>
          <w:rFonts w:ascii="Arial" w:cs="Arial" w:eastAsia="Arial" w:hAnsi="Arial"/>
          <w:sz w:val="22"/>
          <w:szCs w:val="22"/>
        </w:rPr>
        <w:t xml:space="preserve">Even anonymized quotes with company type and persona ("VP of Model Risk, Top-10 US Bank") are dramatically more credible than placeholder logos or illustrative quotes.</w:t>
      </w:r>
    </w:p>
    <w:p>
      <w:pPr>
        <w:pStyle w:val="ListParagraph"/>
        <w:numPr>
          <w:ilvl w:val="0"/>
          <w:numId w:val="3"/>
        </w:numPr>
        <w:spacing w:after="100"/>
      </w:pPr>
      <w:r>
        <w:rPr>
          <w:rFonts w:ascii="Arial" w:cs="Arial" w:eastAsia="Arial" w:hAnsi="Arial"/>
          <w:b/>
          <w:bCs/>
          <w:sz w:val="22"/>
          <w:szCs w:val="22"/>
        </w:rPr>
        <w:t xml:space="preserve">Add a mid-page CTA after the Personas section. </w:t>
      </w:r>
      <w:r>
        <w:rPr>
          <w:rFonts w:ascii="Arial" w:cs="Arial" w:eastAsia="Arial" w:hAnsi="Arial"/>
          <w:sz w:val="22"/>
          <w:szCs w:val="22"/>
        </w:rPr>
        <w:t xml:space="preserve">Readers who identify with a persona card are at peak motivation. Capture them before the persuasion curve flattens through the remaining sections.</w:t>
      </w:r>
    </w:p>
    <w:p>
      <w:pPr>
        <w:pStyle w:val="ListParagraph"/>
        <w:numPr>
          <w:ilvl w:val="0"/>
          <w:numId w:val="3"/>
        </w:numPr>
        <w:spacing w:after="100"/>
      </w:pPr>
      <w:r>
        <w:rPr>
          <w:rFonts w:ascii="Arial" w:cs="Arial" w:eastAsia="Arial" w:hAnsi="Arial"/>
          <w:b/>
          <w:bCs/>
          <w:sz w:val="22"/>
          <w:szCs w:val="22"/>
        </w:rPr>
        <w:t xml:space="preserve">Elevate white-label positioning. </w:t>
      </w:r>
      <w:r>
        <w:rPr>
          <w:rFonts w:ascii="Arial" w:cs="Arial" w:eastAsia="Arial" w:hAnsi="Arial"/>
          <w:sz w:val="22"/>
          <w:szCs w:val="22"/>
        </w:rPr>
        <w:t xml:space="preserve">If white-label is a real differentiator, it should appear in the Pillars or Differentiation section, not buried in the footer. For enterprises with partner ecosystems, this could be the deciding factor.</w:t>
      </w:r>
    </w:p>
    <w:p>
      <w:r>
        <w:br w:type="page"/>
      </w:r>
    </w:p>
    <w:p>
      <w:pPr>
        <w:pStyle w:val="Heading1"/>
      </w:pPr>
      <w:r>
        <w:t xml:space="preserve">Overall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4680"/>
            <w:tcBorders>
              <w:top w:val="single" w:color="CCCCCC" w:sz="1"/>
              <w:left w:val="single" w:color="CCCCCC" w:sz="1"/>
              <w:bottom w:val="single" w:color="CCCCCC" w:sz="1"/>
              <w:right w:val="single" w:color="CCCCCC" w:sz="1"/>
            </w:tcBorders>
            <w:shd w:fill="2E34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First Impression &amp; Hero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 / 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Messaging &amp; Copy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 / 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Structure &amp; Information Architecture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 / 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CTAs &amp; Conversion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 / 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Trust &amp; Credibility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 / 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Visual Design &amp; UX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 / 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Strategic Positioning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 / 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OVERALL</w:t>
            </w:r>
          </w:p>
        </w:tc>
        <w:tc>
          <w:tcPr>
            <w:tcW w:type="dxa" w:w="468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pPr>
              <w:jc w:val="center"/>
            </w:pPr>
            <w:r>
              <w:rPr>
                <w:rFonts w:ascii="Arial" w:cs="Arial" w:eastAsia="Arial" w:hAnsi="Arial"/>
                <w:b/>
                <w:bCs/>
                <w:sz w:val="20"/>
                <w:szCs w:val="20"/>
              </w:rPr>
              <w:t xml:space="preserve">6.6 / 10</w:t>
            </w:r>
          </w:p>
        </w:tc>
      </w:tr>
    </w:tbl>
    <w:p>
      <w:pPr>
        <w:spacing w:before="200"/>
      </w:pPr>
    </w:p>
    <w:p>
      <w:pPr>
        <w:spacing w:after="120"/>
      </w:pPr>
      <w:r>
        <w:rPr>
          <w:rFonts w:ascii="Arial" w:cs="Arial" w:eastAsia="Arial" w:hAnsi="Arial"/>
          <w:sz w:val="22"/>
          <w:szCs w:val="22"/>
        </w:rPr>
        <w:t xml:space="preserve">The page is strong on messaging, visual design, and strategic positioning. Its primary weakness is credibility infrastructure: placeholder trust signals, dead links, and borrowed third-party validation. Addressing the 3 critical findings and 5 quick wins would likely move the overall score to 8+/10 within a single sprint.</w:t>
      </w:r>
    </w:p>
    <w:p>
      <w:pPr>
        <w:spacing w:after="120"/>
      </w:pPr>
      <w:r>
        <w:rPr>
          <w:rFonts w:ascii="Arial" w:cs="Arial" w:eastAsia="Arial" w:hAnsi="Arial"/>
          <w:b/>
          <w:bCs/>
          <w:sz w:val="22"/>
          <w:szCs w:val="22"/>
        </w:rPr>
        <w:t xml:space="preserve">Bottom line: </w:t>
      </w:r>
      <w:r>
        <w:rPr>
          <w:rFonts w:ascii="Arial" w:cs="Arial" w:eastAsia="Arial" w:hAnsi="Arial"/>
          <w:sz w:val="22"/>
          <w:szCs w:val="22"/>
        </w:rPr>
        <w:t xml:space="preserve">The narrative is right. The design is right. The positioning is right. What's missing is the evidence layer that makes enterprise buyers believe it. Fix the trust signals and this page is ready for market.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jc w:val="center"/>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color w:val="9CA3AF"/>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jc w:val="right"/>
    </w:pPr>
    <w:r>
      <w:rPr>
        <w:rFonts w:ascii="Arial" w:cs="Arial" w:eastAsia="Arial" w:hAnsi="Arial"/>
        <w:color w:val="9CA3AF"/>
        <w:sz w:val="16"/>
        <w:szCs w:val="16"/>
      </w:rPr>
      <w:t xml:space="preserve">INTELLIOS  |  Marketing Page Audit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74151"/>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2026-04-05T18:55:44.412Z</dcterms:created>
  <dcterms:modified xsi:type="dcterms:W3CDTF">2026-04-05T18:55:44.412Z</dcterms:modified>
</cp:coreProperties>
</file>

<file path=docProps/custom.xml><?xml version="1.0" encoding="utf-8"?>
<Properties xmlns="http://schemas.openxmlformats.org/officeDocument/2006/custom-properties" xmlns:vt="http://schemas.openxmlformats.org/officeDocument/2006/docPropsVTypes"/>
</file>