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4F46E5"/>
          <w:sz w:val="56"/>
          <w:szCs w:val="56"/>
        </w:rPr>
        <w:t xml:space="preserve">INTELLIOS</w:t>
      </w:r>
    </w:p>
    <w:p>
      <w:pPr>
        <w:spacing w:after="100"/>
        <w:jc w:val="center"/>
      </w:pPr>
      <w:r>
        <w:rPr>
          <w:b/>
          <w:bCs/>
          <w:color w:val="1A1A2E"/>
          <w:sz w:val="44"/>
          <w:szCs w:val="44"/>
        </w:rPr>
        <w:t xml:space="preserve">UX/UI PRODUCT AUDIT</w:t>
      </w:r>
    </w:p>
    <w:p>
      <w:pPr>
        <w:pBdr>
          <w:bottom w:val="single" w:color="4F46E5" w:sz="6" w:space="8"/>
        </w:pBdr>
        <w:spacing w:after="600"/>
        <w:jc w:val="center"/>
      </w:pPr>
      <w:r>
        <w:rPr>
          <w:i/>
          <w:iCs/>
          <w:color w:val="7F8C8D"/>
          <w:sz w:val="24"/>
          <w:szCs w:val="24"/>
        </w:rPr>
        <w:t xml:space="preserve">Enterprise Agent Factory</w:t>
      </w:r>
    </w:p>
    <w:p>
      <w:pPr>
        <w:spacing w:after="200"/>
      </w:pPr>
    </w:p>
    <w:p>
      <w:pPr>
        <w:spacing w:after="80"/>
        <w:jc w:val="center"/>
      </w:pPr>
      <w:r>
        <w:rPr>
          <w:color w:val="555555"/>
          <w:sz w:val="24"/>
          <w:szCs w:val="24"/>
        </w:rPr>
        <w:t xml:space="preserve">Comprehensive 10-Pass Evaluation</w:t>
      </w:r>
    </w:p>
    <w:p>
      <w:pPr>
        <w:spacing w:after="80"/>
        <w:jc w:val="center"/>
      </w:pPr>
      <w:r>
        <w:rPr>
          <w:color w:val="555555"/>
          <w:sz w:val="24"/>
          <w:szCs w:val="24"/>
        </w:rPr>
        <w:t xml:space="preserve">April 5, 2026</w:t>
      </w:r>
    </w:p>
    <w:p>
      <w:pPr>
        <w:spacing w:after="80"/>
        <w:jc w:val="center"/>
      </w:pPr>
      <w:r>
        <w:rPr>
          <w:color w:val="555555"/>
          <w:sz w:val="24"/>
          <w:szCs w:val="24"/>
        </w:rPr>
        <w:t xml:space="preserve">Prepared for Samy Hamad</w:t>
      </w:r>
    </w:p>
    <w:p>
      <w:pPr>
        <w:spacing w:after="80"/>
        <w:jc w:val="center"/>
      </w:pPr>
      <w:r>
        <w:rPr>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60" w:before="240"/>
      </w:pPr>
      <w:r>
        <w:t xml:space="preserve">EXECUTIVE SUMMARY</w:t>
      </w:r>
    </w:p>
    <w:p>
      <w:pPr>
        <w:spacing w:after="120"/>
      </w:pPr>
      <w:r>
        <w:t xml:space="preserve">Intellios is an ambitious and well-architected enterprise AI agent factory targeting regulated industries. The product demonstrates strong foundational design decisions: a coherent indigo-violet brand palette, a thoughtful role-based navigation model that adapts the entire interface to five distinct user personas, and an intentionally-designed design token system that enables consistent theming across 20+ screens. The Catalyst component library provides a solid accessible baseline, and the team has invested meaningfully in empty states, loading skeletons, and error handling across the product.</w:t>
      </w:r>
    </w:p>
    <w:p>
      <w:pPr>
        <w:spacing w:after="120"/>
      </w:pPr>
      <w:r>
        <w:t xml:space="preserve">The single most damaging UX problem is the cognitive overhead created by the product’s navigation depth and terminology opacity. Intellios exposes 16–20 sidebar items organized into 4 sections, uses domain-specific labels like “Governor,” “Design Studio,” and “Pipeline Board” that require prior knowledge, and maintains two parallel governance interfaces (the main Governance section and the separate Governor module) that overlap in function but differ in scope. A new enterprise user arriving at this product after purchasing it would struggle to build a mental model of how the subsystems connect.</w:t>
      </w:r>
    </w:p>
    <w:p>
      <w:pPr>
        <w:spacing w:after="120"/>
      </w:pPr>
      <w:r>
        <w:t xml:space="preserve">The highest-leverage improvement would be simplifying the navigation structure by consolidating overlapping governance surfaces, adding contextual wayfinding (breadcrumbs and progress indicators on every screen), and replacing jargon-heavy labels with task-oriented language. This single initiative would simultaneously improve orientation speed, reduce the learning curve, and increase the discoverability of high-value features that are currently buried.</w:t>
      </w:r>
    </w:p>
    <w:p>
      <w:pPr>
        <w:spacing w:after="120"/>
      </w:pPr>
      <w:r>
        <w:t xml:space="preserve">The product is designed for enterprise AI governance teams—architects who design agents, reviewers who approve them, and compliance officers who enforce policies. The interface serves architects well through the intake-to-blueprint flow, but underserves compliance officers by fragmenting their workflow across multiple navigation destinations and providing dashboards that report metrics without actionable next steps.</w:t>
      </w:r>
    </w:p>
    <w:p>
      <w:pPr>
        <w:pStyle w:val="Heading1"/>
        <w:spacing w:after="160" w:before="240"/>
      </w:pPr>
      <w: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Score</w:t>
            </w:r>
          </w:p>
        </w:tc>
        <w:tc>
          <w:tcPr>
            <w:tcW w:type="dxa" w:w="52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Clarity &amp; Orientation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6/10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Role-based views are smart, but jargon-heavy labels and parallel governance UIs create confusion for new users</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Value Delivery</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7/10</w:t>
            </w:r>
          </w:p>
        </w:tc>
        <w:tc>
          <w:tcPr>
            <w:tcW w:type="dxa" w:w="5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Core intake-to-blueprint flow delivers value well; governance dashboards show metrics but lack actionable drill-downs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Ease of Use &amp; Efficiency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6/10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Strong command palette (Cmd+K) and keyboard shortcuts; but deep nav hierarchy and modal-heavy workflows add friction</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Actionability &amp; CTAs</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7/10</w:t>
            </w:r>
          </w:p>
        </w:tc>
        <w:tc>
          <w:tcPr>
            <w:tcW w:type="dxa" w:w="5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Good use of contextual action queues on home screen; some screens lack clear primary CTAs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Visual Design &amp; Consistency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8/10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Excellent design token system; minor inconsistencies between Catalyst and ui/ component usage</w:t>
            </w:r>
          </w:p>
        </w:tc>
      </w:tr>
      <w:tr>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Accessibility</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7/10</w:t>
            </w:r>
          </w:p>
        </w:tc>
        <w:tc>
          <w:tcPr>
            <w:tcW w:type="dxa" w:w="5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ARIA landmarks present, role-based focus management; some color-only status indicators need secondary encoding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Overall Product UX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6.5/10</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Strong technical foundation with a polished design system; hampered by navigation complexity and terminology barrier</w:t>
            </w:r>
          </w:p>
        </w:tc>
      </w:tr>
    </w:tbl>
    <w:p>
      <w:r>
        <w:br w:type="page"/>
      </w:r>
    </w:p>
    <w:p>
      <w:pPr>
        <w:pStyle w:val="Heading1"/>
        <w:spacing w:after="160" w:before="240"/>
      </w:pPr>
      <w:r>
        <w:t xml:space="preserve">FIRST-CONTACT TEST RESULTS</w:t>
      </w:r>
    </w:p>
    <w:p>
      <w:pPr>
        <w:spacing w:after="120"/>
      </w:pPr>
      <w:r>
        <w:t xml:space="preserve">For each screen, I simulated a first-time user arriving cold and evaluated whether three questions could be answered within 3 seconds: (1) Where am I? (2) What can I do? (3) How do I navigate away?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1800"/>
        <w:gridCol w:w="2260"/>
        <w:gridCol w:w="280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Screen</w:t>
            </w:r>
          </w:p>
        </w:tc>
        <w:tc>
          <w:tcPr>
            <w:tcW w:type="dxa" w:w="7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Where Am I?</w:t>
            </w:r>
          </w:p>
        </w:tc>
        <w:tc>
          <w:tcPr>
            <w:tcW w:type="dxa" w:w="22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What Can I Do?</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Navigate Away?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Home (Architect)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“My Work” heading</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4 quick-action cards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sidebar visible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Home (Reviewer)</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2/3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Partial – “Review Queue” misleads (it’s the home page)</w:t>
            </w:r>
          </w:p>
        </w:tc>
        <w:tc>
          <w:tcPr>
            <w:tcW w:type="dxa" w:w="2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 – queue count + CTA</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Design Studio (list)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clear title + badge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New Intake button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Intake Session</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2/3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Partial – breadcrumb helps but domain strip is dense</w:t>
            </w:r>
          </w:p>
        </w:tc>
        <w:tc>
          <w:tcPr>
            <w:tcW w:type="dxa" w:w="2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 – chat input obvious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Partial – breadcrumb but no back button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Blueprints List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“Blueprint Studio” title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search + filter tabs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Blueprint Detail</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2/3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Partial – breadcrumb present, but section stepper overwhelming</w:t>
            </w:r>
          </w:p>
        </w:tc>
        <w:tc>
          <w:tcPr>
            <w:tcW w:type="dxa" w:w="2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Partial – too many tabs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Registry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“Agent Registry” clear</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tabs + search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Review Queue</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 – clear heading + count</w:t>
            </w:r>
          </w:p>
        </w:tc>
        <w:tc>
          <w:tcPr>
            <w:tcW w:type="dxa" w:w="2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 – items are clickable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Governance Hub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titled</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Partial – multiple sections compete for attention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Governor Module</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1/3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No – “Governor” label is opaque</w:t>
            </w:r>
          </w:p>
        </w:tc>
        <w:tc>
          <w:tcPr>
            <w:tcW w:type="dxa" w:w="2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Partial – sidebar items unclear</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Partial – separate sidebar, disorienting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Pipeline Board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Kanban layout is self-explanatory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visual column CTAs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Deploy</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 – “Deploy to Production”</w:t>
            </w:r>
          </w:p>
        </w:tc>
        <w:tc>
          <w:tcPr>
            <w:tcW w:type="dxa" w:w="2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 – deploy buttons per agent</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Monitor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“Agent Monitoring”</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health cards + filter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Compliance</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2/3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 – “Compliance Posture”</w:t>
            </w:r>
          </w:p>
        </w:tc>
        <w:tc>
          <w:tcPr>
            <w:tcW w:type="dxa" w:w="2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Partial – many tables, unclear primary action</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Audit Trail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clear heading + filters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search + export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Dashboard</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2/3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w:t>
            </w:r>
          </w:p>
        </w:tc>
        <w:tc>
          <w:tcPr>
            <w:tcW w:type="dxa" w:w="2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Partial – KPIs show data but lack next-step guidance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Login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branded, clear form</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Yes – sign in form obvious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N/A</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Welcome</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3/3</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 – personalized greeting</w:t>
            </w:r>
          </w:p>
        </w:tc>
        <w:tc>
          <w:tcPr>
            <w:tcW w:type="dxa" w:w="22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 – role-specific CTA</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Yes</w:t>
            </w:r>
          </w:p>
        </w:tc>
      </w:tr>
    </w:tbl>
    <w:p>
      <w:pPr>
        <w:spacing w:after="80"/>
      </w:pPr>
    </w:p>
    <w:p>
      <w:pPr>
        <w:spacing w:after="120"/>
      </w:pPr>
      <w:r>
        <w:rPr>
          <w:b/>
          <w:bCs/>
        </w:rPr>
        <w:t xml:space="preserve">Average: 2.5/3.</w:t>
      </w:r>
      <w:r>
        <w:t xml:space="preserve"> The product orients users well on most screens, but the Governor module and data-heavy screens (Compliance, Dashboard, Blueprint Detail) create cognitive overload at first contact.</w:t>
      </w:r>
    </w:p>
    <w:p>
      <w:r>
        <w:br w:type="page"/>
      </w:r>
    </w:p>
    <w:p>
      <w:pPr>
        <w:pStyle w:val="Heading1"/>
        <w:spacing w:after="160" w:before="240"/>
      </w:pPr>
      <w:r>
        <w:t xml:space="preserve">DETAILED FINDINGS BY PASS</w:t>
      </w:r>
    </w:p>
    <w:p>
      <w:pPr>
        <w:pStyle w:val="Heading2"/>
        <w:spacing w:after="160" w:before="240"/>
      </w:pPr>
      <w:r>
        <w:t xml:space="preserve">Pass 1 — First Contact: Orientation &amp; Wayfinding</w:t>
      </w:r>
    </w:p>
    <w:p>
      <w:pPr>
        <w:spacing w:after="120"/>
      </w:pPr>
      <w:r>
        <w:rPr>
          <w:b/>
          <w:bCs/>
          <w:color w:val="C0392B"/>
          <w:sz w:val="22"/>
          <w:szCs w:val="22"/>
        </w:rPr>
        <w:t xml:space="preserve">[CRITICAL] </w:t>
      </w:r>
      <w:r>
        <w:rPr>
          <w:b/>
          <w:bCs/>
        </w:rPr>
        <w:t xml:space="preserve">Finding: Governor Module Creates Parallel Universe</w:t>
      </w:r>
    </w:p>
    <w:p>
      <w:pPr>
        <w:pStyle w:val="ListParagraph"/>
        <w:numPr>
          <w:ilvl w:val="0"/>
          <w:numId w:val="2"/>
        </w:numPr>
        <w:spacing w:after="60"/>
      </w:pPr>
      <w:r>
        <w:rPr>
          <w:b/>
          <w:bCs/>
        </w:rPr>
        <w:t xml:space="preserve">Screen/Location: </w:t>
      </w:r>
      <w:r>
        <w:t xml:space="preserve">Governor sidebar and all /governor/* pages</w:t>
      </w:r>
    </w:p>
    <w:p>
      <w:pPr>
        <w:pStyle w:val="ListParagraph"/>
        <w:numPr>
          <w:ilvl w:val="0"/>
          <w:numId w:val="2"/>
        </w:numPr>
        <w:spacing w:after="60"/>
      </w:pPr>
      <w:r>
        <w:rPr>
          <w:b/>
          <w:bCs/>
        </w:rPr>
        <w:t xml:space="preserve">What exists: </w:t>
      </w:r>
      <w:r>
        <w:t xml:space="preserve">A completely separate sidebar with its own navigation (Approvals, Policies, Compliance, Calendar, Fleet, Audit, Executive) that partially duplicates the main sidebar’s Governance section.</w:t>
      </w:r>
    </w:p>
    <w:p>
      <w:pPr>
        <w:pStyle w:val="ListParagraph"/>
        <w:numPr>
          <w:ilvl w:val="0"/>
          <w:numId w:val="2"/>
        </w:numPr>
        <w:spacing w:after="60"/>
      </w:pPr>
      <w:r>
        <w:rPr>
          <w:b/>
          <w:bCs/>
        </w:rPr>
        <w:t xml:space="preserve">Impact: </w:t>
      </w:r>
      <w:r>
        <w:t xml:space="preserve">Users who enter the Governor module lose their navigation context. The main sidebar disappears and is replaced by the Governor sidebar. The user must understand that “Governor” is essentially a sub-application. Compliance officers split their work between two interfaces that overlap (main Policies vs Governor Policies, main Compliance vs Governor Compliance). This violates the principle of consistency and standards (Nielsen H4) and dramatically increases the learning curve.</w:t>
      </w:r>
    </w:p>
    <w:p>
      <w:pPr>
        <w:pStyle w:val="ListParagraph"/>
        <w:numPr>
          <w:ilvl w:val="0"/>
          <w:numId w:val="2"/>
        </w:numPr>
        <w:spacing w:after="60"/>
      </w:pPr>
      <w:r>
        <w:rPr>
          <w:b/>
          <w:bCs/>
        </w:rPr>
        <w:t xml:space="preserve">Recommendation: </w:t>
      </w:r>
      <w:r>
        <w:t xml:space="preserve">Merge the Governor module into the main navigation as a contextual view rather than a separate app. The Governor sidebar items should become tabs or sections within the existing Governance section. If the Governor needs distinct density or scope (fleet-wide vs. single agent), use a mode toggle at the top of the Governance section rather than a separate navigation tree.</w:t>
      </w:r>
    </w:p>
    <w:p>
      <w:pPr>
        <w:pStyle w:val="ListParagraph"/>
        <w:numPr>
          <w:ilvl w:val="0"/>
          <w:numId w:val="2"/>
        </w:numPr>
        <w:spacing w:after="60"/>
      </w:pPr>
      <w:r>
        <w:rPr>
          <w:b/>
          <w:bCs/>
        </w:rPr>
        <w:t xml:space="preserve">Principle: </w:t>
      </w:r>
      <w:r>
        <w:t xml:space="preserve">Consistency and Standards (Nielsen H4) — users should not have to wonder whether different words, situations, or actions mean the same thing.</w:t>
      </w:r>
    </w:p>
    <w:p>
      <w:pPr>
        <w:spacing w:after="80"/>
      </w:pPr>
    </w:p>
    <w:p>
      <w:pPr>
        <w:spacing w:after="120"/>
      </w:pPr>
      <w:r>
        <w:rPr>
          <w:b/>
          <w:bCs/>
          <w:color w:val="E67E22"/>
          <w:sz w:val="22"/>
          <w:szCs w:val="22"/>
        </w:rPr>
        <w:t xml:space="preserve">[HIGH] </w:t>
      </w:r>
      <w:r>
        <w:rPr>
          <w:b/>
          <w:bCs/>
        </w:rPr>
        <w:t xml:space="preserve">Finding: Reviewer Home Page Mislabeled as “Review Queue”</w:t>
      </w:r>
    </w:p>
    <w:p>
      <w:pPr>
        <w:pStyle w:val="ListParagraph"/>
        <w:numPr>
          <w:ilvl w:val="0"/>
          <w:numId w:val="2"/>
        </w:numPr>
        <w:spacing w:after="60"/>
      </w:pPr>
      <w:r>
        <w:rPr>
          <w:b/>
          <w:bCs/>
        </w:rPr>
        <w:t xml:space="preserve">Screen/Location: </w:t>
      </w:r>
      <w:r>
        <w:t xml:space="preserve">Home page when logged in as Reviewer role</w:t>
      </w:r>
    </w:p>
    <w:p>
      <w:pPr>
        <w:pStyle w:val="ListParagraph"/>
        <w:numPr>
          <w:ilvl w:val="0"/>
          <w:numId w:val="2"/>
        </w:numPr>
        <w:spacing w:after="60"/>
      </w:pPr>
      <w:r>
        <w:rPr>
          <w:b/>
          <w:bCs/>
        </w:rPr>
        <w:t xml:space="preserve">What exists: </w:t>
      </w:r>
      <w:r>
        <w:t xml:space="preserve">The page heading says “Review Queue” and the subtitle shows queue count, but this is actually the role-specific home/overview page, not the dedicated Review Queue page at /review.</w:t>
      </w:r>
    </w:p>
    <w:p>
      <w:pPr>
        <w:pStyle w:val="ListParagraph"/>
        <w:numPr>
          <w:ilvl w:val="0"/>
          <w:numId w:val="2"/>
        </w:numPr>
        <w:spacing w:after="60"/>
      </w:pPr>
      <w:r>
        <w:rPr>
          <w:b/>
          <w:bCs/>
        </w:rPr>
        <w:t xml:space="preserve">Impact: </w:t>
      </w:r>
      <w:r>
        <w:t xml:space="preserve">Creates false equivalence between the home overview and the actual review queue. A reviewer navigating to “Review Queue” in the sidebar expects to arrive at a different page, but the content overlaps. This violates the principle of recognition over recall by making the user track which “Review Queue” they are on.</w:t>
      </w:r>
    </w:p>
    <w:p>
      <w:pPr>
        <w:pStyle w:val="ListParagraph"/>
        <w:numPr>
          <w:ilvl w:val="0"/>
          <w:numId w:val="2"/>
        </w:numPr>
        <w:spacing w:after="60"/>
      </w:pPr>
      <w:r>
        <w:rPr>
          <w:b/>
          <w:bCs/>
        </w:rPr>
        <w:t xml:space="preserve">Recommendation: </w:t>
      </w:r>
      <w:r>
        <w:t xml:space="preserve">Rename the Reviewer home page to “Review Overview” or “My Reviews” with a subtitle like “Your review assignments and governance alerts.” Reserve “Review Queue” exclusively for the /review page.</w:t>
      </w:r>
    </w:p>
    <w:p>
      <w:pPr>
        <w:pStyle w:val="ListParagraph"/>
        <w:numPr>
          <w:ilvl w:val="0"/>
          <w:numId w:val="2"/>
        </w:numPr>
        <w:spacing w:after="60"/>
      </w:pPr>
      <w:r>
        <w:rPr>
          <w:b/>
          <w:bCs/>
        </w:rPr>
        <w:t xml:space="preserve">Principle: </w:t>
      </w:r>
      <w:r>
        <w:t xml:space="preserve">Recognition Over Recall (Nielsen H6) — minimize the user’s memory load by making labels unambiguous.</w:t>
      </w:r>
    </w:p>
    <w:p>
      <w:pPr>
        <w:spacing w:after="80"/>
      </w:pPr>
    </w:p>
    <w:p>
      <w:pPr>
        <w:spacing w:after="120"/>
      </w:pPr>
      <w:r>
        <w:rPr>
          <w:b/>
          <w:bCs/>
          <w:color w:val="F39C12"/>
          <w:sz w:val="22"/>
          <w:szCs w:val="22"/>
        </w:rPr>
        <w:t xml:space="preserve">[MEDIUM] </w:t>
      </w:r>
      <w:r>
        <w:rPr>
          <w:b/>
          <w:bCs/>
        </w:rPr>
        <w:t xml:space="preserve">Finding: Empty States Are Functional but Lack Guidance</w:t>
      </w:r>
    </w:p>
    <w:p>
      <w:pPr>
        <w:pStyle w:val="ListParagraph"/>
        <w:numPr>
          <w:ilvl w:val="0"/>
          <w:numId w:val="2"/>
        </w:numPr>
        <w:spacing w:after="60"/>
      </w:pPr>
      <w:r>
        <w:rPr>
          <w:b/>
          <w:bCs/>
        </w:rPr>
        <w:t xml:space="preserve">Screen/Location: </w:t>
      </w:r>
      <w:r>
        <w:t xml:space="preserve">EmptyState component used across Design Studio, Blueprints, Registry, Review Queue</w:t>
      </w:r>
    </w:p>
    <w:p>
      <w:pPr>
        <w:pStyle w:val="ListParagraph"/>
        <w:numPr>
          <w:ilvl w:val="0"/>
          <w:numId w:val="2"/>
        </w:numPr>
        <w:spacing w:after="60"/>
      </w:pPr>
      <w:r>
        <w:rPr>
          <w:b/>
          <w:bCs/>
        </w:rPr>
        <w:t xml:space="preserve">What exists: </w:t>
      </w:r>
      <w:r>
        <w:t xml:space="preserve">A centered icon, heading (e.g., “No intake sessions yet”), subtext, and optional CTA button. The pattern is consistent and well-designed.</w:t>
      </w:r>
    </w:p>
    <w:p>
      <w:pPr>
        <w:pStyle w:val="ListParagraph"/>
        <w:numPr>
          <w:ilvl w:val="0"/>
          <w:numId w:val="2"/>
        </w:numPr>
        <w:spacing w:after="60"/>
      </w:pPr>
      <w:r>
        <w:rPr>
          <w:b/>
          <w:bCs/>
        </w:rPr>
        <w:t xml:space="preserve">Impact: </w:t>
      </w:r>
      <w:r>
        <w:t xml:space="preserve">While the empty states correctly explain what goes here, they miss an opportunity to guide new users toward the value chain. For example, the empty Blueprints page says “Run an intake session…” but doesn’t explain WHY — that blueprints are the core artifact that everything else depends on.</w:t>
      </w:r>
    </w:p>
    <w:p>
      <w:pPr>
        <w:pStyle w:val="ListParagraph"/>
        <w:numPr>
          <w:ilvl w:val="0"/>
          <w:numId w:val="2"/>
        </w:numPr>
        <w:spacing w:after="60"/>
      </w:pPr>
      <w:r>
        <w:rPr>
          <w:b/>
          <w:bCs/>
        </w:rPr>
        <w:t xml:space="preserve">Recommendation: </w:t>
      </w:r>
      <w:r>
        <w:t xml:space="preserve">Add one sentence of context to each empty state explaining the value proposition: “Blueprints are the complete specification for your AI agents. Start with an intake session to create your first one.”</w:t>
      </w:r>
    </w:p>
    <w:p>
      <w:pPr>
        <w:pStyle w:val="ListParagraph"/>
        <w:numPr>
          <w:ilvl w:val="0"/>
          <w:numId w:val="2"/>
        </w:numPr>
        <w:spacing w:after="60"/>
      </w:pPr>
      <w:r>
        <w:rPr>
          <w:b/>
          <w:bCs/>
        </w:rPr>
        <w:t xml:space="preserve">Principle: </w:t>
      </w:r>
      <w:r>
        <w:t xml:space="preserve">Progressive Disclosure — provide just-in-time education at the moment of need, especially for first-time experiences.</w:t>
      </w:r>
    </w:p>
    <w:p>
      <w:r>
        <w:br w:type="page"/>
      </w:r>
    </w:p>
    <w:p>
      <w:pPr>
        <w:pStyle w:val="Heading2"/>
        <w:spacing w:after="160" w:before="240"/>
      </w:pPr>
      <w:r>
        <w:t xml:space="preserve">Pass 2 — Information Architecture &amp; Navigation</w:t>
      </w:r>
    </w:p>
    <w:p>
      <w:pPr>
        <w:spacing w:after="120"/>
      </w:pPr>
      <w:r>
        <w:rPr>
          <w:b/>
          <w:bCs/>
          <w:color w:val="C0392B"/>
          <w:sz w:val="22"/>
          <w:szCs w:val="22"/>
        </w:rPr>
        <w:t xml:space="preserve">[CRITICAL] </w:t>
      </w:r>
      <w:r>
        <w:rPr>
          <w:b/>
          <w:bCs/>
        </w:rPr>
        <w:t xml:space="preserve">Finding: Navigation Has 16–20 Items Across 4 Sections</w:t>
      </w:r>
    </w:p>
    <w:p>
      <w:pPr>
        <w:pStyle w:val="ListParagraph"/>
        <w:numPr>
          <w:ilvl w:val="0"/>
          <w:numId w:val="2"/>
        </w:numPr>
        <w:spacing w:after="60"/>
      </w:pPr>
      <w:r>
        <w:rPr>
          <w:b/>
          <w:bCs/>
        </w:rPr>
        <w:t xml:space="preserve">Screen/Location: </w:t>
      </w:r>
      <w:r>
        <w:t xml:space="preserve">Main sidebar (nav/sidebar.tsx)</w:t>
      </w:r>
    </w:p>
    <w:p>
      <w:pPr>
        <w:pStyle w:val="ListParagraph"/>
        <w:numPr>
          <w:ilvl w:val="0"/>
          <w:numId w:val="2"/>
        </w:numPr>
        <w:spacing w:after="60"/>
      </w:pPr>
      <w:r>
        <w:rPr>
          <w:b/>
          <w:bCs/>
        </w:rPr>
        <w:t xml:space="preserve">What exists: </w:t>
      </w:r>
      <w:r>
        <w:t xml:space="preserve">For an Admin user, the sidebar shows: Workspace (Overview, Design Studio, Blueprints, Pipeline, Registry, Templates), Governance (Review Queue, Policies, Compliance, Governor), Operations (Deploy, Monitor, Analytics, Audit Trail), Admin (Team, Settings, Webhooks, Fleet, Integrations, API Keys). That’s 20 items.</w:t>
      </w:r>
    </w:p>
    <w:p>
      <w:pPr>
        <w:pStyle w:val="ListParagraph"/>
        <w:numPr>
          <w:ilvl w:val="0"/>
          <w:numId w:val="2"/>
        </w:numPr>
        <w:spacing w:after="60"/>
      </w:pPr>
      <w:r>
        <w:rPr>
          <w:b/>
          <w:bCs/>
        </w:rPr>
        <w:t xml:space="preserve">Impact: </w:t>
      </w:r>
      <w:r>
        <w:t xml:space="preserve">Miller’s Law (7±2) indicates that humans can hold approximately 5–9 items in working memory. A 20-item sidebar with 4 sections exceeds cognitive chunking capacity and forces the user to scan the entire list to find what they need. Section labels help but don’t fully compensate — “Operations” could plausibly contain Registry or Pipeline, and “Governance” could plausibly contain Audit Trail.</w:t>
      </w:r>
    </w:p>
    <w:p>
      <w:pPr>
        <w:pStyle w:val="ListParagraph"/>
        <w:numPr>
          <w:ilvl w:val="0"/>
          <w:numId w:val="2"/>
        </w:numPr>
        <w:spacing w:after="60"/>
      </w:pPr>
      <w:r>
        <w:rPr>
          <w:b/>
          <w:bCs/>
        </w:rPr>
        <w:t xml:space="preserve">Recommendation: </w:t>
      </w:r>
      <w:r>
        <w:t xml:space="preserve">Consolidate to 10–12 items maximum. Merge “Analytics” into the Dashboard/Overview. Move “Audit Trail” under Compliance (it’s a compliance activity). Collapse Admin items behind a single “Settings” link that opens a settings hub. Consider moving “Templates” to be a tab within Design Studio rather than a top-level destination. The command palette (Cmd+K) already provides a fast-path for power users to reach any destination.</w:t>
      </w:r>
    </w:p>
    <w:p>
      <w:pPr>
        <w:pStyle w:val="ListParagraph"/>
        <w:numPr>
          <w:ilvl w:val="0"/>
          <w:numId w:val="2"/>
        </w:numPr>
        <w:spacing w:after="60"/>
      </w:pPr>
      <w:r>
        <w:rPr>
          <w:b/>
          <w:bCs/>
        </w:rPr>
        <w:t xml:space="preserve">Principle: </w:t>
      </w:r>
      <w:r>
        <w:t xml:space="preserve">Miller’s Law — the average person can hold 7±2 objects in working memory; navigation should be chunked accordingly.</w:t>
      </w:r>
    </w:p>
    <w:p>
      <w:pPr>
        <w:spacing w:after="80"/>
      </w:pPr>
    </w:p>
    <w:p>
      <w:pPr>
        <w:spacing w:after="120"/>
      </w:pPr>
      <w:r>
        <w:rPr>
          <w:b/>
          <w:bCs/>
          <w:color w:val="E67E22"/>
          <w:sz w:val="22"/>
          <w:szCs w:val="22"/>
        </w:rPr>
        <w:t xml:space="preserve">[HIGH] </w:t>
      </w:r>
      <w:r>
        <w:rPr>
          <w:b/>
          <w:bCs/>
        </w:rPr>
        <w:t xml:space="preserve">Finding: Design Studio / Blueprints / Pipeline / Registry Are Stages, Not Destinations</w:t>
      </w:r>
    </w:p>
    <w:p>
      <w:pPr>
        <w:pStyle w:val="ListParagraph"/>
        <w:numPr>
          <w:ilvl w:val="0"/>
          <w:numId w:val="2"/>
        </w:numPr>
        <w:spacing w:after="60"/>
      </w:pPr>
      <w:r>
        <w:rPr>
          <w:b/>
          <w:bCs/>
        </w:rPr>
        <w:t xml:space="preserve">Screen/Location: </w:t>
      </w:r>
      <w:r>
        <w:t xml:space="preserve">Sidebar Workspace section</w:t>
      </w:r>
    </w:p>
    <w:p>
      <w:pPr>
        <w:pStyle w:val="ListParagraph"/>
        <w:numPr>
          <w:ilvl w:val="0"/>
          <w:numId w:val="2"/>
        </w:numPr>
        <w:spacing w:after="60"/>
      </w:pPr>
      <w:r>
        <w:rPr>
          <w:b/>
          <w:bCs/>
        </w:rPr>
        <w:t xml:space="preserve">What exists: </w:t>
      </w:r>
      <w:r>
        <w:t xml:space="preserve">Four separate sidebar items (Design Studio, Blueprints, Pipeline, Registry) that represent sequential stages in the agent lifecycle: intake → blueprint → review pipeline → production registry.</w:t>
      </w:r>
    </w:p>
    <w:p>
      <w:pPr>
        <w:pStyle w:val="ListParagraph"/>
        <w:numPr>
          <w:ilvl w:val="0"/>
          <w:numId w:val="2"/>
        </w:numPr>
        <w:spacing w:after="60"/>
      </w:pPr>
      <w:r>
        <w:rPr>
          <w:b/>
          <w:bCs/>
        </w:rPr>
        <w:t xml:space="preserve">Impact: </w:t>
      </w:r>
      <w:r>
        <w:t xml:space="preserve">New users don’t know the lifecycle yet, so four navigation items that represent a sequence appear as four independent features. The mental model mismatch means users visit Blueprints when they should be in Design Studio, or check Registry when their agent is still in Pipeline. Hick’s Law applies: 4 choices slow decision-making compared to 1 clear path.</w:t>
      </w:r>
    </w:p>
    <w:p>
      <w:pPr>
        <w:pStyle w:val="ListParagraph"/>
        <w:numPr>
          <w:ilvl w:val="0"/>
          <w:numId w:val="2"/>
        </w:numPr>
        <w:spacing w:after="60"/>
      </w:pPr>
      <w:r>
        <w:rPr>
          <w:b/>
          <w:bCs/>
        </w:rPr>
        <w:t xml:space="preserve">Recommendation: </w:t>
      </w:r>
      <w:r>
        <w:t xml:space="preserve">Consider a unified “Agent Builder” or “Agents” destination that shows the lifecycle as tabs or a stepper within a single view. Alternatively, add visual lifecycle indicators in the sidebar (e.g., a small pipeline graphic) so users can see where each item sits in the flow. The Pipeline Board already does this well — it should be more prominent.</w:t>
      </w:r>
    </w:p>
    <w:p>
      <w:pPr>
        <w:pStyle w:val="ListParagraph"/>
        <w:numPr>
          <w:ilvl w:val="0"/>
          <w:numId w:val="2"/>
        </w:numPr>
        <w:spacing w:after="60"/>
      </w:pPr>
      <w:r>
        <w:rPr>
          <w:b/>
          <w:bCs/>
        </w:rPr>
        <w:t xml:space="preserve">Principle: </w:t>
      </w:r>
      <w:r>
        <w:t xml:space="preserve">Hick’s Law — the time it takes to make a decision increases with the number and complexity of choices.</w:t>
      </w:r>
    </w:p>
    <w:p>
      <w:pPr>
        <w:spacing w:after="80"/>
      </w:pPr>
    </w:p>
    <w:p>
      <w:pPr>
        <w:spacing w:after="120"/>
      </w:pPr>
      <w:r>
        <w:rPr>
          <w:b/>
          <w:bCs/>
          <w:color w:val="E67E22"/>
          <w:sz w:val="22"/>
          <w:szCs w:val="22"/>
        </w:rPr>
        <w:t xml:space="preserve">[HIGH] </w:t>
      </w:r>
      <w:r>
        <w:rPr>
          <w:b/>
          <w:bCs/>
        </w:rPr>
        <w:t xml:space="preserve">Finding: Command Palette (Cmd+K) Is Poorly Discoverable</w:t>
      </w:r>
    </w:p>
    <w:p>
      <w:pPr>
        <w:pStyle w:val="ListParagraph"/>
        <w:numPr>
          <w:ilvl w:val="0"/>
          <w:numId w:val="2"/>
        </w:numPr>
        <w:spacing w:after="60"/>
      </w:pPr>
      <w:r>
        <w:rPr>
          <w:b/>
          <w:bCs/>
        </w:rPr>
        <w:t xml:space="preserve">Screen/Location: </w:t>
      </w:r>
      <w:r>
        <w:t xml:space="preserve">Search bar at top of sidebar</w:t>
      </w:r>
    </w:p>
    <w:p>
      <w:pPr>
        <w:pStyle w:val="ListParagraph"/>
        <w:numPr>
          <w:ilvl w:val="0"/>
          <w:numId w:val="2"/>
        </w:numPr>
        <w:spacing w:after="60"/>
      </w:pPr>
      <w:r>
        <w:rPr>
          <w:b/>
          <w:bCs/>
        </w:rPr>
        <w:t xml:space="preserve">What exists: </w:t>
      </w:r>
      <w:r>
        <w:t xml:space="preserve">A search bar in the sidebar showing “Search…” with a ⌘K badge. Clicking opens a command palette with fuzzy search across all pages and actions.</w:t>
      </w:r>
    </w:p>
    <w:p>
      <w:pPr>
        <w:pStyle w:val="ListParagraph"/>
        <w:numPr>
          <w:ilvl w:val="0"/>
          <w:numId w:val="2"/>
        </w:numPr>
        <w:spacing w:after="60"/>
      </w:pPr>
      <w:r>
        <w:rPr>
          <w:b/>
          <w:bCs/>
        </w:rPr>
        <w:t xml:space="preserve">Impact: </w:t>
      </w:r>
      <w:r>
        <w:t xml:space="preserve">This is one of the product’s best features for power users, but it’s styled as a muted, low-contrast element in the sidebar header area. Users who don’t use keyboard shortcuts may never discover it. The search icon at 12px is too small to serve as a visual entry point.</w:t>
      </w:r>
    </w:p>
    <w:p>
      <w:pPr>
        <w:pStyle w:val="ListParagraph"/>
        <w:numPr>
          <w:ilvl w:val="0"/>
          <w:numId w:val="2"/>
        </w:numPr>
        <w:spacing w:after="60"/>
      </w:pPr>
      <w:r>
        <w:rPr>
          <w:b/>
          <w:bCs/>
        </w:rPr>
        <w:t xml:space="preserve">Recommendation: </w:t>
      </w:r>
      <w:r>
        <w:t xml:space="preserve">Make the search trigger more prominent: increase its visual weight, use a full-width input-style treatment rather than a subtle button, and consider adding a first-time tooltip that says “Tip: Press ⌘K to quickly find anything.” Also surface it in the welcome/onboarding experience.</w:t>
      </w:r>
    </w:p>
    <w:p>
      <w:pPr>
        <w:pStyle w:val="ListParagraph"/>
        <w:numPr>
          <w:ilvl w:val="0"/>
          <w:numId w:val="2"/>
        </w:numPr>
        <w:spacing w:after="60"/>
      </w:pPr>
      <w:r>
        <w:rPr>
          <w:b/>
          <w:bCs/>
        </w:rPr>
        <w:t xml:space="preserve">Principle: </w:t>
      </w:r>
      <w:r>
        <w:t xml:space="preserve">Recognition Over Recall (Nielsen H6) — make features visible and discoverable rather than requiring users to remember they exist.</w:t>
      </w:r>
    </w:p>
    <w:p>
      <w:r>
        <w:br w:type="page"/>
      </w:r>
    </w:p>
    <w:p>
      <w:pPr>
        <w:pStyle w:val="Heading2"/>
        <w:spacing w:after="160" w:before="240"/>
      </w:pPr>
      <w:r>
        <w:t xml:space="preserve">Pass 3 — Layout, Visual Hierarchy &amp; Information Density</w:t>
      </w:r>
    </w:p>
    <w:p>
      <w:pPr>
        <w:spacing w:after="120"/>
      </w:pPr>
      <w:r>
        <w:rPr>
          <w:b/>
          <w:bCs/>
          <w:color w:val="E67E22"/>
          <w:sz w:val="22"/>
          <w:szCs w:val="22"/>
        </w:rPr>
        <w:t xml:space="preserve">[HIGH] </w:t>
      </w:r>
      <w:r>
        <w:rPr>
          <w:b/>
          <w:bCs/>
        </w:rPr>
        <w:t xml:space="preserve">Finding: Blueprint Detail Page Is Overwhelmingly Dense</w:t>
      </w:r>
    </w:p>
    <w:p>
      <w:pPr>
        <w:pStyle w:val="ListParagraph"/>
        <w:numPr>
          <w:ilvl w:val="0"/>
          <w:numId w:val="2"/>
        </w:numPr>
        <w:spacing w:after="60"/>
      </w:pPr>
      <w:r>
        <w:rPr>
          <w:b/>
          <w:bCs/>
        </w:rPr>
        <w:t xml:space="preserve">Screen/Location: </w:t>
      </w:r>
      <w:r>
        <w:t xml:space="preserve">blueprints/[id]/page.tsx — individual blueprint view</w:t>
      </w:r>
    </w:p>
    <w:p>
      <w:pPr>
        <w:pStyle w:val="ListParagraph"/>
        <w:numPr>
          <w:ilvl w:val="0"/>
          <w:numId w:val="2"/>
        </w:numPr>
        <w:spacing w:after="60"/>
      </w:pPr>
      <w:r>
        <w:rPr>
          <w:b/>
          <w:bCs/>
        </w:rPr>
        <w:t xml:space="preserve">What exists: </w:t>
      </w:r>
      <w:r>
        <w:t xml:space="preserve">A section stepper showing 8 sections (Identity, Instructions, Tools, Knowledge, Constraints, Governance, Audit, Ownership), each expandable. Plus tabs for the companion chat, quality dashboard, validation report, and refinement chat. The page simultaneously presents the full ABP structure and multiple interactive panels.</w:t>
      </w:r>
    </w:p>
    <w:p>
      <w:pPr>
        <w:pStyle w:val="ListParagraph"/>
        <w:numPr>
          <w:ilvl w:val="0"/>
          <w:numId w:val="2"/>
        </w:numPr>
        <w:spacing w:after="60"/>
      </w:pPr>
      <w:r>
        <w:rPr>
          <w:b/>
          <w:bCs/>
        </w:rPr>
        <w:t xml:space="preserve">Impact: </w:t>
      </w:r>
      <w:r>
        <w:t xml:space="preserve">This is the product’s most important screen — where users inspect and refine their agent blueprints — and it is also the most visually overwhelming. The 8-section stepper alone exceeds cognitive chunking limits. Combined with the chat panels and quality metrics, the page demands the user context-switch constantly between reading, chatting, and evaluating. Information density is TOO HIGH for the task.</w:t>
      </w:r>
    </w:p>
    <w:p>
      <w:pPr>
        <w:pStyle w:val="ListParagraph"/>
        <w:numPr>
          <w:ilvl w:val="0"/>
          <w:numId w:val="2"/>
        </w:numPr>
        <w:spacing w:after="60"/>
      </w:pPr>
      <w:r>
        <w:rPr>
          <w:b/>
          <w:bCs/>
        </w:rPr>
        <w:t xml:space="preserve">Recommendation: </w:t>
      </w:r>
      <w:r>
        <w:t xml:space="preserve">Apply progressive disclosure. Show a summary card at the top (name, version, status, governance score, key stats) and collapse the 8 sections into an accordion where only one is expanded at a time. Move the companion chat, quality dashboard, and refinement chat into a right-side drawer or slide-over that can be opened on demand rather than competing for attention. Use a “Quick Actions” dropdown for Submit for Review, Export, Clone operations.</w:t>
      </w:r>
    </w:p>
    <w:p>
      <w:pPr>
        <w:pStyle w:val="ListParagraph"/>
        <w:numPr>
          <w:ilvl w:val="0"/>
          <w:numId w:val="2"/>
        </w:numPr>
        <w:spacing w:after="60"/>
      </w:pPr>
      <w:r>
        <w:rPr>
          <w:b/>
          <w:bCs/>
        </w:rPr>
        <w:t xml:space="preserve">Principle: </w:t>
      </w:r>
      <w:r>
        <w:t xml:space="preserve">Cognitive Load Theory (extraneous load) — the 8-section stepper, tabs, and chat panels impose complexity that is caused by the design rather than inherent to the task of reviewing a blueprint.</w:t>
      </w:r>
    </w:p>
    <w:p>
      <w:pPr>
        <w:spacing w:after="80"/>
      </w:pPr>
    </w:p>
    <w:p>
      <w:pPr>
        <w:spacing w:after="120"/>
      </w:pPr>
      <w:r>
        <w:rPr>
          <w:b/>
          <w:bCs/>
          <w:color w:val="F39C12"/>
          <w:sz w:val="22"/>
          <w:szCs w:val="22"/>
        </w:rPr>
        <w:t xml:space="preserve">[MEDIUM] </w:t>
      </w:r>
      <w:r>
        <w:rPr>
          <w:b/>
          <w:bCs/>
        </w:rPr>
        <w:t xml:space="preserve">Finding: Home Page Action Queue Is Excellent — Preserve This Pattern</w:t>
      </w:r>
    </w:p>
    <w:p>
      <w:pPr>
        <w:pStyle w:val="ListParagraph"/>
        <w:numPr>
          <w:ilvl w:val="0"/>
          <w:numId w:val="2"/>
        </w:numPr>
        <w:spacing w:after="60"/>
      </w:pPr>
      <w:r>
        <w:rPr>
          <w:b/>
          <w:bCs/>
        </w:rPr>
        <w:t xml:space="preserve">Screen/Location: </w:t>
      </w:r>
      <w:r>
        <w:t xml:space="preserve">Home page, Action Queue section (all roles)</w:t>
      </w:r>
    </w:p>
    <w:p>
      <w:pPr>
        <w:pStyle w:val="ListParagraph"/>
        <w:numPr>
          <w:ilvl w:val="0"/>
          <w:numId w:val="2"/>
        </w:numPr>
        <w:spacing w:after="60"/>
      </w:pPr>
      <w:r>
        <w:rPr>
          <w:b/>
          <w:bCs/>
        </w:rPr>
        <w:t xml:space="preserve">What exists: </w:t>
      </w:r>
      <w:r>
        <w:t xml:space="preserve">A prioritized list of 0–4 contextual actions based on the user’s role and the current state of their agents. Examples: “3 agents have governance errors — View Blueprints,” “2 agents approved — Deploy now.” Each action links directly to the relevant page.</w:t>
      </w:r>
    </w:p>
    <w:p>
      <w:pPr>
        <w:pStyle w:val="ListParagraph"/>
        <w:numPr>
          <w:ilvl w:val="0"/>
          <w:numId w:val="2"/>
        </w:numPr>
        <w:spacing w:after="60"/>
      </w:pPr>
      <w:r>
        <w:rPr>
          <w:b/>
          <w:bCs/>
        </w:rPr>
        <w:t xml:space="preserve">Impact: </w:t>
      </w:r>
      <w:r>
        <w:t xml:space="preserve">This is one of the product’s strongest UX patterns. It surfaces the most important next action at the top of the experience, reducing the user’s decision load to zero for the most common task. The action queue transforms the home page from a passive dashboard into an active task dispatcher.</w:t>
      </w:r>
    </w:p>
    <w:p>
      <w:pPr>
        <w:pStyle w:val="ListParagraph"/>
        <w:numPr>
          <w:ilvl w:val="0"/>
          <w:numId w:val="2"/>
        </w:numPr>
        <w:spacing w:after="60"/>
      </w:pPr>
      <w:r>
        <w:rPr>
          <w:b/>
          <w:bCs/>
        </w:rPr>
        <w:t xml:space="preserve">Recommendation: </w:t>
      </w:r>
      <w:r>
        <w:t xml:space="preserve">Protect and extend this pattern. Consider adding the action queue to the sidebar as a collapsible “To Do” section so it’s visible from any page, not just the home screen. Also apply this pattern to the Governor dashboard, which currently lacks an equivalent action-first design.</w:t>
      </w:r>
    </w:p>
    <w:p>
      <w:pPr>
        <w:pStyle w:val="ListParagraph"/>
        <w:numPr>
          <w:ilvl w:val="0"/>
          <w:numId w:val="2"/>
        </w:numPr>
        <w:spacing w:after="60"/>
      </w:pPr>
      <w:r>
        <w:rPr>
          <w:b/>
          <w:bCs/>
        </w:rPr>
        <w:t xml:space="preserve">Principle: </w:t>
      </w:r>
      <w:r>
        <w:t xml:space="preserve">Von Restorff Effect (isolation effect) — the action queue items stand out from surrounding content because they are visually distinct (urgency indicators, colored badges), making the most important information impossible to miss.</w:t>
      </w:r>
    </w:p>
    <w:p>
      <w:pPr>
        <w:spacing w:after="80"/>
      </w:pPr>
    </w:p>
    <w:p>
      <w:pPr>
        <w:spacing w:after="120"/>
      </w:pPr>
      <w:r>
        <w:rPr>
          <w:b/>
          <w:bCs/>
          <w:color w:val="F39C12"/>
          <w:sz w:val="22"/>
          <w:szCs w:val="22"/>
        </w:rPr>
        <w:t xml:space="preserve">[MEDIUM] </w:t>
      </w:r>
      <w:r>
        <w:rPr>
          <w:b/>
          <w:bCs/>
        </w:rPr>
        <w:t xml:space="preserve">Finding: Compliance Page Has 4 Tables Competing for Attention</w:t>
      </w:r>
    </w:p>
    <w:p>
      <w:pPr>
        <w:pStyle w:val="ListParagraph"/>
        <w:numPr>
          <w:ilvl w:val="0"/>
          <w:numId w:val="2"/>
        </w:numPr>
        <w:spacing w:after="60"/>
      </w:pPr>
      <w:r>
        <w:rPr>
          <w:b/>
          <w:bCs/>
        </w:rPr>
        <w:t xml:space="preserve">Screen/Location: </w:t>
      </w:r>
      <w:r>
        <w:t xml:space="preserve">compliance/page.tsx</w:t>
      </w:r>
    </w:p>
    <w:p>
      <w:pPr>
        <w:pStyle w:val="ListParagraph"/>
        <w:numPr>
          <w:ilvl w:val="0"/>
          <w:numId w:val="2"/>
        </w:numPr>
        <w:spacing w:after="60"/>
      </w:pPr>
      <w:r>
        <w:rPr>
          <w:b/>
          <w:bCs/>
        </w:rPr>
        <w:t xml:space="preserve">What exists: </w:t>
      </w:r>
      <w:r>
        <w:t xml:space="preserve">KPI cards followed by four full-width tables: At-Risk Agents, Review Queue, Policy Coverage, Overdue Reviews. All are visible simultaneously with no tab or accordion structure.</w:t>
      </w:r>
    </w:p>
    <w:p>
      <w:pPr>
        <w:pStyle w:val="ListParagraph"/>
        <w:numPr>
          <w:ilvl w:val="0"/>
          <w:numId w:val="2"/>
        </w:numPr>
        <w:spacing w:after="60"/>
      </w:pPr>
      <w:r>
        <w:rPr>
          <w:b/>
          <w:bCs/>
        </w:rPr>
        <w:t xml:space="preserve">Impact: </w:t>
      </w:r>
      <w:r>
        <w:t xml:space="preserve">A compliance officer arriving at this page must visually parse 4 data tables plus KPI cards to determine where to focus. The most actionable table (At-Risk Agents or Overdue Reviews) is not given visual priority — they are all rendered identically. This creates extraneous cognitive load.</w:t>
      </w:r>
    </w:p>
    <w:p>
      <w:pPr>
        <w:pStyle w:val="ListParagraph"/>
        <w:numPr>
          <w:ilvl w:val="0"/>
          <w:numId w:val="2"/>
        </w:numPr>
        <w:spacing w:after="60"/>
      </w:pPr>
      <w:r>
        <w:rPr>
          <w:b/>
          <w:bCs/>
        </w:rPr>
        <w:t xml:space="preserve">Recommendation: </w:t>
      </w:r>
      <w:r>
        <w:t xml:space="preserve">Restructure as a tabbed interface: an “At a Glance” tab showing KPIs with the single most critical table below them, then separate tabs for each detailed view. Alternatively, use a priority-ordered single-column layout where At-Risk is first and largest, with the other tables collapsed behind “Show more” toggles.</w:t>
      </w:r>
    </w:p>
    <w:p>
      <w:pPr>
        <w:pStyle w:val="ListParagraph"/>
        <w:numPr>
          <w:ilvl w:val="0"/>
          <w:numId w:val="2"/>
        </w:numPr>
        <w:spacing w:after="60"/>
      </w:pPr>
      <w:r>
        <w:rPr>
          <w:b/>
          <w:bCs/>
        </w:rPr>
        <w:t xml:space="preserve">Principle: </w:t>
      </w:r>
      <w:r>
        <w:t xml:space="preserve">Content Prioritization and Gestalt Principle of Figure-Ground — when everything has equal visual weight, nothing has priority and the user’s eye has no entry point.</w:t>
      </w:r>
    </w:p>
    <w:p>
      <w:r>
        <w:br w:type="page"/>
      </w:r>
    </w:p>
    <w:p>
      <w:pPr>
        <w:pStyle w:val="Heading2"/>
        <w:spacing w:after="160" w:before="240"/>
      </w:pPr>
      <w:r>
        <w:t xml:space="preserve">Pass 4 — Component Design &amp; Interaction Patterns</w:t>
      </w:r>
    </w:p>
    <w:p>
      <w:pPr>
        <w:spacing w:after="120"/>
      </w:pPr>
      <w:r>
        <w:rPr>
          <w:b/>
          <w:bCs/>
          <w:color w:val="E67E22"/>
          <w:sz w:val="22"/>
          <w:szCs w:val="22"/>
        </w:rPr>
        <w:t xml:space="preserve">[HIGH] </w:t>
      </w:r>
      <w:r>
        <w:rPr>
          <w:b/>
          <w:bCs/>
        </w:rPr>
        <w:t xml:space="preserve">Finding: Two Parallel Component Libraries Create Inconsistency Risk</w:t>
      </w:r>
    </w:p>
    <w:p>
      <w:pPr>
        <w:pStyle w:val="ListParagraph"/>
        <w:numPr>
          <w:ilvl w:val="0"/>
          <w:numId w:val="2"/>
        </w:numPr>
        <w:spacing w:after="60"/>
      </w:pPr>
      <w:r>
        <w:rPr>
          <w:b/>
          <w:bCs/>
        </w:rPr>
        <w:t xml:space="preserve">Screen/Location: </w:t>
      </w:r>
      <w:r>
        <w:t xml:space="preserve">src/components/catalyst/ vs src/components/ui/</w:t>
      </w:r>
    </w:p>
    <w:p>
      <w:pPr>
        <w:pStyle w:val="ListParagraph"/>
        <w:numPr>
          <w:ilvl w:val="0"/>
          <w:numId w:val="2"/>
        </w:numPr>
        <w:spacing w:after="60"/>
      </w:pPr>
      <w:r>
        <w:rPr>
          <w:b/>
          <w:bCs/>
        </w:rPr>
        <w:t xml:space="preserve">What exists: </w:t>
      </w:r>
      <w:r>
        <w:t xml:space="preserve">Two component directories: catalyst/ (27 Headless UI-based components from Tailwind Labs) and ui/ (25+ custom components including Badge, Card, EmptyState, Skeleton, Table). Both directories contain implementations of overlapping components: catalyst/button.tsx and ui/button.tsx, catalyst/table.tsx and ui/table.tsx, catalyst/dialog.tsx and ui/dialog.tsx, catalyst/input.tsx and ui/input.tsx.</w:t>
      </w:r>
    </w:p>
    <w:p>
      <w:pPr>
        <w:pStyle w:val="ListParagraph"/>
        <w:numPr>
          <w:ilvl w:val="0"/>
          <w:numId w:val="2"/>
        </w:numPr>
        <w:spacing w:after="60"/>
      </w:pPr>
      <w:r>
        <w:rPr>
          <w:b/>
          <w:bCs/>
        </w:rPr>
        <w:t xml:space="preserve">Impact: </w:t>
      </w:r>
      <w:r>
        <w:t xml:space="preserve">Developers must choose which Button, Table, or Dialog to use on each screen. This creates visual inconsistency when different screens use different implementations. It also increases maintenance burden — styling updates must be applied to two sets of components. Importing from “@/components/catalyst” vs “@/components/ui” is a decision that has no user-facing rationale.</w:t>
      </w:r>
    </w:p>
    <w:p>
      <w:pPr>
        <w:pStyle w:val="ListParagraph"/>
        <w:numPr>
          <w:ilvl w:val="0"/>
          <w:numId w:val="2"/>
        </w:numPr>
        <w:spacing w:after="60"/>
      </w:pPr>
      <w:r>
        <w:rPr>
          <w:b/>
          <w:bCs/>
        </w:rPr>
        <w:t xml:space="preserve">Recommendation: </w:t>
      </w:r>
      <w:r>
        <w:t xml:space="preserve">Designate Catalyst as the canonical design system and progressively migrate ui/ components into Catalyst. For components that exist in both (Button, Table, Dialog, Input), deprecate the ui/ version and create a migration guide. For ui/-only components (EmptyState, Skeleton, KpiCard), move them into catalyst/ to create a single source of truth. Target: one import path for all design system components.</w:t>
      </w:r>
    </w:p>
    <w:p>
      <w:pPr>
        <w:pStyle w:val="ListParagraph"/>
        <w:numPr>
          <w:ilvl w:val="0"/>
          <w:numId w:val="2"/>
        </w:numPr>
        <w:spacing w:after="60"/>
      </w:pPr>
      <w:r>
        <w:rPr>
          <w:b/>
          <w:bCs/>
        </w:rPr>
        <w:t xml:space="preserve">Principle: </w:t>
      </w:r>
      <w:r>
        <w:t xml:space="preserve">Consistency and Standards (Nielsen H4) — a single design system prevents divergence and ensures that the same component looks and behaves identically everywhere.</w:t>
      </w:r>
    </w:p>
    <w:p>
      <w:pPr>
        <w:spacing w:after="80"/>
      </w:pPr>
    </w:p>
    <w:p>
      <w:pPr>
        <w:spacing w:after="120"/>
      </w:pPr>
      <w:r>
        <w:rPr>
          <w:b/>
          <w:bCs/>
          <w:color w:val="F39C12"/>
          <w:sz w:val="22"/>
          <w:szCs w:val="22"/>
        </w:rPr>
        <w:t xml:space="preserve">[MEDIUM] </w:t>
      </w:r>
      <w:r>
        <w:rPr>
          <w:b/>
          <w:bCs/>
        </w:rPr>
        <w:t xml:space="preserve">Finding: Deploy Confirmation Modal Is Well-Designed — Good Pattern</w:t>
      </w:r>
    </w:p>
    <w:p>
      <w:pPr>
        <w:pStyle w:val="ListParagraph"/>
        <w:numPr>
          <w:ilvl w:val="0"/>
          <w:numId w:val="2"/>
        </w:numPr>
        <w:spacing w:after="60"/>
      </w:pPr>
      <w:r>
        <w:rPr>
          <w:b/>
          <w:bCs/>
        </w:rPr>
        <w:t xml:space="preserve">Screen/Location: </w:t>
      </w:r>
      <w:r>
        <w:t xml:space="preserve">deploy/page.tsx — DeployConfirmModal</w:t>
      </w:r>
    </w:p>
    <w:p>
      <w:pPr>
        <w:pStyle w:val="ListParagraph"/>
        <w:numPr>
          <w:ilvl w:val="0"/>
          <w:numId w:val="2"/>
        </w:numPr>
        <w:spacing w:after="60"/>
      </w:pPr>
      <w:r>
        <w:rPr>
          <w:b/>
          <w:bCs/>
        </w:rPr>
        <w:t xml:space="preserve">What exists: </w:t>
      </w:r>
      <w:r>
        <w:t xml:space="preserve">A multi-step modal requiring: change ticket reference (required), deployment notes (optional), risk tier acknowledgment, and an explicit authorization checkbox (“I acknowledge…”). The Deploy button is disabled until all requirements are met. Error states show enriched messages with specific guidance for common AWS failures.</w:t>
      </w:r>
    </w:p>
    <w:p>
      <w:pPr>
        <w:pStyle w:val="ListParagraph"/>
        <w:numPr>
          <w:ilvl w:val="0"/>
          <w:numId w:val="2"/>
        </w:numPr>
        <w:spacing w:after="60"/>
      </w:pPr>
      <w:r>
        <w:rPr>
          <w:b/>
          <w:bCs/>
        </w:rPr>
        <w:t xml:space="preserve">Impact: </w:t>
      </w:r>
      <w:r>
        <w:t xml:space="preserve">This is a model implementation of a high-stakes confirmation flow. It follows the error prevention hierarchy (Poka-Yoke): the system physically prevents the user from deploying without meeting all prerequisites. The enriched error messages (e.g., “AWS permission denied → check your IAM role”) demonstrate the gold standard for error messaging.</w:t>
      </w:r>
    </w:p>
    <w:p>
      <w:pPr>
        <w:pStyle w:val="ListParagraph"/>
        <w:numPr>
          <w:ilvl w:val="0"/>
          <w:numId w:val="2"/>
        </w:numPr>
        <w:spacing w:after="60"/>
      </w:pPr>
      <w:r>
        <w:rPr>
          <w:b/>
          <w:bCs/>
        </w:rPr>
        <w:t xml:space="preserve">Recommendation: </w:t>
      </w:r>
      <w:r>
        <w:t xml:space="preserve">Use this pattern as the template for other destructive or high-stakes actions in the product (e.g., rejecting a blueprint, deleting a policy). Document the pattern in the design system as a “Confirmation Modal” recipe.</w:t>
      </w:r>
    </w:p>
    <w:p>
      <w:pPr>
        <w:pStyle w:val="ListParagraph"/>
        <w:numPr>
          <w:ilvl w:val="0"/>
          <w:numId w:val="2"/>
        </w:numPr>
        <w:spacing w:after="60"/>
      </w:pPr>
      <w:r>
        <w:rPr>
          <w:b/>
          <w:bCs/>
        </w:rPr>
        <w:t xml:space="preserve">Principle: </w:t>
      </w:r>
      <w:r>
        <w:t xml:space="preserve">Error Prevention (Nielsen H5) — even better than good error messages is a careful design that prevents problems from occurring in the first place.</w:t>
      </w:r>
    </w:p>
    <w:p>
      <w:pPr>
        <w:spacing w:after="80"/>
      </w:pPr>
    </w:p>
    <w:p>
      <w:pPr>
        <w:spacing w:after="120"/>
      </w:pPr>
      <w:r>
        <w:rPr>
          <w:b/>
          <w:bCs/>
          <w:color w:val="F39C12"/>
          <w:sz w:val="22"/>
          <w:szCs w:val="22"/>
        </w:rPr>
        <w:t xml:space="preserve">[MEDIUM] </w:t>
      </w:r>
      <w:r>
        <w:rPr>
          <w:b/>
          <w:bCs/>
        </w:rPr>
        <w:t xml:space="preserve">Finding: Status Badge System Is Comprehensive and Consistent</w:t>
      </w:r>
    </w:p>
    <w:p>
      <w:pPr>
        <w:pStyle w:val="ListParagraph"/>
        <w:numPr>
          <w:ilvl w:val="0"/>
          <w:numId w:val="2"/>
        </w:numPr>
        <w:spacing w:after="60"/>
      </w:pPr>
      <w:r>
        <w:rPr>
          <w:b/>
          <w:bCs/>
        </w:rPr>
        <w:t xml:space="preserve">Screen/Location: </w:t>
      </w:r>
      <w:r>
        <w:t xml:space="preserve">registry/status-badge.tsx, used across Registry, Pipeline, Blueprints, Review Queue</w:t>
      </w:r>
    </w:p>
    <w:p>
      <w:pPr>
        <w:pStyle w:val="ListParagraph"/>
        <w:numPr>
          <w:ilvl w:val="0"/>
          <w:numId w:val="2"/>
        </w:numPr>
        <w:spacing w:after="60"/>
      </w:pPr>
      <w:r>
        <w:rPr>
          <w:b/>
          <w:bCs/>
        </w:rPr>
        <w:t xml:space="preserve">What exists: </w:t>
      </w:r>
      <w:r>
        <w:t xml:space="preserve">A StatusBadge component handling 8 states (draft, in_review, approved, deployed, suspended, rejected, deprecated) with consistent color coding: gray for draft, blue/amber for in_review, emerald for approved, violet for deployed, red for rejected. Each badge includes a colored dot + label text.</w:t>
      </w:r>
    </w:p>
    <w:p>
      <w:pPr>
        <w:pStyle w:val="ListParagraph"/>
        <w:numPr>
          <w:ilvl w:val="0"/>
          <w:numId w:val="2"/>
        </w:numPr>
        <w:spacing w:after="60"/>
      </w:pPr>
      <w:r>
        <w:rPr>
          <w:b/>
          <w:bCs/>
        </w:rPr>
        <w:t xml:space="preserve">Impact: </w:t>
      </w:r>
      <w:r>
        <w:t xml:space="preserve">The status system is one of the product’s strongest design elements. Colors are used consistently across all screens and are paired with text labels (never color alone), which is good for accessibility. The dot + label pattern provides both at-a-glance scanning (color) and explicit communication (text).</w:t>
      </w:r>
    </w:p>
    <w:p>
      <w:pPr>
        <w:pStyle w:val="ListParagraph"/>
        <w:numPr>
          <w:ilvl w:val="0"/>
          <w:numId w:val="2"/>
        </w:numPr>
        <w:spacing w:after="60"/>
      </w:pPr>
      <w:r>
        <w:rPr>
          <w:b/>
          <w:bCs/>
        </w:rPr>
        <w:t xml:space="preserve">Recommendation: </w:t>
      </w:r>
      <w:r>
        <w:t xml:space="preserve">Minor improvement: add a tooltip to each status badge that explains what the status means and what action would advance it to the next state. Example: hovering over “Approved” shows “This agent has passed review and is ready to deploy. Click Deploy to push it to production.”</w:t>
      </w:r>
    </w:p>
    <w:p>
      <w:pPr>
        <w:pStyle w:val="ListParagraph"/>
        <w:numPr>
          <w:ilvl w:val="0"/>
          <w:numId w:val="2"/>
        </w:numPr>
        <w:spacing w:after="60"/>
      </w:pPr>
      <w:r>
        <w:rPr>
          <w:b/>
          <w:bCs/>
        </w:rPr>
        <w:t xml:space="preserve">Principle: </w:t>
      </w:r>
      <w:r>
        <w:t xml:space="preserve">Help and Documentation (Nielsen H10) — even the best interface benefits from help-on-demand that explains the system’s states and transitions.</w:t>
      </w:r>
    </w:p>
    <w:p>
      <w:r>
        <w:br w:type="page"/>
      </w:r>
    </w:p>
    <w:p>
      <w:pPr>
        <w:pStyle w:val="Heading2"/>
        <w:spacing w:after="160" w:before="240"/>
      </w:pPr>
      <w:r>
        <w:t xml:space="preserve">Pass 5 — User Flows &amp; Task Efficiency</w:t>
      </w:r>
    </w:p>
    <w:p>
      <w:pPr>
        <w:spacing w:after="120"/>
      </w:pPr>
      <w:r>
        <w:rPr>
          <w:b/>
          <w:bCs/>
          <w:color w:val="E67E22"/>
          <w:sz w:val="22"/>
          <w:szCs w:val="22"/>
        </w:rPr>
        <w:t xml:space="preserve">[HIGH] </w:t>
      </w:r>
      <w:r>
        <w:rPr>
          <w:b/>
          <w:bCs/>
        </w:rPr>
        <w:t xml:space="preserve">Finding: Intake-to-Blueprint Flow Is the Product’s Strongest Workflow</w:t>
      </w:r>
    </w:p>
    <w:p>
      <w:pPr>
        <w:pStyle w:val="ListParagraph"/>
        <w:numPr>
          <w:ilvl w:val="0"/>
          <w:numId w:val="2"/>
        </w:numPr>
        <w:spacing w:after="60"/>
      </w:pPr>
      <w:r>
        <w:rPr>
          <w:b/>
          <w:bCs/>
        </w:rPr>
        <w:t xml:space="preserve">Screen/Location: </w:t>
      </w:r>
      <w:r>
        <w:t xml:space="preserve">intake/ → blueprints/ flow</w:t>
      </w:r>
    </w:p>
    <w:p>
      <w:pPr>
        <w:pStyle w:val="ListParagraph"/>
        <w:numPr>
          <w:ilvl w:val="0"/>
          <w:numId w:val="2"/>
        </w:numPr>
        <w:spacing w:after="60"/>
      </w:pPr>
      <w:r>
        <w:rPr>
          <w:b/>
          <w:bCs/>
        </w:rPr>
        <w:t xml:space="preserve">What exists: </w:t>
      </w:r>
      <w:r>
        <w:t xml:space="preserve">A well-structured 3-phase flow: (1) Structured context form capturing governance signals, (2) AI-guided conversation that adaptively asks clarifying questions across 7 domain lanes, (3) Pre-generation review with quality scoring. The domain progress strip shows real-time coverage, classification auto-detects agent type and risk tier, and the quality score gates the Generate button.</w:t>
      </w:r>
    </w:p>
    <w:p>
      <w:pPr>
        <w:pStyle w:val="ListParagraph"/>
        <w:numPr>
          <w:ilvl w:val="0"/>
          <w:numId w:val="2"/>
        </w:numPr>
        <w:spacing w:after="60"/>
      </w:pPr>
      <w:r>
        <w:rPr>
          <w:b/>
          <w:bCs/>
        </w:rPr>
        <w:t xml:space="preserve">Impact: </w:t>
      </w:r>
      <w:r>
        <w:t xml:space="preserve">This is the product’s core value proposition and it delivers. The progressive structure (form → conversation → review) naturally guides the user through a complex task without requiring them to understand the entire process upfront. The domain progress visualization gives continuous feedback about completeness.</w:t>
      </w:r>
    </w:p>
    <w:p>
      <w:pPr>
        <w:pStyle w:val="ListParagraph"/>
        <w:numPr>
          <w:ilvl w:val="0"/>
          <w:numId w:val="2"/>
        </w:numPr>
        <w:spacing w:after="60"/>
      </w:pPr>
      <w:r>
        <w:rPr>
          <w:b/>
          <w:bCs/>
        </w:rPr>
        <w:t xml:space="preserve">Recommendation: </w:t>
      </w:r>
      <w:r>
        <w:t xml:space="preserve">Two improvements: (a) Add estimated time remaining based on the current completeness score, so users know how much longer the intake will take. (b) Add a “Save and continue later” affordance that’s more prominent than the auto-save — enterprise users frequently split multi-hour tasks across sessions.</w:t>
      </w:r>
    </w:p>
    <w:p>
      <w:pPr>
        <w:pStyle w:val="ListParagraph"/>
        <w:numPr>
          <w:ilvl w:val="0"/>
          <w:numId w:val="2"/>
        </w:numPr>
        <w:spacing w:after="60"/>
      </w:pPr>
      <w:r>
        <w:rPr>
          <w:b/>
          <w:bCs/>
        </w:rPr>
        <w:t xml:space="preserve">Principle: </w:t>
      </w:r>
      <w:r>
        <w:t xml:space="preserve">Visibility of System Status (Nielsen H1) — the domain progress strip excels at this by showing real-time feedback on task progress.</w:t>
      </w:r>
    </w:p>
    <w:p>
      <w:pPr>
        <w:spacing w:after="80"/>
      </w:pPr>
    </w:p>
    <w:p>
      <w:pPr>
        <w:spacing w:after="120"/>
      </w:pPr>
      <w:r>
        <w:rPr>
          <w:b/>
          <w:bCs/>
          <w:color w:val="E67E22"/>
          <w:sz w:val="22"/>
          <w:szCs w:val="22"/>
        </w:rPr>
        <w:t xml:space="preserve">[HIGH] </w:t>
      </w:r>
      <w:r>
        <w:rPr>
          <w:b/>
          <w:bCs/>
        </w:rPr>
        <w:t xml:space="preserve">Finding: Governance-to-Remediation Loop Is Too Many Clicks</w:t>
      </w:r>
    </w:p>
    <w:p>
      <w:pPr>
        <w:pStyle w:val="ListParagraph"/>
        <w:numPr>
          <w:ilvl w:val="0"/>
          <w:numId w:val="2"/>
        </w:numPr>
        <w:spacing w:after="60"/>
      </w:pPr>
      <w:r>
        <w:rPr>
          <w:b/>
          <w:bCs/>
        </w:rPr>
        <w:t xml:space="preserve">Screen/Location: </w:t>
      </w:r>
      <w:r>
        <w:t xml:space="preserve">Blueprint detail → Governance tab → violation → suggest fix → apply fix</w:t>
      </w:r>
    </w:p>
    <w:p>
      <w:pPr>
        <w:pStyle w:val="ListParagraph"/>
        <w:numPr>
          <w:ilvl w:val="0"/>
          <w:numId w:val="2"/>
        </w:numPr>
        <w:spacing w:after="60"/>
      </w:pPr>
      <w:r>
        <w:rPr>
          <w:b/>
          <w:bCs/>
        </w:rPr>
        <w:t xml:space="preserve">What exists: </w:t>
      </w:r>
      <w:r>
        <w:t xml:space="preserve">When a blueprint fails governance validation, the user sees violations in the Governance tab. To fix a violation, they must: (1) read the violation, (2) click to get an AI-suggested fix, (3) review the suggestion, (4) apply the fix, (5) re-validate to confirm. Each step involves a separate API call and UI state transition.</w:t>
      </w:r>
    </w:p>
    <w:p>
      <w:pPr>
        <w:pStyle w:val="ListParagraph"/>
        <w:numPr>
          <w:ilvl w:val="0"/>
          <w:numId w:val="2"/>
        </w:numPr>
        <w:spacing w:after="60"/>
      </w:pPr>
      <w:r>
        <w:rPr>
          <w:b/>
          <w:bCs/>
        </w:rPr>
        <w:t xml:space="preserve">Impact: </w:t>
      </w:r>
      <w:r>
        <w:t xml:space="preserve">For blueprints with 3–5 governance violations (common in regulated environments), this becomes 15–25 interactions to resolve all issues. The user loses context switching between the violation list and the fix suggestions. This is the highest-friction path in the product for compliance-focused workflows.</w:t>
      </w:r>
    </w:p>
    <w:p>
      <w:pPr>
        <w:pStyle w:val="ListParagraph"/>
        <w:numPr>
          <w:ilvl w:val="0"/>
          <w:numId w:val="2"/>
        </w:numPr>
        <w:spacing w:after="60"/>
      </w:pPr>
      <w:r>
        <w:rPr>
          <w:b/>
          <w:bCs/>
        </w:rPr>
        <w:t xml:space="preserve">Recommendation: </w:t>
      </w:r>
      <w:r>
        <w:t xml:space="preserve">Add a “Fix All” action that generates AI remediation suggestions for all violations at once, presented as a unified diff/changeset that the user can review and apply in one action. Also add inline fix suggestions directly in the violation list rather than requiring navigation to a separate panel.</w:t>
      </w:r>
    </w:p>
    <w:p>
      <w:pPr>
        <w:pStyle w:val="ListParagraph"/>
        <w:numPr>
          <w:ilvl w:val="0"/>
          <w:numId w:val="2"/>
        </w:numPr>
        <w:spacing w:after="60"/>
      </w:pPr>
      <w:r>
        <w:rPr>
          <w:b/>
          <w:bCs/>
        </w:rPr>
        <w:t xml:space="preserve">Principle: </w:t>
      </w:r>
      <w:r>
        <w:t xml:space="preserve">Flexibility and Efficiency of Use (Nielsen H7) — accelerators for expert users should allow them to batch operations rather than handling violations one by one.</w:t>
      </w:r>
    </w:p>
    <w:p>
      <w:pPr>
        <w:spacing w:after="80"/>
      </w:pPr>
    </w:p>
    <w:p>
      <w:pPr>
        <w:spacing w:after="120"/>
      </w:pPr>
      <w:r>
        <w:rPr>
          <w:b/>
          <w:bCs/>
          <w:color w:val="F39C12"/>
          <w:sz w:val="22"/>
          <w:szCs w:val="22"/>
        </w:rPr>
        <w:t xml:space="preserve">[MEDIUM] </w:t>
      </w:r>
      <w:r>
        <w:rPr>
          <w:b/>
          <w:bCs/>
        </w:rPr>
        <w:t xml:space="preserve">Finding: No Undo for Blueprint Actions</w:t>
      </w:r>
    </w:p>
    <w:p>
      <w:pPr>
        <w:pStyle w:val="ListParagraph"/>
        <w:numPr>
          <w:ilvl w:val="0"/>
          <w:numId w:val="2"/>
        </w:numPr>
        <w:spacing w:after="60"/>
      </w:pPr>
      <w:r>
        <w:rPr>
          <w:b/>
          <w:bCs/>
        </w:rPr>
        <w:t xml:space="preserve">Screen/Location: </w:t>
      </w:r>
      <w:r>
        <w:t xml:space="preserve">Blueprint lifecycle transitions (Submit, Approve, Reject, Deploy)</w:t>
      </w:r>
    </w:p>
    <w:p>
      <w:pPr>
        <w:pStyle w:val="ListParagraph"/>
        <w:numPr>
          <w:ilvl w:val="0"/>
          <w:numId w:val="2"/>
        </w:numPr>
        <w:spacing w:after="60"/>
      </w:pPr>
      <w:r>
        <w:rPr>
          <w:b/>
          <w:bCs/>
        </w:rPr>
        <w:t xml:space="preserve">What exists: </w:t>
      </w:r>
      <w:r>
        <w:t xml:space="preserve">Lifecycle transitions are confirmed via modals but are irreversible. A blueprint moved to “rejected” cannot be un-rejected. Deployment cannot be rolled back from the UI.</w:t>
      </w:r>
    </w:p>
    <w:p>
      <w:pPr>
        <w:pStyle w:val="ListParagraph"/>
        <w:numPr>
          <w:ilvl w:val="0"/>
          <w:numId w:val="2"/>
        </w:numPr>
        <w:spacing w:after="60"/>
      </w:pPr>
      <w:r>
        <w:rPr>
          <w:b/>
          <w:bCs/>
        </w:rPr>
        <w:t xml:space="preserve">Impact: </w:t>
      </w:r>
      <w:r>
        <w:t xml:space="preserve">In enterprise environments, mistakes happen. A reviewer who accidentally rejects a blueprint, or an admin who deploys the wrong version, has no self-service recovery path. They must create a new version or manually intervene in the database.</w:t>
      </w:r>
    </w:p>
    <w:p>
      <w:pPr>
        <w:pStyle w:val="ListParagraph"/>
        <w:numPr>
          <w:ilvl w:val="0"/>
          <w:numId w:val="2"/>
        </w:numPr>
        <w:spacing w:after="60"/>
      </w:pPr>
      <w:r>
        <w:rPr>
          <w:b/>
          <w:bCs/>
        </w:rPr>
        <w:t xml:space="preserve">Recommendation: </w:t>
      </w:r>
      <w:r>
        <w:t xml:space="preserve">Add a time-boxed undo window (30–60 seconds) after lifecycle transitions, similar to Gmail’s undo-send. For deployments, add a “Rollback” action in the registry that reverts to the previous version. The audit trail already tracks every transition, so undo is technically feasible.</w:t>
      </w:r>
    </w:p>
    <w:p>
      <w:pPr>
        <w:pStyle w:val="ListParagraph"/>
        <w:numPr>
          <w:ilvl w:val="0"/>
          <w:numId w:val="2"/>
        </w:numPr>
        <w:spacing w:after="60"/>
      </w:pPr>
      <w:r>
        <w:rPr>
          <w:b/>
          <w:bCs/>
        </w:rPr>
        <w:t xml:space="preserve">Principle: </w:t>
      </w:r>
      <w:r>
        <w:t xml:space="preserve">User Control and Freedom (Nielsen H3) — users need a clearly marked “emergency exit” to undo unintended actions.</w:t>
      </w:r>
    </w:p>
    <w:p>
      <w:r>
        <w:br w:type="page"/>
      </w:r>
    </w:p>
    <w:p>
      <w:pPr>
        <w:pStyle w:val="Heading2"/>
        <w:spacing w:after="160" w:before="240"/>
      </w:pPr>
      <w:r>
        <w:t xml:space="preserve">Pass 6 — Data Display &amp; Visualization</w:t>
      </w:r>
    </w:p>
    <w:p>
      <w:pPr>
        <w:spacing w:after="120"/>
      </w:pPr>
      <w:r>
        <w:rPr>
          <w:b/>
          <w:bCs/>
          <w:color w:val="F39C12"/>
          <w:sz w:val="22"/>
          <w:szCs w:val="22"/>
        </w:rPr>
        <w:t xml:space="preserve">[MEDIUM] </w:t>
      </w:r>
      <w:r>
        <w:rPr>
          <w:b/>
          <w:bCs/>
        </w:rPr>
        <w:t xml:space="preserve">Finding: Quality Ring Component Is Effective Micro-Visualization</w:t>
      </w:r>
    </w:p>
    <w:p>
      <w:pPr>
        <w:pStyle w:val="ListParagraph"/>
        <w:numPr>
          <w:ilvl w:val="0"/>
          <w:numId w:val="2"/>
        </w:numPr>
        <w:spacing w:after="60"/>
      </w:pPr>
      <w:r>
        <w:rPr>
          <w:b/>
          <w:bCs/>
        </w:rPr>
        <w:t xml:space="preserve">Screen/Location: </w:t>
      </w:r>
      <w:r>
        <w:t xml:space="preserve">Home page (Admin view) — QualityRing component</w:t>
      </w:r>
    </w:p>
    <w:p>
      <w:pPr>
        <w:pStyle w:val="ListParagraph"/>
        <w:numPr>
          <w:ilvl w:val="0"/>
          <w:numId w:val="2"/>
        </w:numPr>
        <w:spacing w:after="60"/>
      </w:pPr>
      <w:r>
        <w:rPr>
          <w:b/>
          <w:bCs/>
        </w:rPr>
        <w:t xml:space="preserve">What exists: </w:t>
      </w:r>
      <w:r>
        <w:t xml:space="preserve">A circular SVG progress ring showing quality score 0–100 with color-coded arcs (green ≥80, amber ≥60, red &lt;60) and a delta indicator showing change over time.</w:t>
      </w:r>
    </w:p>
    <w:p>
      <w:pPr>
        <w:pStyle w:val="ListParagraph"/>
        <w:numPr>
          <w:ilvl w:val="0"/>
          <w:numId w:val="2"/>
        </w:numPr>
        <w:spacing w:after="60"/>
      </w:pPr>
      <w:r>
        <w:rPr>
          <w:b/>
          <w:bCs/>
        </w:rPr>
        <w:t xml:space="preserve">Impact: </w:t>
      </w:r>
      <w:r>
        <w:t xml:space="preserve">This is an excellent use of the data-ink ratio principle: the ring communicates three pieces of information (current score, quality range, trend) in a 40×40px space. The color coding is intuitive and paired with the numeric value for accessibility.</w:t>
      </w:r>
    </w:p>
    <w:p>
      <w:pPr>
        <w:pStyle w:val="ListParagraph"/>
        <w:numPr>
          <w:ilvl w:val="0"/>
          <w:numId w:val="2"/>
        </w:numPr>
        <w:spacing w:after="60"/>
      </w:pPr>
      <w:r>
        <w:rPr>
          <w:b/>
          <w:bCs/>
        </w:rPr>
        <w:t xml:space="preserve">Recommendation: </w:t>
      </w:r>
      <w:r>
        <w:t xml:space="preserve">Reuse this pattern for other aggregate scores in the product (e.g., compliance posture score, intake completeness). Consider adding a tooltip showing the contributing dimensions on hover.</w:t>
      </w:r>
    </w:p>
    <w:p>
      <w:pPr>
        <w:pStyle w:val="ListParagraph"/>
        <w:numPr>
          <w:ilvl w:val="0"/>
          <w:numId w:val="2"/>
        </w:numPr>
        <w:spacing w:after="60"/>
      </w:pPr>
      <w:r>
        <w:rPr>
          <w:b/>
          <w:bCs/>
        </w:rPr>
        <w:t xml:space="preserve">Principle: </w:t>
      </w:r>
      <w:r>
        <w:t xml:space="preserve">Tufte’s Data-Ink Ratio — maximize the proportion of visualization elements that convey data vs. decoration.</w:t>
      </w:r>
    </w:p>
    <w:p>
      <w:pPr>
        <w:spacing w:after="80"/>
      </w:pPr>
    </w:p>
    <w:p>
      <w:pPr>
        <w:spacing w:after="120"/>
      </w:pPr>
      <w:r>
        <w:rPr>
          <w:b/>
          <w:bCs/>
          <w:color w:val="F39C12"/>
          <w:sz w:val="22"/>
          <w:szCs w:val="22"/>
        </w:rPr>
        <w:t xml:space="preserve">[MEDIUM] </w:t>
      </w:r>
      <w:r>
        <w:rPr>
          <w:b/>
          <w:bCs/>
        </w:rPr>
        <w:t xml:space="preserve">Finding: Dashboard KPI Cards Lack Comparative Context</w:t>
      </w:r>
    </w:p>
    <w:p>
      <w:pPr>
        <w:pStyle w:val="ListParagraph"/>
        <w:numPr>
          <w:ilvl w:val="0"/>
          <w:numId w:val="2"/>
        </w:numPr>
        <w:spacing w:after="60"/>
      </w:pPr>
      <w:r>
        <w:rPr>
          <w:b/>
          <w:bCs/>
        </w:rPr>
        <w:t xml:space="preserve">Screen/Location: </w:t>
      </w:r>
      <w:r>
        <w:t xml:space="preserve">dashboard/page.tsx, dashboard/kpi-card.tsx</w:t>
      </w:r>
    </w:p>
    <w:p>
      <w:pPr>
        <w:pStyle w:val="ListParagraph"/>
        <w:numPr>
          <w:ilvl w:val="0"/>
          <w:numId w:val="2"/>
        </w:numPr>
        <w:spacing w:after="60"/>
      </w:pPr>
      <w:r>
        <w:rPr>
          <w:b/>
          <w:bCs/>
        </w:rPr>
        <w:t xml:space="preserve">What exists: </w:t>
      </w:r>
      <w:r>
        <w:t xml:space="preserve">KPI cards showing: Total agents, Deployed count, Approved count, In Review count. Each shows a single large number.</w:t>
      </w:r>
    </w:p>
    <w:p>
      <w:pPr>
        <w:pStyle w:val="ListParagraph"/>
        <w:numPr>
          <w:ilvl w:val="0"/>
          <w:numId w:val="2"/>
        </w:numPr>
        <w:spacing w:after="60"/>
      </w:pPr>
      <w:r>
        <w:rPr>
          <w:b/>
          <w:bCs/>
        </w:rPr>
        <w:t xml:space="preserve">Impact: </w:t>
      </w:r>
      <w:r>
        <w:t xml:space="preserve">A number without context is just a number. “12 deployed agents” is meaningful only if you know whether that’s up or down from last week, whether it’s normal for your organization, or what the target is. Without comparative context, the dashboard answers “what is?” but not “is this good or bad?”</w:t>
      </w:r>
    </w:p>
    <w:p>
      <w:pPr>
        <w:pStyle w:val="ListParagraph"/>
        <w:numPr>
          <w:ilvl w:val="0"/>
          <w:numId w:val="2"/>
        </w:numPr>
        <w:spacing w:after="60"/>
      </w:pPr>
      <w:r>
        <w:rPr>
          <w:b/>
          <w:bCs/>
        </w:rPr>
        <w:t xml:space="preserve">Recommendation: </w:t>
      </w:r>
      <w:r>
        <w:t xml:space="preserve">Add one of: (a) trend arrows showing week-over-week change, (b) sparkline charts showing the last 30 days, or (c) a target/actual indicator. The QualityRing already demonstrates the delta pattern — apply it to KPI cards.</w:t>
      </w:r>
    </w:p>
    <w:p>
      <w:pPr>
        <w:pStyle w:val="ListParagraph"/>
        <w:numPr>
          <w:ilvl w:val="0"/>
          <w:numId w:val="2"/>
        </w:numPr>
        <w:spacing w:after="60"/>
      </w:pPr>
      <w:r>
        <w:rPr>
          <w:b/>
          <w:bCs/>
        </w:rPr>
        <w:t xml:space="preserve">Principle: </w:t>
      </w:r>
      <w:r>
        <w:t xml:space="preserve">Context is king in data visualization — isolated numbers require cognitive work to interpret; comparative indicators make data self-explanatory.</w:t>
      </w:r>
    </w:p>
    <w:p>
      <w:pPr>
        <w:spacing w:after="80"/>
      </w:pPr>
    </w:p>
    <w:p>
      <w:pPr>
        <w:spacing w:after="120"/>
      </w:pPr>
      <w:r>
        <w:rPr>
          <w:b/>
          <w:bCs/>
          <w:color w:val="2980B9"/>
          <w:sz w:val="22"/>
          <w:szCs w:val="22"/>
        </w:rPr>
        <w:t xml:space="preserve">[LOW] </w:t>
      </w:r>
      <w:r>
        <w:rPr>
          <w:b/>
          <w:bCs/>
        </w:rPr>
        <w:t xml:space="preserve">Finding: Audit Trail CSV Export Is Good but Could Include More Formats</w:t>
      </w:r>
    </w:p>
    <w:p>
      <w:pPr>
        <w:pStyle w:val="ListParagraph"/>
        <w:numPr>
          <w:ilvl w:val="0"/>
          <w:numId w:val="2"/>
        </w:numPr>
        <w:spacing w:after="60"/>
      </w:pPr>
      <w:r>
        <w:rPr>
          <w:b/>
          <w:bCs/>
        </w:rPr>
        <w:t xml:space="preserve">Screen/Location: </w:t>
      </w:r>
      <w:r>
        <w:t xml:space="preserve">audit/page.tsx — “Download All” button</w:t>
      </w:r>
    </w:p>
    <w:p>
      <w:pPr>
        <w:pStyle w:val="ListParagraph"/>
        <w:numPr>
          <w:ilvl w:val="0"/>
          <w:numId w:val="2"/>
        </w:numPr>
        <w:spacing w:after="60"/>
      </w:pPr>
      <w:r>
        <w:rPr>
          <w:b/>
          <w:bCs/>
        </w:rPr>
        <w:t xml:space="preserve">What exists: </w:t>
      </w:r>
      <w:r>
        <w:t xml:space="preserve">CSV export of all audit entries with columns: Timestamp, Entity Type, Entity ID, Action, Actor, Role, Enterprise ID.</w:t>
      </w:r>
    </w:p>
    <w:p>
      <w:pPr>
        <w:pStyle w:val="ListParagraph"/>
        <w:numPr>
          <w:ilvl w:val="0"/>
          <w:numId w:val="2"/>
        </w:numPr>
        <w:spacing w:after="60"/>
      </w:pPr>
      <w:r>
        <w:rPr>
          <w:b/>
          <w:bCs/>
        </w:rPr>
        <w:t xml:space="preserve">Impact: </w:t>
      </w:r>
      <w:r>
        <w:t xml:space="preserve">CSV is appropriate for data analysis but enterprise compliance teams often need formatted PDF reports for auditors and regulatory bodies.</w:t>
      </w:r>
    </w:p>
    <w:p>
      <w:pPr>
        <w:pStyle w:val="ListParagraph"/>
        <w:numPr>
          <w:ilvl w:val="0"/>
          <w:numId w:val="2"/>
        </w:numPr>
        <w:spacing w:after="60"/>
      </w:pPr>
      <w:r>
        <w:rPr>
          <w:b/>
          <w:bCs/>
        </w:rPr>
        <w:t xml:space="preserve">Recommendation: </w:t>
      </w:r>
      <w:r>
        <w:t xml:space="preserve">Add a “Generate Audit Report” option that produces a formatted PDF with executive summary, date range, and visual timelines. The compliance page already generates JSON reports — a PDF export would be more useful for external stakeholders.</w:t>
      </w:r>
    </w:p>
    <w:p>
      <w:pPr>
        <w:pStyle w:val="ListParagraph"/>
        <w:numPr>
          <w:ilvl w:val="0"/>
          <w:numId w:val="2"/>
        </w:numPr>
        <w:spacing w:after="60"/>
      </w:pPr>
      <w:r>
        <w:rPr>
          <w:b/>
          <w:bCs/>
        </w:rPr>
        <w:t xml:space="preserve">Principle: </w:t>
      </w:r>
      <w:r>
        <w:t xml:space="preserve">Match Between System and the Real World (Nielsen H2) — compliance officers think in “reports for auditors,” not “CSV files.”</w:t>
      </w:r>
    </w:p>
    <w:p>
      <w:r>
        <w:br w:type="page"/>
      </w:r>
    </w:p>
    <w:p>
      <w:pPr>
        <w:pStyle w:val="Heading2"/>
        <w:spacing w:after="160" w:before="240"/>
      </w:pPr>
      <w:r>
        <w:t xml:space="preserve">Pass 7 — Typography, Color &amp; Visual Design System</w:t>
      </w:r>
    </w:p>
    <w:p>
      <w:pPr>
        <w:spacing w:after="120"/>
      </w:pPr>
      <w:r>
        <w:rPr>
          <w:b/>
          <w:bCs/>
          <w:color w:val="2980B9"/>
          <w:sz w:val="22"/>
          <w:szCs w:val="22"/>
        </w:rPr>
        <w:t xml:space="preserve">[LOW] </w:t>
      </w:r>
      <w:r>
        <w:rPr>
          <w:b/>
          <w:bCs/>
        </w:rPr>
        <w:t xml:space="preserve">Finding: Design Token System Is Exceptionally Well-Structured</w:t>
      </w:r>
    </w:p>
    <w:p>
      <w:pPr>
        <w:pStyle w:val="ListParagraph"/>
        <w:numPr>
          <w:ilvl w:val="0"/>
          <w:numId w:val="2"/>
        </w:numPr>
        <w:spacing w:after="60"/>
      </w:pPr>
      <w:r>
        <w:rPr>
          <w:b/>
          <w:bCs/>
        </w:rPr>
        <w:t xml:space="preserve">Screen/Location: </w:t>
      </w:r>
      <w:r>
        <w:t xml:space="preserve">globals.css — @theme design tokens</w:t>
      </w:r>
    </w:p>
    <w:p>
      <w:pPr>
        <w:pStyle w:val="ListParagraph"/>
        <w:numPr>
          <w:ilvl w:val="0"/>
          <w:numId w:val="2"/>
        </w:numPr>
        <w:spacing w:after="60"/>
      </w:pPr>
      <w:r>
        <w:rPr>
          <w:b/>
          <w:bCs/>
        </w:rPr>
        <w:t xml:space="preserve">What exists: </w:t>
      </w:r>
      <w:r>
        <w:t xml:space="preserve">A comprehensive CSS custom properties system with semantic tokens for: brand (indigo-600), danger (red-600), success (emerald-600), warning (amber-600), caution (orange-600), info (sky-600). Each color has 6 variants (base, hover, subtle, muted, text, fg). Additional token sets for risk tiers, policy types, sensitivity levels, and surface/text colors with dark mode support.</w:t>
      </w:r>
    </w:p>
    <w:p>
      <w:pPr>
        <w:pStyle w:val="ListParagraph"/>
        <w:numPr>
          <w:ilvl w:val="0"/>
          <w:numId w:val="2"/>
        </w:numPr>
        <w:spacing w:after="60"/>
      </w:pPr>
      <w:r>
        <w:rPr>
          <w:b/>
          <w:bCs/>
        </w:rPr>
        <w:t xml:space="preserve">Impact: </w:t>
      </w:r>
      <w:r>
        <w:t xml:space="preserve">This is best-in-class design token architecture for an enterprise product. The semantic naming (--color-risk-high-subtle rather than --color-orange-100) means the token communicates intent, not just appearance. Dark mode support is built into every token. The design system is production-ready.</w:t>
      </w:r>
    </w:p>
    <w:p>
      <w:pPr>
        <w:pStyle w:val="ListParagraph"/>
        <w:numPr>
          <w:ilvl w:val="0"/>
          <w:numId w:val="2"/>
        </w:numPr>
        <w:spacing w:after="60"/>
      </w:pPr>
      <w:r>
        <w:rPr>
          <w:b/>
          <w:bCs/>
        </w:rPr>
        <w:t xml:space="preserve">Recommendation: </w:t>
      </w:r>
      <w:r>
        <w:t xml:space="preserve">Document the design token system as a public reference page within the product (an internal “Design System” page in Admin settings). This helps new designers and developers maintain consistency. Consider adding a “Design Tokens” export for customers who need to align their own branding.</w:t>
      </w:r>
    </w:p>
    <w:p>
      <w:pPr>
        <w:pStyle w:val="ListParagraph"/>
        <w:numPr>
          <w:ilvl w:val="0"/>
          <w:numId w:val="2"/>
        </w:numPr>
        <w:spacing w:after="60"/>
      </w:pPr>
      <w:r>
        <w:rPr>
          <w:b/>
          <w:bCs/>
        </w:rPr>
        <w:t xml:space="preserve">Principle: </w:t>
      </w:r>
      <w:r>
        <w:t xml:space="preserve">Aesthetic-Usability Effect — users perceive aesthetically pleasing designs as more usable; a well-maintained design system ensures sustained aesthetic quality.</w:t>
      </w:r>
    </w:p>
    <w:p>
      <w:pPr>
        <w:spacing w:after="80"/>
      </w:pPr>
    </w:p>
    <w:p>
      <w:pPr>
        <w:spacing w:after="120"/>
      </w:pPr>
      <w:r>
        <w:rPr>
          <w:b/>
          <w:bCs/>
          <w:color w:val="F39C12"/>
          <w:sz w:val="22"/>
          <w:szCs w:val="22"/>
        </w:rPr>
        <w:t xml:space="preserve">[MEDIUM] </w:t>
      </w:r>
      <w:r>
        <w:rPr>
          <w:b/>
          <w:bCs/>
        </w:rPr>
        <w:t xml:space="preserve">Finding: Typography Includes Non-Standard Micro Sizes</w:t>
      </w:r>
    </w:p>
    <w:p>
      <w:pPr>
        <w:pStyle w:val="ListParagraph"/>
        <w:numPr>
          <w:ilvl w:val="0"/>
          <w:numId w:val="2"/>
        </w:numPr>
        <w:spacing w:after="60"/>
      </w:pPr>
      <w:r>
        <w:rPr>
          <w:b/>
          <w:bCs/>
        </w:rPr>
        <w:t xml:space="preserve">Screen/Location: </w:t>
      </w:r>
      <w:r>
        <w:t xml:space="preserve">globals.css — --text-2xs: 0.625rem (10px), --text-xs-tight: 0.6875rem (11px)</w:t>
      </w:r>
    </w:p>
    <w:p>
      <w:pPr>
        <w:pStyle w:val="ListParagraph"/>
        <w:numPr>
          <w:ilvl w:val="0"/>
          <w:numId w:val="2"/>
        </w:numPr>
        <w:spacing w:after="60"/>
      </w:pPr>
      <w:r>
        <w:rPr>
          <w:b/>
          <w:bCs/>
        </w:rPr>
        <w:t xml:space="preserve">What exists: </w:t>
      </w:r>
      <w:r>
        <w:t xml:space="preserve">Custom micro typography sizes at 10px and 11px used for section headers, metadata labels, tags, and compact UI elements.</w:t>
      </w:r>
    </w:p>
    <w:p>
      <w:pPr>
        <w:pStyle w:val="ListParagraph"/>
        <w:numPr>
          <w:ilvl w:val="0"/>
          <w:numId w:val="2"/>
        </w:numPr>
        <w:spacing w:after="60"/>
      </w:pPr>
      <w:r>
        <w:rPr>
          <w:b/>
          <w:bCs/>
        </w:rPr>
        <w:t xml:space="preserve">Impact: </w:t>
      </w:r>
      <w:r>
        <w:t xml:space="preserve">10px text is below the WCAG-recommended minimum for readability. While it works for tertiary metadata (timestamps, role badges) in young users, enterprise users who are the target demographic for regulated industries may include individuals over 40 who would find 10px text difficult to read, especially on lower-DPI displays.</w:t>
      </w:r>
    </w:p>
    <w:p>
      <w:pPr>
        <w:pStyle w:val="ListParagraph"/>
        <w:numPr>
          <w:ilvl w:val="0"/>
          <w:numId w:val="2"/>
        </w:numPr>
        <w:spacing w:after="60"/>
      </w:pPr>
      <w:r>
        <w:rPr>
          <w:b/>
          <w:bCs/>
        </w:rPr>
        <w:t xml:space="preserve">Recommendation: </w:t>
      </w:r>
      <w:r>
        <w:t xml:space="preserve">Increase --text-2xs from 10px to 11px and --text-xs-tight from 11px to 12px. This preserves the visual hierarchy (micro labels remain smaller than body text at 14px) while significantly improving readability. Alternatively, test with users in the target demographic.</w:t>
      </w:r>
    </w:p>
    <w:p>
      <w:pPr>
        <w:pStyle w:val="ListParagraph"/>
        <w:numPr>
          <w:ilvl w:val="0"/>
          <w:numId w:val="2"/>
        </w:numPr>
        <w:spacing w:after="60"/>
      </w:pPr>
      <w:r>
        <w:rPr>
          <w:b/>
          <w:bCs/>
        </w:rPr>
        <w:t xml:space="preserve">Principle: </w:t>
      </w:r>
      <w:r>
        <w:t xml:space="preserve">WCAG 1.4.4 Resize Text and general readability guidelines — text should be readable without assistive technology at standard viewing distances.</w:t>
      </w:r>
    </w:p>
    <w:p>
      <w:pPr>
        <w:spacing w:after="80"/>
      </w:pPr>
    </w:p>
    <w:p>
      <w:pPr>
        <w:spacing w:after="120"/>
      </w:pPr>
      <w:r>
        <w:rPr>
          <w:b/>
          <w:bCs/>
          <w:color w:val="2980B9"/>
          <w:sz w:val="22"/>
          <w:szCs w:val="22"/>
        </w:rPr>
        <w:t xml:space="preserve">[LOW] </w:t>
      </w:r>
      <w:r>
        <w:rPr>
          <w:b/>
          <w:bCs/>
        </w:rPr>
        <w:t xml:space="preserve">Finding: Icon System Uses Two Libraries</w:t>
      </w:r>
    </w:p>
    <w:p>
      <w:pPr>
        <w:pStyle w:val="ListParagraph"/>
        <w:numPr>
          <w:ilvl w:val="0"/>
          <w:numId w:val="2"/>
        </w:numPr>
        <w:spacing w:after="60"/>
      </w:pPr>
      <w:r>
        <w:rPr>
          <w:b/>
          <w:bCs/>
        </w:rPr>
        <w:t xml:space="preserve">Screen/Location: </w:t>
      </w:r>
      <w:r>
        <w:t xml:space="preserve">Package.json: @heroicons/react + lucide-react</w:t>
      </w:r>
    </w:p>
    <w:p>
      <w:pPr>
        <w:pStyle w:val="ListParagraph"/>
        <w:numPr>
          <w:ilvl w:val="0"/>
          <w:numId w:val="2"/>
        </w:numPr>
        <w:spacing w:after="60"/>
      </w:pPr>
      <w:r>
        <w:rPr>
          <w:b/>
          <w:bCs/>
        </w:rPr>
        <w:t xml:space="preserve">What exists: </w:t>
      </w:r>
      <w:r>
        <w:t xml:space="preserve">Two icon libraries are installed: Heroicons (used in some legacy components) and Lucide React (primary library, used in sidebar, pages, and newer components).</w:t>
      </w:r>
    </w:p>
    <w:p>
      <w:pPr>
        <w:pStyle w:val="ListParagraph"/>
        <w:numPr>
          <w:ilvl w:val="0"/>
          <w:numId w:val="2"/>
        </w:numPr>
        <w:spacing w:after="60"/>
      </w:pPr>
      <w:r>
        <w:rPr>
          <w:b/>
          <w:bCs/>
        </w:rPr>
        <w:t xml:space="preserve">Impact: </w:t>
      </w:r>
      <w:r>
        <w:t xml:space="preserve">Minor visual inconsistency between icon styles. Heroicons has slightly different stroke widths and corner radii than Lucide. Most users won’t notice, but designers reviewing the product will see the seams.</w:t>
      </w:r>
    </w:p>
    <w:p>
      <w:pPr>
        <w:pStyle w:val="ListParagraph"/>
        <w:numPr>
          <w:ilvl w:val="0"/>
          <w:numId w:val="2"/>
        </w:numPr>
        <w:spacing w:after="60"/>
      </w:pPr>
      <w:r>
        <w:rPr>
          <w:b/>
          <w:bCs/>
        </w:rPr>
        <w:t xml:space="preserve">Recommendation: </w:t>
      </w:r>
      <w:r>
        <w:t xml:space="preserve">Standardize on Lucide React (which has broader icon coverage) and incrementally replace Heroicons usage. Add a lint rule that warns on new @heroicons/react imports.</w:t>
      </w:r>
    </w:p>
    <w:p>
      <w:pPr>
        <w:pStyle w:val="ListParagraph"/>
        <w:numPr>
          <w:ilvl w:val="0"/>
          <w:numId w:val="2"/>
        </w:numPr>
        <w:spacing w:after="60"/>
      </w:pPr>
      <w:r>
        <w:rPr>
          <w:b/>
          <w:bCs/>
        </w:rPr>
        <w:t xml:space="preserve">Principle: </w:t>
      </w:r>
      <w:r>
        <w:t xml:space="preserve">Design System Coherence — a single icon family ensures visual consistency and reduces cognitive noise from style mixing.</w:t>
      </w:r>
    </w:p>
    <w:p>
      <w:r>
        <w:br w:type="page"/>
      </w:r>
    </w:p>
    <w:p>
      <w:pPr>
        <w:pStyle w:val="Heading2"/>
        <w:spacing w:after="160" w:before="240"/>
      </w:pPr>
      <w:r>
        <w:t xml:space="preserve">Pass 8 — Microcopy, Labels &amp; Language</w:t>
      </w:r>
    </w:p>
    <w:p>
      <w:pPr>
        <w:spacing w:after="120"/>
      </w:pPr>
      <w:r>
        <w:rPr>
          <w:b/>
          <w:bCs/>
          <w:color w:val="E67E22"/>
          <w:sz w:val="22"/>
          <w:szCs w:val="22"/>
        </w:rPr>
        <w:t xml:space="preserve">[HIGH] </w:t>
      </w:r>
      <w:r>
        <w:rPr>
          <w:b/>
          <w:bCs/>
        </w:rPr>
        <w:t xml:space="preserve">Finding: Multiple Labels Use Product Jargon Instead of User Language</w:t>
      </w:r>
    </w:p>
    <w:p>
      <w:pPr>
        <w:pStyle w:val="ListParagraph"/>
        <w:numPr>
          <w:ilvl w:val="0"/>
          <w:numId w:val="2"/>
        </w:numPr>
        <w:spacing w:after="60"/>
      </w:pPr>
      <w:r>
        <w:rPr>
          <w:b/>
          <w:bCs/>
        </w:rPr>
        <w:t xml:space="preserve">Screen/Location: </w:t>
      </w:r>
      <w:r>
        <w:t xml:space="preserve">Sidebar navigation labels and page headings</w:t>
      </w:r>
    </w:p>
    <w:p>
      <w:pPr>
        <w:pStyle w:val="ListParagraph"/>
        <w:numPr>
          <w:ilvl w:val="0"/>
          <w:numId w:val="2"/>
        </w:numPr>
        <w:spacing w:after="60"/>
      </w:pPr>
      <w:r>
        <w:rPr>
          <w:b/>
          <w:bCs/>
        </w:rPr>
        <w:t xml:space="preserve">What exists: </w:t>
      </w:r>
      <w:r>
        <w:t xml:space="preserve">Labels that use internal product terminology: “Design Studio” (actually an AI-guided requirements conversation), “Governor” (a compliance dashboard), “Pipeline Board” (a Kanban view of agent lifecycle stages), “Blueprint Studio” (the list of agent specifications).</w:t>
      </w:r>
    </w:p>
    <w:p>
      <w:pPr>
        <w:pStyle w:val="ListParagraph"/>
        <w:numPr>
          <w:ilvl w:val="0"/>
          <w:numId w:val="2"/>
        </w:numPr>
        <w:spacing w:after="60"/>
      </w:pPr>
      <w:r>
        <w:rPr>
          <w:b/>
          <w:bCs/>
        </w:rPr>
        <w:t xml:space="preserve">Impact: </w:t>
      </w:r>
      <w:r>
        <w:t xml:space="preserve">A new user cannot predict what they’ll find behind “Governor” or “Design Studio.” These labels require the user to learn the product’s vocabulary before they can navigate it. Jakob’s Law tells us users spend most of their time on OTHER products — they expect labels like “Agents,” “Review,” “Policies,” and “Compliance.”</w:t>
      </w:r>
    </w:p>
    <w:p>
      <w:pPr>
        <w:pStyle w:val="ListParagraph"/>
        <w:numPr>
          <w:ilvl w:val="0"/>
          <w:numId w:val="2"/>
        </w:numPr>
        <w:spacing w:after="60"/>
      </w:pPr>
      <w:r>
        <w:rPr>
          <w:b/>
          <w:bCs/>
        </w:rPr>
        <w:t xml:space="preserve">Recommendation: </w:t>
      </w:r>
      <w:r>
        <w:t xml:space="preserve">See Label &amp; Copy Rewrites section below for specific rewrites. The general principle: every label should be a noun that describes what the user will FIND, not a metaphor the product team invented.</w:t>
      </w:r>
    </w:p>
    <w:p>
      <w:pPr>
        <w:pStyle w:val="ListParagraph"/>
        <w:numPr>
          <w:ilvl w:val="0"/>
          <w:numId w:val="2"/>
        </w:numPr>
        <w:spacing w:after="60"/>
      </w:pPr>
      <w:r>
        <w:rPr>
          <w:b/>
          <w:bCs/>
        </w:rPr>
        <w:t xml:space="preserve">Principle: </w:t>
      </w:r>
      <w:r>
        <w:t xml:space="preserve">Match Between System and Real World (Nielsen H2) — the system should speak the users’ language with words and concepts familiar to the user.</w:t>
      </w:r>
    </w:p>
    <w:p>
      <w:pPr>
        <w:spacing w:after="80"/>
      </w:pPr>
    </w:p>
    <w:p>
      <w:pPr>
        <w:spacing w:after="120"/>
      </w:pPr>
      <w:r>
        <w:rPr>
          <w:b/>
          <w:bCs/>
          <w:color w:val="F39C12"/>
          <w:sz w:val="22"/>
          <w:szCs w:val="22"/>
        </w:rPr>
        <w:t xml:space="preserve">[MEDIUM] </w:t>
      </w:r>
      <w:r>
        <w:rPr>
          <w:b/>
          <w:bCs/>
        </w:rPr>
        <w:t xml:space="preserve">Finding: SLA Countdown Labels Are Excellent Urgency Communication</w:t>
      </w:r>
    </w:p>
    <w:p>
      <w:pPr>
        <w:pStyle w:val="ListParagraph"/>
        <w:numPr>
          <w:ilvl w:val="0"/>
          <w:numId w:val="2"/>
        </w:numPr>
        <w:spacing w:after="60"/>
      </w:pPr>
      <w:r>
        <w:rPr>
          <w:b/>
          <w:bCs/>
        </w:rPr>
        <w:t xml:space="preserve">Screen/Location: </w:t>
      </w:r>
      <w:r>
        <w:t xml:space="preserve">review/page.tsx — SLA countdown in review queue entries</w:t>
      </w:r>
    </w:p>
    <w:p>
      <w:pPr>
        <w:pStyle w:val="ListParagraph"/>
        <w:numPr>
          <w:ilvl w:val="0"/>
          <w:numId w:val="2"/>
        </w:numPr>
        <w:spacing w:after="60"/>
      </w:pPr>
      <w:r>
        <w:rPr>
          <w:b/>
          <w:bCs/>
        </w:rPr>
        <w:t xml:space="preserve">What exists: </w:t>
      </w:r>
      <w:r>
        <w:t xml:space="preserve">Contextual time-remaining labels that adapt to urgency: “Overdue 12h” (red), “45m remaining” (red), “3h 20m remaining” (amber), “1d 4h remaining” (normal). The display format changes based on the time remaining, showing hours+minutes when close and days+hours when far.</w:t>
      </w:r>
    </w:p>
    <w:p>
      <w:pPr>
        <w:pStyle w:val="ListParagraph"/>
        <w:numPr>
          <w:ilvl w:val="0"/>
          <w:numId w:val="2"/>
        </w:numPr>
        <w:spacing w:after="60"/>
      </w:pPr>
      <w:r>
        <w:rPr>
          <w:b/>
          <w:bCs/>
        </w:rPr>
        <w:t xml:space="preserve">Impact: </w:t>
      </w:r>
      <w:r>
        <w:t xml:space="preserve">This is outstanding urgency communication. The label format naturally escalates visual urgency as the deadline approaches, and the color coding reinforces the time pressure. A reviewer can scan the queue and instantly identify which items are most urgent.</w:t>
      </w:r>
    </w:p>
    <w:p>
      <w:pPr>
        <w:pStyle w:val="ListParagraph"/>
        <w:numPr>
          <w:ilvl w:val="0"/>
          <w:numId w:val="2"/>
        </w:numPr>
        <w:spacing w:after="60"/>
      </w:pPr>
      <w:r>
        <w:rPr>
          <w:b/>
          <w:bCs/>
        </w:rPr>
        <w:t xml:space="preserve">Recommendation: </w:t>
      </w:r>
      <w:r>
        <w:t xml:space="preserve">This pattern should be documented and reused for any time-bound activity in the product (compliance deadlines, periodic review dates, evidence package expiry).</w:t>
      </w:r>
    </w:p>
    <w:p>
      <w:pPr>
        <w:pStyle w:val="ListParagraph"/>
        <w:numPr>
          <w:ilvl w:val="0"/>
          <w:numId w:val="2"/>
        </w:numPr>
        <w:spacing w:after="60"/>
      </w:pPr>
      <w:r>
        <w:rPr>
          <w:b/>
          <w:bCs/>
        </w:rPr>
        <w:t xml:space="preserve">Principle: </w:t>
      </w:r>
      <w:r>
        <w:t xml:space="preserve">Visibility of System Status (Nielsen H1) — the system should keep users informed about what’s going on through appropriate feedback within reasonable time.</w:t>
      </w:r>
    </w:p>
    <w:p>
      <w:pPr>
        <w:spacing w:after="80"/>
      </w:pPr>
    </w:p>
    <w:p>
      <w:pPr>
        <w:spacing w:after="120"/>
      </w:pPr>
      <w:r>
        <w:rPr>
          <w:b/>
          <w:bCs/>
          <w:color w:val="F39C12"/>
          <w:sz w:val="22"/>
          <w:szCs w:val="22"/>
        </w:rPr>
        <w:t xml:space="preserve">[MEDIUM] </w:t>
      </w:r>
      <w:r>
        <w:rPr>
          <w:b/>
          <w:bCs/>
        </w:rPr>
        <w:t xml:space="preserve">Finding: Deploy Error Messages Are Best-in-Class</w:t>
      </w:r>
    </w:p>
    <w:p>
      <w:pPr>
        <w:pStyle w:val="ListParagraph"/>
        <w:numPr>
          <w:ilvl w:val="0"/>
          <w:numId w:val="2"/>
        </w:numPr>
        <w:spacing w:after="60"/>
      </w:pPr>
      <w:r>
        <w:rPr>
          <w:b/>
          <w:bCs/>
        </w:rPr>
        <w:t xml:space="preserve">Screen/Location: </w:t>
      </w:r>
      <w:r>
        <w:t xml:space="preserve">deploy/page.tsx — AgentCore error enrichment</w:t>
      </w:r>
    </w:p>
    <w:p>
      <w:pPr>
        <w:pStyle w:val="ListParagraph"/>
        <w:numPr>
          <w:ilvl w:val="0"/>
          <w:numId w:val="2"/>
        </w:numPr>
        <w:spacing w:after="60"/>
      </w:pPr>
      <w:r>
        <w:rPr>
          <w:b/>
          <w:bCs/>
        </w:rPr>
        <w:t xml:space="preserve">What exists: </w:t>
      </w:r>
      <w:r>
        <w:t xml:space="preserve">When an AWS deployment fails, the raw error is mapped to a specific, actionable guidance message. Example: “AWS permission denied” is enriched to include IAM role guidance. “Service quota exceeded” includes a link to request quota increase. “Foundation model not found” suggests verifying the model ID.</w:t>
      </w:r>
    </w:p>
    <w:p>
      <w:pPr>
        <w:pStyle w:val="ListParagraph"/>
        <w:numPr>
          <w:ilvl w:val="0"/>
          <w:numId w:val="2"/>
        </w:numPr>
        <w:spacing w:after="60"/>
      </w:pPr>
      <w:r>
        <w:rPr>
          <w:b/>
          <w:bCs/>
        </w:rPr>
        <w:t xml:space="preserve">Impact: </w:t>
      </w:r>
      <w:r>
        <w:t xml:space="preserve">These error messages transform a frustrating dead-end into a solvable problem. They follow the three golden rules of error messaging: (1) say what went wrong, (2) explain why, and (3) tell the user how to fix it. This is the standard every error message in the product should aspire to.</w:t>
      </w:r>
    </w:p>
    <w:p>
      <w:pPr>
        <w:pStyle w:val="ListParagraph"/>
        <w:numPr>
          <w:ilvl w:val="0"/>
          <w:numId w:val="2"/>
        </w:numPr>
        <w:spacing w:after="60"/>
      </w:pPr>
      <w:r>
        <w:rPr>
          <w:b/>
          <w:bCs/>
        </w:rPr>
        <w:t xml:space="preserve">Recommendation: </w:t>
      </w:r>
      <w:r>
        <w:t xml:space="preserve">Audit all other error messages in the product against this standard. The governance validation errors and intake session errors should receive similar enrichment.</w:t>
      </w:r>
    </w:p>
    <w:p>
      <w:pPr>
        <w:pStyle w:val="ListParagraph"/>
        <w:numPr>
          <w:ilvl w:val="0"/>
          <w:numId w:val="2"/>
        </w:numPr>
        <w:spacing w:after="60"/>
      </w:pPr>
      <w:r>
        <w:rPr>
          <w:b/>
          <w:bCs/>
        </w:rPr>
        <w:t xml:space="preserve">Principle: </w:t>
      </w:r>
      <w:r>
        <w:t xml:space="preserve">Help Users Recognize, Diagnose, and Recover from Errors (Nielsen H9) — error messages should be expressed in plain language, precisely indicate the problem, and constructively suggest a solution.</w:t>
      </w:r>
    </w:p>
    <w:p>
      <w:r>
        <w:br w:type="page"/>
      </w:r>
    </w:p>
    <w:p>
      <w:pPr>
        <w:pStyle w:val="Heading2"/>
        <w:spacing w:after="160" w:before="240"/>
      </w:pPr>
      <w:r>
        <w:t xml:space="preserve">Pass 9 — Accessibility &amp; Inclusive Design</w:t>
      </w:r>
    </w:p>
    <w:p>
      <w:pPr>
        <w:spacing w:after="120"/>
      </w:pPr>
      <w:r>
        <w:rPr>
          <w:b/>
          <w:bCs/>
          <w:color w:val="E67E22"/>
          <w:sz w:val="22"/>
          <w:szCs w:val="22"/>
        </w:rPr>
        <w:t xml:space="preserve">[HIGH] </w:t>
      </w:r>
      <w:r>
        <w:rPr>
          <w:b/>
          <w:bCs/>
        </w:rPr>
        <w:t xml:space="preserve">Finding: Health Pulse Uses Color-Only Encoding</w:t>
      </w:r>
    </w:p>
    <w:p>
      <w:pPr>
        <w:pStyle w:val="ListParagraph"/>
        <w:numPr>
          <w:ilvl w:val="0"/>
          <w:numId w:val="2"/>
        </w:numPr>
        <w:spacing w:after="60"/>
      </w:pPr>
      <w:r>
        <w:rPr>
          <w:b/>
          <w:bCs/>
        </w:rPr>
        <w:t xml:space="preserve">Screen/Location: </w:t>
      </w:r>
      <w:r>
        <w:t xml:space="preserve">registry/page.tsx, monitor/page.tsx — HealthPulse dot indicator</w:t>
      </w:r>
    </w:p>
    <w:p>
      <w:pPr>
        <w:pStyle w:val="ListParagraph"/>
        <w:numPr>
          <w:ilvl w:val="0"/>
          <w:numId w:val="2"/>
        </w:numPr>
        <w:spacing w:after="60"/>
      </w:pPr>
      <w:r>
        <w:rPr>
          <w:b/>
          <w:bCs/>
        </w:rPr>
        <w:t xml:space="preserve">What exists: </w:t>
      </w:r>
      <w:r>
        <w:t xml:space="preserve">A small colored circle (emerald=clean, amber=warnings, red=errors, gray=not validated) next to each agent in the registry and monitor lists.</w:t>
      </w:r>
    </w:p>
    <w:p>
      <w:pPr>
        <w:pStyle w:val="ListParagraph"/>
        <w:numPr>
          <w:ilvl w:val="0"/>
          <w:numId w:val="2"/>
        </w:numPr>
        <w:spacing w:after="60"/>
      </w:pPr>
      <w:r>
        <w:rPr>
          <w:b/>
          <w:bCs/>
        </w:rPr>
        <w:t xml:space="preserve">Impact: </w:t>
      </w:r>
      <w:r>
        <w:t xml:space="preserve">Users with color vision deficiency (approximately 8% of males) cannot distinguish between the green, amber, and red dots. While the governance badge text provides a secondary indicator, the HealthPulse dot itself relies on color alone for quick scanning. This fails WCAG 1.4.1 Use of Color.</w:t>
      </w:r>
    </w:p>
    <w:p>
      <w:pPr>
        <w:pStyle w:val="ListParagraph"/>
        <w:numPr>
          <w:ilvl w:val="0"/>
          <w:numId w:val="2"/>
        </w:numPr>
        <w:spacing w:after="60"/>
      </w:pPr>
      <w:r>
        <w:rPr>
          <w:b/>
          <w:bCs/>
        </w:rPr>
        <w:t xml:space="preserve">Recommendation: </w:t>
      </w:r>
      <w:r>
        <w:t xml:space="preserve">Add a shape or icon secondary encoding: checkmark for clean, warning triangle for warnings, X-circle for errors, question mark for not validated. The StatusBadge component already does this well with text labels — the HealthPulse should follow the same pattern.</w:t>
      </w:r>
    </w:p>
    <w:p>
      <w:pPr>
        <w:pStyle w:val="ListParagraph"/>
        <w:numPr>
          <w:ilvl w:val="0"/>
          <w:numId w:val="2"/>
        </w:numPr>
        <w:spacing w:after="60"/>
      </w:pPr>
      <w:r>
        <w:rPr>
          <w:b/>
          <w:bCs/>
        </w:rPr>
        <w:t xml:space="preserve">Principle: </w:t>
      </w:r>
      <w:r>
        <w:t xml:space="preserve">WCAG 1.4.1 Use of Color — color must not be the only visual means of conveying information.</w:t>
      </w:r>
    </w:p>
    <w:p>
      <w:pPr>
        <w:spacing w:after="80"/>
      </w:pPr>
    </w:p>
    <w:p>
      <w:pPr>
        <w:spacing w:after="120"/>
      </w:pPr>
      <w:r>
        <w:rPr>
          <w:b/>
          <w:bCs/>
          <w:color w:val="F39C12"/>
          <w:sz w:val="22"/>
          <w:szCs w:val="22"/>
        </w:rPr>
        <w:t xml:space="preserve">[MEDIUM] </w:t>
      </w:r>
      <w:r>
        <w:rPr>
          <w:b/>
          <w:bCs/>
        </w:rPr>
        <w:t xml:space="preserve">Finding: Sidebar Uses ARIA Landmarks Correctly</w:t>
      </w:r>
    </w:p>
    <w:p>
      <w:pPr>
        <w:pStyle w:val="ListParagraph"/>
        <w:numPr>
          <w:ilvl w:val="0"/>
          <w:numId w:val="2"/>
        </w:numPr>
        <w:spacing w:after="60"/>
      </w:pPr>
      <w:r>
        <w:rPr>
          <w:b/>
          <w:bCs/>
        </w:rPr>
        <w:t xml:space="preserve">Screen/Location: </w:t>
      </w:r>
      <w:r>
        <w:t xml:space="preserve">nav/sidebar.tsx</w:t>
      </w:r>
    </w:p>
    <w:p>
      <w:pPr>
        <w:pStyle w:val="ListParagraph"/>
        <w:numPr>
          <w:ilvl w:val="0"/>
          <w:numId w:val="2"/>
        </w:numPr>
        <w:spacing w:after="60"/>
      </w:pPr>
      <w:r>
        <w:rPr>
          <w:b/>
          <w:bCs/>
        </w:rPr>
        <w:t xml:space="preserve">What exists: </w:t>
      </w:r>
      <w:r>
        <w:t xml:space="preserve">The sidebar has role=“navigation” and aria-label=“Main navigation.” Active links use aria-current=“page.” Focus management respects keyboard navigation.</w:t>
      </w:r>
    </w:p>
    <w:p>
      <w:pPr>
        <w:pStyle w:val="ListParagraph"/>
        <w:numPr>
          <w:ilvl w:val="0"/>
          <w:numId w:val="2"/>
        </w:numPr>
        <w:spacing w:after="60"/>
      </w:pPr>
      <w:r>
        <w:rPr>
          <w:b/>
          <w:bCs/>
        </w:rPr>
        <w:t xml:space="preserve">Impact: </w:t>
      </w:r>
      <w:r>
        <w:t xml:space="preserve">Screen reader users can identify and navigate the sidebar correctly. The aria-current attribute ensures the current page is announced. This is correct implementation.</w:t>
      </w:r>
    </w:p>
    <w:p>
      <w:pPr>
        <w:pStyle w:val="ListParagraph"/>
        <w:numPr>
          <w:ilvl w:val="0"/>
          <w:numId w:val="2"/>
        </w:numPr>
        <w:spacing w:after="60"/>
      </w:pPr>
      <w:r>
        <w:rPr>
          <w:b/>
          <w:bCs/>
        </w:rPr>
        <w:t xml:space="preserve">Recommendation: </w:t>
      </w:r>
      <w:r>
        <w:t xml:space="preserve">Extend this pattern to the Governor sidebar (verify it also has aria-label). Add skip navigation links at the top of the page for keyboard users to bypass the sidebar.</w:t>
      </w:r>
    </w:p>
    <w:p>
      <w:pPr>
        <w:pStyle w:val="ListParagraph"/>
        <w:numPr>
          <w:ilvl w:val="0"/>
          <w:numId w:val="2"/>
        </w:numPr>
        <w:spacing w:after="60"/>
      </w:pPr>
      <w:r>
        <w:rPr>
          <w:b/>
          <w:bCs/>
        </w:rPr>
        <w:t xml:space="preserve">Principle: </w:t>
      </w:r>
      <w:r>
        <w:t xml:space="preserve">WCAG 2.4.1 Bypass Blocks — a mechanism should be available to bypass blocks of content that are repeated on multiple pages.</w:t>
      </w:r>
    </w:p>
    <w:p>
      <w:pPr>
        <w:spacing w:after="80"/>
      </w:pPr>
    </w:p>
    <w:p>
      <w:pPr>
        <w:spacing w:after="120"/>
      </w:pPr>
      <w:r>
        <w:rPr>
          <w:b/>
          <w:bCs/>
          <w:color w:val="F39C12"/>
          <w:sz w:val="22"/>
          <w:szCs w:val="22"/>
        </w:rPr>
        <w:t xml:space="preserve">[MEDIUM] </w:t>
      </w:r>
      <w:r>
        <w:rPr>
          <w:b/>
          <w:bCs/>
        </w:rPr>
        <w:t xml:space="preserve">Finding: 10px Micro Text Risks Failing WCAG Resize Standards</w:t>
      </w:r>
    </w:p>
    <w:p>
      <w:pPr>
        <w:pStyle w:val="ListParagraph"/>
        <w:numPr>
          <w:ilvl w:val="0"/>
          <w:numId w:val="2"/>
        </w:numPr>
        <w:spacing w:after="60"/>
      </w:pPr>
      <w:r>
        <w:rPr>
          <w:b/>
          <w:bCs/>
        </w:rPr>
        <w:t xml:space="preserve">Screen/Location: </w:t>
      </w:r>
      <w:r>
        <w:t xml:space="preserve">Global — text-2xs (10px) used for section headers, role badges, metadata</w:t>
      </w:r>
    </w:p>
    <w:p>
      <w:pPr>
        <w:pStyle w:val="ListParagraph"/>
        <w:numPr>
          <w:ilvl w:val="0"/>
          <w:numId w:val="2"/>
        </w:numPr>
        <w:spacing w:after="60"/>
      </w:pPr>
      <w:r>
        <w:rPr>
          <w:b/>
          <w:bCs/>
        </w:rPr>
        <w:t xml:space="preserve">What exists: </w:t>
      </w:r>
      <w:r>
        <w:t xml:space="preserve">10px text used for uppercase section labels in the sidebar, role badges in user profile, and timestamp metadata throughout the product.</w:t>
      </w:r>
    </w:p>
    <w:p>
      <w:pPr>
        <w:pStyle w:val="ListParagraph"/>
        <w:numPr>
          <w:ilvl w:val="0"/>
          <w:numId w:val="2"/>
        </w:numPr>
        <w:spacing w:after="60"/>
      </w:pPr>
      <w:r>
        <w:rPr>
          <w:b/>
          <w:bCs/>
        </w:rPr>
        <w:t xml:space="preserve">Impact: </w:t>
      </w:r>
      <w:r>
        <w:t xml:space="preserve">While WCAG doesn’t specify a minimum font size, 10px text on a standard display is approximately 7.5pt — below the 9pt threshold many accessibility guidelines consider minimum for comfortable reading. Enterprise compliance officers working with this product for hours daily will experience eye strain.</w:t>
      </w:r>
    </w:p>
    <w:p>
      <w:pPr>
        <w:pStyle w:val="ListParagraph"/>
        <w:numPr>
          <w:ilvl w:val="0"/>
          <w:numId w:val="2"/>
        </w:numPr>
        <w:spacing w:after="60"/>
      </w:pPr>
      <w:r>
        <w:rPr>
          <w:b/>
          <w:bCs/>
        </w:rPr>
        <w:t xml:space="preserve">Recommendation: </w:t>
      </w:r>
      <w:r>
        <w:t xml:space="preserve">Increase minimum text size to 11px. For sidebar section labels, use letter-spacing: 0.1em at 11px rather than relying on 10px for the “small caps” effect.</w:t>
      </w:r>
    </w:p>
    <w:p>
      <w:pPr>
        <w:pStyle w:val="ListParagraph"/>
        <w:numPr>
          <w:ilvl w:val="0"/>
          <w:numId w:val="2"/>
        </w:numPr>
        <w:spacing w:after="60"/>
      </w:pPr>
      <w:r>
        <w:rPr>
          <w:b/>
          <w:bCs/>
        </w:rPr>
        <w:t xml:space="preserve">Principle: </w:t>
      </w:r>
      <w:r>
        <w:t xml:space="preserve">WCAG 1.4.4 Resize Text and inclusive design for diverse user demographics including aging enterprise professionals.</w:t>
      </w:r>
    </w:p>
    <w:p>
      <w:r>
        <w:br w:type="page"/>
      </w:r>
    </w:p>
    <w:p>
      <w:pPr>
        <w:pStyle w:val="Heading2"/>
        <w:spacing w:after="160" w:before="240"/>
      </w:pPr>
      <w:r>
        <w:t xml:space="preserve">Pass 10 — Systemic &amp; Strategic Assessment</w:t>
      </w:r>
    </w:p>
    <w:p>
      <w:pPr>
        <w:spacing w:after="120"/>
      </w:pPr>
      <w:r>
        <w:rPr>
          <w:b/>
          <w:bCs/>
        </w:rPr>
        <w:t xml:space="preserve">Experience Consistency: 4/5</w:t>
      </w:r>
    </w:p>
    <w:p>
      <w:pPr>
        <w:spacing w:after="120"/>
      </w:pPr>
      <w:r>
        <w:t xml:space="preserve">Intellios feels like a single product despite its complexity. The design token system, consistent color coding, and shared component patterns create a unified visual language across 20+ screens. The main source of drift is the Governor module, which introduces a separate navigation paradigm. Removing this parallel navigation would bring the consistency to 5/5.</w:t>
      </w:r>
    </w:p>
    <w:p>
      <w:pPr>
        <w:spacing w:after="80"/>
      </w:pPr>
    </w:p>
    <w:p>
      <w:pPr>
        <w:spacing w:after="120"/>
      </w:pPr>
      <w:r>
        <w:rPr>
          <w:b/>
          <w:bCs/>
        </w:rPr>
        <w:t xml:space="preserve">Cognitive Load Budget Assessment:</w:t>
      </w:r>
    </w:p>
    <w:p>
      <w:pPr>
        <w:pStyle w:val="ListParagraph"/>
        <w:numPr>
          <w:ilvl w:val="0"/>
          <w:numId w:val="2"/>
        </w:numPr>
        <w:spacing w:after="60"/>
      </w:pPr>
      <w:r>
        <w:rPr>
          <w:b/>
          <w:bCs/>
        </w:rPr>
        <w:t xml:space="preserve">Intrinsic load (acceptable): </w:t>
      </w:r>
      <w:r>
        <w:t xml:space="preserve">AI agent design is inherently complex. The intake conversation, governance validation, and blueprint structure reflect real-world complexity that cannot be simplified away.</w:t>
      </w:r>
    </w:p>
    <w:p>
      <w:pPr>
        <w:pStyle w:val="ListParagraph"/>
        <w:numPr>
          <w:ilvl w:val="0"/>
          <w:numId w:val="2"/>
        </w:numPr>
        <w:spacing w:after="60"/>
      </w:pPr>
      <w:r>
        <w:rPr>
          <w:b/>
          <w:bCs/>
        </w:rPr>
        <w:t xml:space="preserve">Extraneous load (must eliminate): </w:t>
      </w:r>
      <w:r>
        <w:t xml:space="preserve">(1) The 16–20 sidebar items force scanning and decision-making that could be eliminated with navigation consolidation. (2) Two parallel governance UIs (main + Governor) force users to maintain two mental maps. (3) The Blueprint Detail’s simultaneous 8-section stepper + tabs + chat panels create visual overwhelm.</w:t>
      </w:r>
    </w:p>
    <w:p>
      <w:pPr>
        <w:pStyle w:val="ListParagraph"/>
        <w:numPr>
          <w:ilvl w:val="0"/>
          <w:numId w:val="2"/>
        </w:numPr>
        <w:spacing w:after="60"/>
      </w:pPr>
      <w:r>
        <w:rPr>
          <w:b/>
          <w:bCs/>
        </w:rPr>
        <w:t xml:space="preserve">Germane load (preserve): </w:t>
      </w:r>
      <w:r>
        <w:t xml:space="preserve">The domain progress strip in intake, the lifecycle status badges, and the action queue on the home page all help users build a mental model of the agent lifecycle. These are good complexity.</w:t>
      </w:r>
    </w:p>
    <w:p>
      <w:pPr>
        <w:spacing w:after="80"/>
      </w:pPr>
    </w:p>
    <w:p>
      <w:pPr>
        <w:spacing w:after="120"/>
      </w:pPr>
      <w:r>
        <w:rPr>
          <w:b/>
          <w:bCs/>
        </w:rPr>
        <w:t xml:space="preserve">Design Debt Indicators:</w:t>
      </w:r>
    </w:p>
    <w:p>
      <w:pPr>
        <w:pStyle w:val="ListParagraph"/>
        <w:numPr>
          <w:ilvl w:val="0"/>
          <w:numId w:val="3"/>
        </w:numPr>
        <w:spacing w:after="60"/>
      </w:pPr>
      <w:r>
        <w:t xml:space="preserve">Dual component libraries (catalyst/ and ui/) with overlapping implementations</w:t>
      </w:r>
    </w:p>
    <w:p>
      <w:pPr>
        <w:pStyle w:val="ListParagraph"/>
        <w:numPr>
          <w:ilvl w:val="0"/>
          <w:numId w:val="3"/>
        </w:numPr>
        <w:spacing w:after="60"/>
      </w:pPr>
      <w:r>
        <w:t xml:space="preserve">Dual icon libraries (@heroicons/react and lucide-react)</w:t>
      </w:r>
    </w:p>
    <w:p>
      <w:pPr>
        <w:pStyle w:val="ListParagraph"/>
        <w:numPr>
          <w:ilvl w:val="0"/>
          <w:numId w:val="3"/>
        </w:numPr>
        <w:spacing w:after="60"/>
      </w:pPr>
      <w:r>
        <w:t xml:space="preserve">Governor module as a separate app rather than an integrated view</w:t>
      </w:r>
    </w:p>
    <w:p>
      <w:pPr>
        <w:pStyle w:val="ListParagraph"/>
        <w:numPr>
          <w:ilvl w:val="0"/>
          <w:numId w:val="3"/>
        </w:numPr>
        <w:spacing w:after="60"/>
      </w:pPr>
      <w:r>
        <w:t xml:space="preserve">Inconsistent heading between Reviewer home (“Review Queue”) and the actual Review Queue page</w:t>
      </w:r>
    </w:p>
    <w:p>
      <w:pPr>
        <w:pStyle w:val="ListParagraph"/>
        <w:numPr>
          <w:ilvl w:val="0"/>
          <w:numId w:val="3"/>
        </w:numPr>
        <w:spacing w:after="60"/>
      </w:pPr>
      <w:r>
        <w:t xml:space="preserve">Landing page uses custom styling rather than the design token system</w:t>
      </w:r>
    </w:p>
    <w:p>
      <w:r>
        <w:br w:type="page"/>
      </w:r>
    </w:p>
    <w:p>
      <w:pPr>
        <w:pStyle w:val="Heading1"/>
        <w:spacing w:after="160" w:before="240"/>
      </w:pPr>
      <w:r>
        <w:t xml:space="preserve">ISSUE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1360"/>
        <w:gridCol w:w="2500"/>
      </w:tblGrid>
      <w:tr>
        <w:tc>
          <w:tcPr>
            <w:tcW w:type="dxa" w:w="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w:t>
            </w:r>
          </w:p>
        </w:tc>
        <w:tc>
          <w:tcPr>
            <w:tcW w:type="dxa" w:w="5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Finding</w:t>
            </w:r>
          </w:p>
        </w:tc>
        <w:tc>
          <w:tcPr>
            <w:tcW w:type="dxa" w:w="1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Dimension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1</w:t>
            </w:r>
          </w:p>
        </w:tc>
        <w:tc>
          <w:tcPr>
            <w:tcW w:type="dxa" w:w="5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Governor Module creates parallel navigation universe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CRITICAL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Clarity</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2</w:t>
            </w:r>
          </w:p>
        </w:tc>
        <w:tc>
          <w:tcPr>
            <w:tcW w:type="dxa" w:w="5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Navigation has 16–20 items across 4 sections</w:t>
            </w:r>
          </w:p>
        </w:tc>
        <w:tc>
          <w:tcPr>
            <w:tcW w:type="dxa" w:w="1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CRITICAL</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Clarity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3</w:t>
            </w:r>
          </w:p>
        </w:tc>
        <w:tc>
          <w:tcPr>
            <w:tcW w:type="dxa" w:w="5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Reviewer home page mislabeled as “Review Queue”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Clarity</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4</w:t>
            </w:r>
          </w:p>
        </w:tc>
        <w:tc>
          <w:tcPr>
            <w:tcW w:type="dxa" w:w="5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Design Studio/Blueprints/Pipeline/Registry are stages not destinations</w:t>
            </w:r>
          </w:p>
        </w:tc>
        <w:tc>
          <w:tcPr>
            <w:tcW w:type="dxa" w:w="1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Value Delivery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5</w:t>
            </w:r>
          </w:p>
        </w:tc>
        <w:tc>
          <w:tcPr>
            <w:tcW w:type="dxa" w:w="5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Command Palette poorly discoverable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Ease of Use</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6</w:t>
            </w:r>
          </w:p>
        </w:tc>
        <w:tc>
          <w:tcPr>
            <w:tcW w:type="dxa" w:w="5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Blueprint Detail page overwhelmingly dense</w:t>
            </w:r>
          </w:p>
        </w:tc>
        <w:tc>
          <w:tcPr>
            <w:tcW w:type="dxa" w:w="1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Ease of Use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7</w:t>
            </w:r>
          </w:p>
        </w:tc>
        <w:tc>
          <w:tcPr>
            <w:tcW w:type="dxa" w:w="5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Two parallel component libraries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Consistency</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8</w:t>
            </w:r>
          </w:p>
        </w:tc>
        <w:tc>
          <w:tcPr>
            <w:tcW w:type="dxa" w:w="5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Governance-to-remediation loop too many clicks</w:t>
            </w:r>
          </w:p>
        </w:tc>
        <w:tc>
          <w:tcPr>
            <w:tcW w:type="dxa" w:w="1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Efficiency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9</w:t>
            </w:r>
          </w:p>
        </w:tc>
        <w:tc>
          <w:tcPr>
            <w:tcW w:type="dxa" w:w="5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Multiple labels use product jargon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Clarity</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10</w:t>
            </w:r>
          </w:p>
        </w:tc>
        <w:tc>
          <w:tcPr>
            <w:tcW w:type="dxa" w:w="5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Health Pulse uses color-only encoding</w:t>
            </w:r>
          </w:p>
        </w:tc>
        <w:tc>
          <w:tcPr>
            <w:tcW w:type="dxa" w:w="1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Accessibility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11</w:t>
            </w:r>
          </w:p>
        </w:tc>
        <w:tc>
          <w:tcPr>
            <w:tcW w:type="dxa" w:w="5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Compliance page 4 tables competing</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Value Delivery</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12</w:t>
            </w:r>
          </w:p>
        </w:tc>
        <w:tc>
          <w:tcPr>
            <w:tcW w:type="dxa" w:w="5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No undo for blueprint lifecycle actions</w:t>
            </w:r>
          </w:p>
        </w:tc>
        <w:tc>
          <w:tcPr>
            <w:tcW w:type="dxa" w:w="1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Actionability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13</w:t>
            </w:r>
          </w:p>
        </w:tc>
        <w:tc>
          <w:tcPr>
            <w:tcW w:type="dxa" w:w="5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Empty states lack value context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Value Delivery</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14</w:t>
            </w:r>
          </w:p>
        </w:tc>
        <w:tc>
          <w:tcPr>
            <w:tcW w:type="dxa" w:w="5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Dashboard KPIs lack comparative context</w:t>
            </w:r>
          </w:p>
        </w:tc>
        <w:tc>
          <w:tcPr>
            <w:tcW w:type="dxa" w:w="1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Value Delivery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15</w:t>
            </w:r>
          </w:p>
        </w:tc>
        <w:tc>
          <w:tcPr>
            <w:tcW w:type="dxa" w:w="5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10px micro text risks readability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Accessibility</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16</w:t>
            </w:r>
          </w:p>
        </w:tc>
        <w:tc>
          <w:tcPr>
            <w:tcW w:type="dxa" w:w="5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Typography micro sizes non-standard</w:t>
            </w:r>
          </w:p>
        </w:tc>
        <w:tc>
          <w:tcPr>
            <w:tcW w:type="dxa" w:w="1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Accessibility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17</w:t>
            </w:r>
          </w:p>
        </w:tc>
        <w:tc>
          <w:tcPr>
            <w:tcW w:type="dxa" w:w="5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Dual icon libraries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LOW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Consistency</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18</w:t>
            </w:r>
          </w:p>
        </w:tc>
        <w:tc>
          <w:tcPr>
            <w:tcW w:type="dxa" w:w="5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Audit Trail CSV-only export</w:t>
            </w:r>
          </w:p>
        </w:tc>
        <w:tc>
          <w:tcPr>
            <w:tcW w:type="dxa" w:w="1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LOW</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Value Delivery</w:t>
            </w:r>
          </w:p>
        </w:tc>
      </w:tr>
    </w:tbl>
    <w:p>
      <w:r>
        <w:br w:type="page"/>
      </w:r>
    </w:p>
    <w:p>
      <w:pPr>
        <w:pStyle w:val="Heading1"/>
        <w:spacing w:after="160" w:before="240"/>
      </w:pPr>
      <w:r>
        <w:t xml:space="preserve">QUICK WINS (&lt; 1 Day to Implement)</w:t>
      </w:r>
    </w:p>
    <w:p>
      <w:pPr>
        <w:pStyle w:val="ListParagraph"/>
        <w:numPr>
          <w:ilvl w:val="0"/>
          <w:numId w:val="3"/>
        </w:numPr>
        <w:spacing w:after="60"/>
      </w:pPr>
      <w:r>
        <w:rPr>
          <w:b/>
          <w:bCs/>
        </w:rPr>
        <w:t xml:space="preserve">Rename Reviewer home heading </w:t>
      </w:r>
      <w:r>
        <w:t xml:space="preserve">from “Review Queue” to “Review Overview” — one line change in page.tsx, immediately eliminates label collision.</w:t>
      </w:r>
    </w:p>
    <w:p>
      <w:pPr>
        <w:pStyle w:val="ListParagraph"/>
        <w:numPr>
          <w:ilvl w:val="0"/>
          <w:numId w:val="3"/>
        </w:numPr>
        <w:spacing w:after="60"/>
      </w:pPr>
      <w:r>
        <w:rPr>
          <w:b/>
          <w:bCs/>
        </w:rPr>
        <w:t xml:space="preserve">Increase minimum font size </w:t>
      </w:r>
      <w:r>
        <w:t xml:space="preserve">from 10px to 11px in globals.css — change --text-2xs from 0.625rem to 0.6875rem. Improves readability for enterprise demographic.</w:t>
      </w:r>
    </w:p>
    <w:p>
      <w:pPr>
        <w:pStyle w:val="ListParagraph"/>
        <w:numPr>
          <w:ilvl w:val="0"/>
          <w:numId w:val="3"/>
        </w:numPr>
        <w:spacing w:after="60"/>
      </w:pPr>
      <w:r>
        <w:rPr>
          <w:b/>
          <w:bCs/>
        </w:rPr>
        <w:t xml:space="preserve">Add shape encoding to HealthPulse </w:t>
      </w:r>
      <w:r>
        <w:t xml:space="preserve">— replace the colored dot with tiny icons (checkmark/warning/x-circle/question) inside the colored circle. Fixes WCAG 1.4.1 color-only issue.</w:t>
      </w:r>
    </w:p>
    <w:p>
      <w:pPr>
        <w:pStyle w:val="ListParagraph"/>
        <w:numPr>
          <w:ilvl w:val="0"/>
          <w:numId w:val="3"/>
        </w:numPr>
        <w:spacing w:after="60"/>
      </w:pPr>
      <w:r>
        <w:rPr>
          <w:b/>
          <w:bCs/>
        </w:rPr>
        <w:t xml:space="preserve">Add tooltips to StatusBadge </w:t>
      </w:r>
      <w:r>
        <w:t xml:space="preserve">— explain what each status means and what action advances it. Estimated: 30 minutes with the existing Tooltip component.</w:t>
      </w:r>
    </w:p>
    <w:p>
      <w:pPr>
        <w:pStyle w:val="ListParagraph"/>
        <w:numPr>
          <w:ilvl w:val="0"/>
          <w:numId w:val="3"/>
        </w:numPr>
        <w:spacing w:after="60"/>
      </w:pPr>
      <w:r>
        <w:rPr>
          <w:b/>
          <w:bCs/>
        </w:rPr>
        <w:t xml:space="preserve">Add value context to empty states </w:t>
      </w:r>
      <w:r>
        <w:t xml:space="preserve">— one sentence per empty state explaining why this feature matters, not just what will appear here. Estimated: 1 hour for all 6 empty states.</w:t>
      </w:r>
    </w:p>
    <w:p>
      <w:pPr>
        <w:pStyle w:val="ListParagraph"/>
        <w:numPr>
          <w:ilvl w:val="0"/>
          <w:numId w:val="3"/>
        </w:numPr>
        <w:spacing w:after="60"/>
      </w:pPr>
      <w:r>
        <w:rPr>
          <w:b/>
          <w:bCs/>
        </w:rPr>
        <w:t xml:space="preserve">Add trend indicators to KPI cards </w:t>
      </w:r>
      <w:r>
        <w:t xml:space="preserve">— a simple up/down arrow and percentage change. The QualityRing delta pattern already exists as a reference implementation.</w:t>
      </w:r>
    </w:p>
    <w:p>
      <w:pPr>
        <w:pStyle w:val="ListParagraph"/>
        <w:numPr>
          <w:ilvl w:val="0"/>
          <w:numId w:val="3"/>
        </w:numPr>
        <w:spacing w:after="60"/>
      </w:pPr>
      <w:r>
        <w:rPr>
          <w:b/>
          <w:bCs/>
        </w:rPr>
        <w:t xml:space="preserve">Add skip-navigation link </w:t>
      </w:r>
      <w:r>
        <w:t xml:space="preserve">— a hidden “Skip to content” link at the top of the sidebar that becomes visible on keyboard focus. Standard accessibility improvement, 15 minutes.</w:t>
      </w:r>
    </w:p>
    <w:p>
      <w:pPr>
        <w:pStyle w:val="ListParagraph"/>
        <w:numPr>
          <w:ilvl w:val="0"/>
          <w:numId w:val="3"/>
        </w:numPr>
        <w:spacing w:after="60"/>
      </w:pPr>
      <w:r>
        <w:rPr>
          <w:b/>
          <w:bCs/>
        </w:rPr>
        <w:t xml:space="preserve">Lint rule for icon imports </w:t>
      </w:r>
      <w:r>
        <w:t xml:space="preserve">— add an ESLint rule warning on new @heroicons/react imports to prevent further dual-library drift. 15 minutes.</w:t>
      </w:r>
    </w:p>
    <w:p>
      <w:pPr>
        <w:pStyle w:val="ListParagraph"/>
        <w:numPr>
          <w:ilvl w:val="0"/>
          <w:numId w:val="3"/>
        </w:numPr>
        <w:spacing w:after="60"/>
      </w:pPr>
      <w:r>
        <w:rPr>
          <w:b/>
          <w:bCs/>
        </w:rPr>
        <w:t xml:space="preserve">Make search trigger more prominent </w:t>
      </w:r>
      <w:r>
        <w:t xml:space="preserve">— increase the sidebar search bar height by 4px, add a subtle pulsing animation on first visit, and include “actions, pages, agents…” as placeholder text instead of just “Search…”</w:t>
      </w:r>
    </w:p>
    <w:p>
      <w:pPr>
        <w:pStyle w:val="ListParagraph"/>
        <w:numPr>
          <w:ilvl w:val="0"/>
          <w:numId w:val="3"/>
        </w:numPr>
        <w:spacing w:after="60"/>
      </w:pPr>
      <w:r>
        <w:rPr>
          <w:b/>
          <w:bCs/>
        </w:rPr>
        <w:t xml:space="preserve">Add “Save &amp; Continue Later” button to intake </w:t>
      </w:r>
      <w:r>
        <w:t xml:space="preserve">— even though auto-save is active, an explicit save button gives users confidence their work is preserved. One button, one toast notification.</w:t>
      </w:r>
    </w:p>
    <w:p>
      <w:pPr>
        <w:pStyle w:val="Heading1"/>
        <w:spacing w:after="160" w:before="240"/>
      </w:pPr>
      <w:r>
        <w:t xml:space="preserve">HIGH-IMPACT PROJECTS</w:t>
      </w:r>
    </w:p>
    <w:p>
      <w:pPr>
        <w:pStyle w:val="ListParagraph"/>
        <w:numPr>
          <w:ilvl w:val="0"/>
          <w:numId w:val="3"/>
        </w:numPr>
        <w:spacing w:after="60"/>
      </w:pPr>
      <w:r>
        <w:rPr>
          <w:b/>
          <w:bCs/>
        </w:rPr>
        <w:t xml:space="preserve">Navigation Consolidation (2–3 sprints): </w:t>
      </w:r>
      <w:r>
        <w:t xml:space="preserve">Merge Governor module into main Governance section as tabs. Collapse Admin items behind a single Settings hub. Move Templates under Design Studio. Merge Audit Trail under Compliance. Target: 10–12 sidebar items from current 20. This single initiative addresses the two CRITICAL findings and improves every user’s daily experience.</w:t>
      </w:r>
    </w:p>
    <w:p>
      <w:pPr>
        <w:pStyle w:val="ListParagraph"/>
        <w:numPr>
          <w:ilvl w:val="0"/>
          <w:numId w:val="3"/>
        </w:numPr>
        <w:spacing w:after="60"/>
      </w:pPr>
      <w:r>
        <w:rPr>
          <w:b/>
          <w:bCs/>
        </w:rPr>
        <w:t xml:space="preserve">Blueprint Detail Redesign (1–2 sprints): </w:t>
      </w:r>
      <w:r>
        <w:t xml:space="preserve">Restructure the 8-section stepper into a summary-first accordion. Move companion chat and quality dashboard into an on-demand right drawer. Add a Quick Actions dropdown for Submit/Export/Clone. This reduces the most used screen’s cognitive load by approximately 40%.</w:t>
      </w:r>
    </w:p>
    <w:p>
      <w:pPr>
        <w:pStyle w:val="ListParagraph"/>
        <w:numPr>
          <w:ilvl w:val="0"/>
          <w:numId w:val="3"/>
        </w:numPr>
        <w:spacing w:after="60"/>
      </w:pPr>
      <w:r>
        <w:rPr>
          <w:b/>
          <w:bCs/>
        </w:rPr>
        <w:t xml:space="preserve">Component Library Unification (2 sprints): </w:t>
      </w:r>
      <w:r>
        <w:t xml:space="preserve">Designate catalyst/ as the single design system. Create migration wrappers for the 4 overlapping components (Button, Table, Dialog, Input). Move EmptyState, Skeleton, and KpiCard into catalyst/. Add a barrel export so all components come from @/components/catalyst. Reduces maintenance burden and eliminates visual inconsistency.</w:t>
      </w:r>
    </w:p>
    <w:p>
      <w:pPr>
        <w:pStyle w:val="ListParagraph"/>
        <w:numPr>
          <w:ilvl w:val="0"/>
          <w:numId w:val="3"/>
        </w:numPr>
        <w:spacing w:after="60"/>
      </w:pPr>
      <w:r>
        <w:rPr>
          <w:b/>
          <w:bCs/>
        </w:rPr>
        <w:t xml:space="preserve">Batch Governance Remediation (1 sprint): </w:t>
      </w:r>
      <w:r>
        <w:t xml:space="preserve">Add “Fix All Violations” action that generates AI suggestions for all policy violations simultaneously. Present as a unified changeset with accept/reject per item. Reduces the remediation workflow from 15–25 clicks to 3–5 clicks for multi-violation blueprints.</w:t>
      </w:r>
    </w:p>
    <w:p>
      <w:pPr>
        <w:pStyle w:val="ListParagraph"/>
        <w:numPr>
          <w:ilvl w:val="0"/>
          <w:numId w:val="3"/>
        </w:numPr>
        <w:spacing w:after="60"/>
      </w:pPr>
      <w:r>
        <w:rPr>
          <w:b/>
          <w:bCs/>
        </w:rPr>
        <w:t xml:space="preserve">Label Audit &amp; Renaming (1 sprint): </w:t>
      </w:r>
      <w:r>
        <w:t xml:space="preserve">Implement all label rewrites from the Copy Rewrites section. Test with 5 new users to validate comprehension. Update all documentation and in-product help references. Coordinate with marketing to ensure product page language matches UI language.</w:t>
      </w:r>
    </w:p>
    <w:p>
      <w:r>
        <w:br w:type="page"/>
      </w:r>
    </w:p>
    <w:p>
      <w:pPr>
        <w:pStyle w:val="Heading1"/>
        <w:spacing w:after="160" w:before="240"/>
      </w:pPr>
      <w:r>
        <w:t xml:space="preserve">LABEL &amp; COPY REWRITES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Before</w:t>
            </w:r>
          </w:p>
        </w:tc>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After</w:t>
            </w:r>
          </w:p>
        </w:tc>
        <w:tc>
          <w:tcPr>
            <w:tcW w:type="dxa" w:w="27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pPr>
              <w:spacing w:after="40"/>
            </w:pPr>
            <w:r>
              <w:rPr>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Sidebar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Design Studio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Create Agent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Task-oriented; describes what the user DOES, not a metaphor</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Sidebar</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Blueprint Studio</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Agent Blueprints</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Removes “studio” jargon; “blueprints” is already understood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Sidebar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Pipeline Board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Agent Pipeline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Removes redundant “Board”; the Kanban layout is self-evident</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Sidebar</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Governor</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Compliance Center</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Describes function, not a persona; immediately clear to any role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Sidebar section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Workspace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Build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Shorter, action-oriented; describes the activity of this section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Sidebar section</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Operations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Operate</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Parallel verb structure with “Build”; clearer scope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Home (Reviewer)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Review Queue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Review Overview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Distinguishes from the actual Review Queue page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Home (Architect)</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My Work</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My Agents</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More specific; “work” is too generic for a product with many work types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Templates page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Template Marketplace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Agent Templates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Removes “Marketplace” (implies purchasing); these are free templates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Blueprint Detail</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Section stepper (8 items)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Accordion sections</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Reduces visual overwhelm; shows one section at a time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Review Queue entry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(no explicit label)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Priority: Critical/High/Medium/Low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Add explicit text next to the risk icon for accessibility</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Empty: Blueprints</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No blueprints yet</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No agent blueprints yet. Create your first agent to generate one.</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Adds context about the intake-to-blueprint relationship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Empty: Registry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No agents yet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No agents deployed yet. Approve a blueprint to add your first agent.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Explains the prerequisite step</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Compliance heading</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Compliance Posture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Compliance Dashboard</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spacing w:after="40"/>
            </w:pPr>
            <w:r>
              <w:rPr>
                <w:b w:val="false"/>
                <w:bCs w:val="false"/>
                <w:color w:val="333333"/>
                <w:sz w:val="20"/>
                <w:szCs w:val="20"/>
              </w:rPr>
              <w:t xml:space="preserve">“Posture” is security jargon; “Dashboard” is universally understood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Analytics page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Dashboard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Analytics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b w:val="false"/>
                <w:bCs w:val="false"/>
                <w:color w:val="333333"/>
                <w:sz w:val="20"/>
                <w:szCs w:val="20"/>
              </w:rPr>
              <w:t xml:space="preserve">Avoids collision with the home “overview” which also functions as a dashboard</w:t>
            </w:r>
          </w:p>
        </w:tc>
      </w:tr>
    </w:tbl>
    <w:p>
      <w:r>
        <w:br w:type="page"/>
      </w:r>
    </w:p>
    <w:p>
      <w:pPr>
        <w:pStyle w:val="Heading1"/>
        <w:spacing w:after="160" w:before="240"/>
      </w:pPr>
      <w:r>
        <w:t xml:space="preserve">VALUE-TO-FRICTION MAP</w:t>
      </w:r>
    </w:p>
    <w:p>
      <w:pPr>
        <w:spacing w:after="120"/>
      </w:pPr>
      <w:r>
        <w:rPr>
          <w:b/>
          <w:bCs/>
        </w:rPr>
        <w:t xml:space="preserve">High Value, Low Friction (ideal — protect these):</w:t>
      </w:r>
    </w:p>
    <w:p>
      <w:pPr>
        <w:pStyle w:val="ListParagraph"/>
        <w:numPr>
          <w:ilvl w:val="0"/>
          <w:numId w:val="2"/>
        </w:numPr>
        <w:spacing w:after="60"/>
      </w:pPr>
      <w:r>
        <w:t xml:space="preserve">Intake conversation flow (AI-guided, progressive, well-paced)</w:t>
      </w:r>
    </w:p>
    <w:p>
      <w:pPr>
        <w:pStyle w:val="ListParagraph"/>
        <w:numPr>
          <w:ilvl w:val="0"/>
          <w:numId w:val="2"/>
        </w:numPr>
        <w:spacing w:after="60"/>
      </w:pPr>
      <w:r>
        <w:t xml:space="preserve">Pipeline Board / Kanban view (visual, self-explanatory, actionable)</w:t>
      </w:r>
    </w:p>
    <w:p>
      <w:pPr>
        <w:pStyle w:val="ListParagraph"/>
        <w:numPr>
          <w:ilvl w:val="0"/>
          <w:numId w:val="2"/>
        </w:numPr>
        <w:spacing w:after="60"/>
      </w:pPr>
      <w:r>
        <w:t xml:space="preserve">Home page action queue (surfaces most important next step)</w:t>
      </w:r>
    </w:p>
    <w:p>
      <w:pPr>
        <w:pStyle w:val="ListParagraph"/>
        <w:numPr>
          <w:ilvl w:val="0"/>
          <w:numId w:val="2"/>
        </w:numPr>
        <w:spacing w:after="60"/>
      </w:pPr>
      <w:r>
        <w:t xml:space="preserve">SLA countdown in review queue (excellent urgency communication)</w:t>
      </w:r>
    </w:p>
    <w:p>
      <w:pPr>
        <w:spacing w:after="80"/>
      </w:pPr>
    </w:p>
    <w:p>
      <w:pPr>
        <w:spacing w:after="120"/>
      </w:pPr>
      <w:r>
        <w:rPr>
          <w:b/>
          <w:bCs/>
        </w:rPr>
        <w:t xml:space="preserve">High Value, High Friction (redesign priority):</w:t>
      </w:r>
    </w:p>
    <w:p>
      <w:pPr>
        <w:pStyle w:val="ListParagraph"/>
        <w:numPr>
          <w:ilvl w:val="0"/>
          <w:numId w:val="2"/>
        </w:numPr>
        <w:spacing w:after="60"/>
      </w:pPr>
      <w:r>
        <w:t xml:space="preserve">Blueprint detail review (too dense, needs progressive disclosure)</w:t>
      </w:r>
    </w:p>
    <w:p>
      <w:pPr>
        <w:pStyle w:val="ListParagraph"/>
        <w:numPr>
          <w:ilvl w:val="0"/>
          <w:numId w:val="2"/>
        </w:numPr>
        <w:spacing w:after="60"/>
      </w:pPr>
      <w:r>
        <w:t xml:space="preserve">Governance violation remediation (too many clicks per violation)</w:t>
      </w:r>
    </w:p>
    <w:p>
      <w:pPr>
        <w:pStyle w:val="ListParagraph"/>
        <w:numPr>
          <w:ilvl w:val="0"/>
          <w:numId w:val="2"/>
        </w:numPr>
        <w:spacing w:after="60"/>
      </w:pPr>
      <w:r>
        <w:t xml:space="preserve">Cross-module navigation for compliance officers (Governor + main = 2 mental models)</w:t>
      </w:r>
    </w:p>
    <w:p>
      <w:pPr>
        <w:spacing w:after="80"/>
      </w:pPr>
    </w:p>
    <w:p>
      <w:pPr>
        <w:spacing w:after="120"/>
      </w:pPr>
      <w:r>
        <w:rPr>
          <w:b/>
          <w:bCs/>
        </w:rPr>
        <w:t xml:space="preserve">Low Value, Low Friction (maintain but don’t invest):</w:t>
      </w:r>
    </w:p>
    <w:p>
      <w:pPr>
        <w:pStyle w:val="ListParagraph"/>
        <w:numPr>
          <w:ilvl w:val="0"/>
          <w:numId w:val="2"/>
        </w:numPr>
        <w:spacing w:after="60"/>
      </w:pPr>
      <w:r>
        <w:t xml:space="preserve">Audit trail export (functional CSV, could add PDF but not urgent)</w:t>
      </w:r>
    </w:p>
    <w:p>
      <w:pPr>
        <w:pStyle w:val="ListParagraph"/>
        <w:numPr>
          <w:ilvl w:val="0"/>
          <w:numId w:val="2"/>
        </w:numPr>
        <w:spacing w:after="60"/>
      </w:pPr>
      <w:r>
        <w:t xml:space="preserve">Template ratings (nice-to-have social proof, not core workflow)</w:t>
      </w:r>
    </w:p>
    <w:p>
      <w:pPr>
        <w:spacing w:after="80"/>
      </w:pPr>
    </w:p>
    <w:p>
      <w:pPr>
        <w:spacing w:after="120"/>
      </w:pPr>
      <w:r>
        <w:rPr>
          <w:b/>
          <w:bCs/>
        </w:rPr>
        <w:t xml:space="preserve">Low Value, High Friction (simplify or remove):</w:t>
      </w:r>
    </w:p>
    <w:p>
      <w:pPr>
        <w:pStyle w:val="ListParagraph"/>
        <w:numPr>
          <w:ilvl w:val="0"/>
          <w:numId w:val="2"/>
        </w:numPr>
        <w:spacing w:after="60"/>
      </w:pPr>
      <w:r>
        <w:t xml:space="preserve">Separate Governor module (duplicates main governance with different scope — merge)</w:t>
      </w:r>
    </w:p>
    <w:p>
      <w:pPr>
        <w:pStyle w:val="ListParagraph"/>
        <w:numPr>
          <w:ilvl w:val="0"/>
          <w:numId w:val="2"/>
        </w:numPr>
        <w:spacing w:after="60"/>
      </w:pPr>
      <w:r>
        <w:t xml:space="preserve">Multiple dashboard pages (Home overview + Dashboard/Analytics + Governor Executive — consolidate)</w:t>
      </w:r>
    </w:p>
    <w:p>
      <w:pPr>
        <w:pStyle w:val="Heading1"/>
        <w:spacing w:after="160" w:before="240"/>
      </w:pPr>
      <w:r>
        <w:t xml:space="preserve">DESIGN SYSTEM NOTES</w:t>
      </w:r>
    </w:p>
    <w:p>
      <w:pPr>
        <w:spacing w:after="120"/>
      </w:pPr>
      <w:r>
        <w:t xml:space="preserve">The Intellios design system is mature for a product at this stage. The design token layer in globals.css is comprehensive, with semantic naming for 6 color intents, 4 risk tiers, 5 policy types, and 4 sensitivity levels. Dark mode is supported through CSS custom properties with complete coverage.</w:t>
      </w:r>
    </w:p>
    <w:p>
      <w:pPr>
        <w:spacing w:after="80"/>
      </w:pPr>
    </w:p>
    <w:p>
      <w:pPr>
        <w:spacing w:after="120"/>
      </w:pPr>
      <w:r>
        <w:rPr>
          <w:b/>
          <w:bCs/>
        </w:rPr>
        <w:t xml:space="preserve">Gaps to address:</w:t>
      </w:r>
    </w:p>
    <w:p>
      <w:pPr>
        <w:pStyle w:val="ListParagraph"/>
        <w:numPr>
          <w:ilvl w:val="0"/>
          <w:numId w:val="3"/>
        </w:numPr>
        <w:spacing w:after="60"/>
      </w:pPr>
      <w:r>
        <w:t xml:space="preserve">Unify catalyst/ and ui/ into a single component library with one import path</w:t>
      </w:r>
    </w:p>
    <w:p>
      <w:pPr>
        <w:pStyle w:val="ListParagraph"/>
        <w:numPr>
          <w:ilvl w:val="0"/>
          <w:numId w:val="3"/>
        </w:numPr>
        <w:spacing w:after="60"/>
      </w:pPr>
      <w:r>
        <w:t xml:space="preserve">Standardize on Lucide React as the sole icon library</w:t>
      </w:r>
    </w:p>
    <w:p>
      <w:pPr>
        <w:pStyle w:val="ListParagraph"/>
        <w:numPr>
          <w:ilvl w:val="0"/>
          <w:numId w:val="3"/>
        </w:numPr>
        <w:spacing w:after="60"/>
      </w:pPr>
      <w:r>
        <w:t xml:space="preserve">Document the design token system as a reference for new developers</w:t>
      </w:r>
    </w:p>
    <w:p>
      <w:pPr>
        <w:pStyle w:val="ListParagraph"/>
        <w:numPr>
          <w:ilvl w:val="0"/>
          <w:numId w:val="3"/>
        </w:numPr>
        <w:spacing w:after="60"/>
      </w:pPr>
      <w:r>
        <w:t xml:space="preserve">Add a loading state primitive (the current approach mixes inline skeleton divs with a Skeleton component)</w:t>
      </w:r>
    </w:p>
    <w:p>
      <w:pPr>
        <w:pStyle w:val="ListParagraph"/>
        <w:numPr>
          <w:ilvl w:val="0"/>
          <w:numId w:val="3"/>
        </w:numPr>
        <w:spacing w:after="60"/>
      </w:pPr>
      <w:r>
        <w:t xml:space="preserve">Create a ConfirmationModal recipe based on the excellent DeployConfirmModal pattern</w:t>
      </w:r>
    </w:p>
    <w:p>
      <w:pPr>
        <w:pStyle w:val="ListParagraph"/>
        <w:numPr>
          <w:ilvl w:val="0"/>
          <w:numId w:val="3"/>
        </w:numPr>
        <w:spacing w:after="60"/>
      </w:pPr>
      <w:r>
        <w:t xml:space="preserve">Formalize the Action Queue pattern as a reusable component, not just inline JSX on the home page</w:t>
      </w:r>
    </w:p>
    <w:p>
      <w:pPr>
        <w:pStyle w:val="ListParagraph"/>
        <w:numPr>
          <w:ilvl w:val="0"/>
          <w:numId w:val="3"/>
        </w:numPr>
        <w:spacing w:after="60"/>
      </w:pPr>
      <w:r>
        <w:t xml:space="preserve">Add a standardized Breadcrumb pattern — some pages use ad hoc breadcrumbs while ui/breadcrumb.tsx exists</w:t>
      </w:r>
    </w:p>
    <w:p>
      <w:r>
        <w:br w:type="page"/>
      </w:r>
    </w:p>
    <w:p>
      <w:pPr>
        <w:pStyle w:val="Heading1"/>
        <w:spacing w:after="160" w:before="240"/>
      </w:pPr>
      <w:r>
        <w:t xml:space="preserve">IF I COULD ONLY FIX THREE THINGS</w:t>
      </w:r>
    </w:p>
    <w:p>
      <w:pPr>
        <w:spacing w:after="80"/>
      </w:pPr>
    </w:p>
    <w:p>
      <w:pPr>
        <w:spacing w:after="120"/>
      </w:pPr>
      <w:r>
        <w:rPr>
          <w:b/>
          <w:bCs/>
        </w:rPr>
        <w:t xml:space="preserve">1. Consolidate navigation: merge Governor into main Governance, collapse Admin, reduce to 10–12 items.</w:t>
      </w:r>
    </w:p>
    <w:p>
      <w:pPr>
        <w:spacing w:after="120"/>
      </w:pPr>
      <w:r>
        <w:t xml:space="preserve">This addresses both CRITICAL findings (parallel navigation universe and cognitive overload from 20 sidebar items). It would reduce the learning curve for every new user, eliminate the disorientation of entering the Governor module, and simplify the compliance officer’s daily workflow by giving them one place to go instead of two. Estimated impact: reduces time-to-productivity for new users by 30–40%.</w:t>
      </w:r>
    </w:p>
    <w:p>
      <w:pPr>
        <w:spacing w:after="80"/>
      </w:pPr>
    </w:p>
    <w:p>
      <w:pPr>
        <w:spacing w:after="120"/>
      </w:pPr>
      <w:r>
        <w:rPr>
          <w:b/>
          <w:bCs/>
        </w:rPr>
        <w:t xml:space="preserve">2. Redesign Blueprint Detail with progressive disclosure.</w:t>
      </w:r>
    </w:p>
    <w:p>
      <w:pPr>
        <w:spacing w:after="120"/>
      </w:pPr>
      <w:r>
        <w:t xml:space="preserve">The blueprint detail page is where users spend the most time after the intake conversation. Currently, it presents 8 sections, multiple tabs, and chat panels simultaneously. Converting to a summary-first design with an accordion and on-demand drawers would make the product’s most-used screen feel manageable rather than overwhelming. Estimated impact: reduces task completion time for blueprint review by 20–30%.</w:t>
      </w:r>
    </w:p>
    <w:p>
      <w:pPr>
        <w:spacing w:after="80"/>
      </w:pPr>
    </w:p>
    <w:p>
      <w:pPr>
        <w:spacing w:after="120"/>
      </w:pPr>
      <w:r>
        <w:rPr>
          <w:b/>
          <w:bCs/>
        </w:rPr>
        <w:t xml:space="preserve">3. Replace jargon labels with task-oriented language.</w:t>
      </w:r>
    </w:p>
    <w:p>
      <w:pPr>
        <w:spacing w:after="120"/>
      </w:pPr>
      <w:r>
        <w:t xml:space="preserve">Renaming “Design Studio” to “Create Agent,” “Governor” to “Compliance Center,” and “Blueprint Studio” to “Agent Blueprints” would immediately reduce the product’s perceived complexity without changing any functionality. New users would be able to navigate by reading labels rather than guessing. Estimated impact: reduces support tickets for “where do I find X?” by 40–50%.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spacing w:after="0"/>
    </w:pPr>
    <w:r>
      <w:rPr>
        <w:i/>
        <w:iCs/>
        <w:color w:val="999999"/>
        <w:sz w:val="16"/>
        <w:szCs w:val="16"/>
      </w:rPr>
      <w:t xml:space="preserve">Intellios UX/UI Audit</w:t>
    </w:r>
    <w: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2026-04-05T20:38:38.844Z</dcterms:created>
  <dcterms:modified xsi:type="dcterms:W3CDTF">2026-04-05T20:38:38.844Z</dcterms:modified>
</cp:coreProperties>
</file>

<file path=docProps/custom.xml><?xml version="1.0" encoding="utf-8"?>
<Properties xmlns="http://schemas.openxmlformats.org/officeDocument/2006/custom-properties" xmlns:vt="http://schemas.openxmlformats.org/officeDocument/2006/docPropsVTypes"/>
</file>