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F172A"/>
          <w:sz w:val="72"/>
        </w:rPr>
        <w:t>INTELLIOS</w:t>
      </w:r>
    </w:p>
    <w:p>
      <w:pPr>
        <w:jc w:val="center"/>
      </w:pPr>
      <w:r>
        <w:rPr>
          <w:color w:val="2E75B6"/>
          <w:sz w:val="40"/>
        </w:rPr>
        <w:t>Strategic Clarification Responses</w:t>
      </w:r>
    </w:p>
    <w:p/>
    <w:p>
      <w:pPr>
        <w:jc w:val="center"/>
      </w:pPr>
      <w:r>
        <w:rPr>
          <w:color w:val="666666"/>
          <w:sz w:val="24"/>
        </w:rPr>
        <w:t>Part 2: Answers to Strategic Questions</w:t>
        <w:br/>
        <w:t>Grounded in Validated Codebase Analysis</w:t>
      </w:r>
    </w:p>
    <w:p/>
    <w:p>
      <w:pPr>
        <w:jc w:val="center"/>
      </w:pPr>
      <w:r>
        <w:rPr>
          <w:color w:val="666666"/>
          <w:sz w:val="20"/>
        </w:rPr>
        <w:t>April 2, 2026 · Version 1.0</w:t>
        <w:br/>
        <w:t>Companion to: Intellios Strategic Product Analysis v2</w:t>
      </w:r>
    </w:p>
    <w:p>
      <w:r>
        <w:br w:type="page"/>
      </w:r>
    </w:p>
    <w:p>
      <w:pPr>
        <w:pStyle w:val="Heading1"/>
      </w:pPr>
      <w:r>
        <w:rPr>
          <w:color w:val="0F172A"/>
        </w:rPr>
        <w:t>A. Business Strategy &amp; Market</w:t>
      </w:r>
    </w:p>
    <w:p>
      <w:pPr>
        <w:spacing w:before="240" w:after="80"/>
      </w:pPr>
      <w:r>
        <w:rPr>
          <w:b/>
          <w:color w:val="2E75B6"/>
          <w:sz w:val="22"/>
        </w:rPr>
        <w:t>A1. Who is the first target customer? Active pipeline?</w:t>
      </w:r>
    </w:p>
    <w:p>
      <w:pPr>
        <w:spacing w:after="120"/>
      </w:pPr>
      <w:r>
        <w:rPr>
          <w:b/>
          <w:color w:val="333333"/>
        </w:rPr>
        <w:t xml:space="preserve">Evidence from codebase: </w:t>
      </w:r>
      <w:r>
        <w:t>The roadmap explicitly states "H3-1/H3-2 remain correctly gated on 3 design partners" and the current phase is "Design Partner Readiness" (DPR). Track 3 of DPR is labeled "GTM — Samy-led" and is the only incomplete track. The seed demo data references "Acme Financial" as the canonical enterprise tenant. The system description targets "Fortune 500 enterprises in regulated industries (financial services, healthcare, insurance)." Session 083 refreshed demo data specifically for design partner presentations.</w:t>
      </w:r>
    </w:p>
    <w:p>
      <w:pPr>
        <w:spacing w:after="120"/>
      </w:pPr>
      <w:r>
        <w:rPr>
          <w:b/>
          <w:color w:val="333333"/>
        </w:rPr>
        <w:t xml:space="preserve">Recommended answer: </w:t>
      </w:r>
      <w:r>
        <w:t>The product is in a pre-sales design partner acquisition phase. No active LOI or pilot exists yet. The 90-day roadmap should be reframed as a "design partner readiness" roadmap, not a general feature roadmap. Every priority should be evaluated through the lens of: "Does this help close the first 3 design partners?"</w:t>
      </w:r>
    </w:p>
    <w:p>
      <w:pPr>
        <w:spacing w:before="80" w:after="200"/>
        <w:ind w:left="283"/>
      </w:pPr>
      <w:r>
        <w:rPr>
          <w:b/>
          <w:color w:val="B45A00"/>
          <w:sz w:val="20"/>
        </w:rPr>
        <w:t xml:space="preserve">■ STRATEGIC IMPLICATION: </w:t>
      </w:r>
      <w:r>
        <w:rPr>
          <w:color w:val="333333"/>
          <w:sz w:val="20"/>
        </w:rPr>
        <w:t>The priority order should be driven by what the first 3 design partner prospects actually need. If the first prospect is a financial services firm on Azure, Recommendation 3 (wire Azure adapter) jumps to #1. If they're on AWS with Okta, SAML drops and OIDC is sufficient. The recommendations are correct in isolation — but the sequencing should be buyer-led, not architecture-led.</w:t>
      </w:r>
    </w:p>
    <w:p>
      <w:pPr>
        <w:spacing w:before="240" w:after="80"/>
      </w:pPr>
      <w:r>
        <w:rPr>
          <w:b/>
          <w:color w:val="2E75B6"/>
          <w:sz w:val="22"/>
        </w:rPr>
        <w:t>A2. Target customer profile?</w:t>
      </w:r>
    </w:p>
    <w:p>
      <w:pPr>
        <w:spacing w:after="120"/>
      </w:pPr>
      <w:r>
        <w:rPr>
          <w:b/>
          <w:color w:val="333333"/>
        </w:rPr>
        <w:t xml:space="preserve">Evidence from codebase: </w:t>
      </w:r>
      <w:r>
        <w:t>Every architectural decision is optimized for regulated industries: SR 11-7, EU AI Act, NIST AI RMF, FINRA, SOX, GDPR, HIPAA, PCI-DSS. The MRM report, separation of duties, append-only audit trail, and compliance evidence bundles all target model risk management teams. The four compliance starter packs (SR 11-7 Core, EU AI Act High-Risk, GDPR Agent Data, AI Safety Baseline) confirm financial services as the primary vertical. The "Acme Financial" seed data reinforces this. The Loan Pre-Screening and AML Alert Triage blueprint templates are financial-services-specific.</w:t>
      </w:r>
    </w:p>
    <w:p>
      <w:pPr>
        <w:spacing w:after="120"/>
      </w:pPr>
      <w:r>
        <w:rPr>
          <w:b/>
          <w:color w:val="333333"/>
        </w:rPr>
        <w:t xml:space="preserve">Recommended answer: </w:t>
      </w:r>
      <w:r>
        <w:t>The ideal first customer is a Fortune 500 financial services company (bank, insurance, asset management) with an existing AI program that faces regulatory pressure to formalize agent governance. They have model risk management teams who currently use manual processes or spreadsheets to track agent compliance. The buyer is the CRO, CISO, or Head of AI Governance. The champion is the model risk management analyst who currently spends weeks producing compliance documentation manually. Intellios replaces their manual compliance workflow with an automated, auditable system.</w:t>
      </w:r>
    </w:p>
    <w:p>
      <w:pPr>
        <w:spacing w:before="80" w:after="200"/>
        <w:ind w:left="283"/>
      </w:pPr>
      <w:r>
        <w:rPr>
          <w:b/>
          <w:color w:val="C0392B"/>
          <w:sz w:val="20"/>
        </w:rPr>
        <w:t xml:space="preserve">■ AVOID: </w:t>
      </w:r>
      <w:r>
        <w:rPr>
          <w:color w:val="333333"/>
          <w:sz w:val="20"/>
        </w:rPr>
        <w:t>Mid-market companies building first agents and system integrators are poor first customers. They lack the regulatory pressure that creates urgency and budget. Target enterprises where the pain is regulatory, not technical.</w:t>
      </w:r>
    </w:p>
    <w:p>
      <w:pPr>
        <w:spacing w:before="240" w:after="80"/>
      </w:pPr>
      <w:r>
        <w:rPr>
          <w:b/>
          <w:color w:val="2E75B6"/>
          <w:sz w:val="22"/>
        </w:rPr>
        <w:t>A3. Pricing model?</w:t>
      </w:r>
    </w:p>
    <w:p>
      <w:pPr>
        <w:spacing w:after="120"/>
      </w:pPr>
      <w:r>
        <w:rPr>
          <w:b/>
          <w:color w:val="333333"/>
        </w:rPr>
        <w:t xml:space="preserve">Evidence from codebase: </w:t>
      </w:r>
      <w:r>
        <w:t>No billing, metering, or subscription infrastructure exists. The enterprise_settings table has no pricing or plan fields. The system tracks per-enterprise usage implicitly (blueprint counts, intake sessions, API calls) but does not aggregate or report it for billing. The roadmap lists "usage metering" as future work. The effort log tracks AI API costs per session (Sonnet ~$0.40-0.50/session) which suggests cost awareness but no pricing model yet.</w:t>
      </w:r>
    </w:p>
    <w:p>
      <w:pPr>
        <w:spacing w:after="120"/>
      </w:pPr>
      <w:r>
        <w:rPr>
          <w:b/>
          <w:color w:val="333333"/>
        </w:rPr>
        <w:t xml:space="preserve">Recommended answer: </w:t>
      </w:r>
      <w:r>
        <w:t>For design partners, pricing is not the priority — getting 3 organizations using the system is. Offer free or nominal-cost design partner agreements in exchange for feedback and a case study. For post-design-partner pricing, the natural model is platform license + per-agent fee. Rationale: The platform license captures the governance/compliance infrastructure value (this is what CROs budget for). The per-agent fee creates usage-aligned expansion (each new agent drives incremental revenue). Consumption-based pricing (per-API-call) penalizes the intake process and discourages thoroughness, which works against the product’s core value proposition. Usage metering is not needed for the first 3 design partners. It enters the roadmap when moving to paid contracts.</w:t>
      </w:r>
    </w:p>
    <w:p>
      <w:pPr>
        <w:spacing w:before="240" w:after="80"/>
      </w:pPr>
      <w:r>
        <w:rPr>
          <w:b/>
          <w:color w:val="2E75B6"/>
          <w:sz w:val="22"/>
        </w:rPr>
        <w:t>A4. Are prospects currently blocked by SAML or single-OIDC?</w:t>
      </w:r>
    </w:p>
    <w:p>
      <w:pPr>
        <w:spacing w:after="120"/>
      </w:pPr>
      <w:r>
        <w:rPr>
          <w:b/>
          <w:color w:val="333333"/>
        </w:rPr>
        <w:t xml:space="preserve">Evidence from codebase: </w:t>
      </w:r>
      <w:r>
        <w:t>OIDC is fully implemented with JIT provisioning, group-to-role mapping, and domain-based enterprise routing. SAML is UI-only (admin can configure it but no SAML provider is registered in NextAuth). The SSO admin page lists "OIDC (OpenID Connect) — Azure AD, Okta, Google Workspace" and "SAML 2.0" as protocol options.</w:t>
      </w:r>
    </w:p>
    <w:p>
      <w:pPr>
        <w:spacing w:after="120"/>
      </w:pPr>
      <w:r>
        <w:rPr>
          <w:b/>
          <w:color w:val="333333"/>
        </w:rPr>
        <w:t xml:space="preserve">Recommended answer: </w:t>
      </w:r>
      <w:r>
        <w:t>If no prospect has explicitly required SAML, it can wait. Most modern enterprises support OIDC (Azure AD/Entra ID, Okta, and Google all support OIDC natively). SAML becomes urgent only when a specific prospect’s identity provider is SAML-only (increasingly rare but still common in legacy banking infrastructure). The single-OIDC limitation (all enterprises share one IdP) is more likely to be a blocker: if design partner A uses Azure AD and design partner B uses Okta, the current architecture cannot serve both simultaneously. Per-enterprise IdP routing should be prioritized over SAML support.</w:t>
      </w:r>
    </w:p>
    <w:p>
      <w:pPr>
        <w:spacing w:before="80" w:after="200"/>
        <w:ind w:left="283"/>
      </w:pPr>
      <w:r>
        <w:rPr>
          <w:b/>
          <w:color w:val="2E75B6"/>
          <w:sz w:val="20"/>
        </w:rPr>
        <w:t xml:space="preserve">■ DECISION POINT FOR SAMY: </w:t>
      </w:r>
      <w:r>
        <w:rPr>
          <w:color w:val="333333"/>
          <w:sz w:val="20"/>
        </w:rPr>
        <w:t>If you're targeting financial services firms that use Azure AD (most large banks do), OIDC alone is sufficient for the first 3 partners. If targeting firms with legacy ADFS or on-prem IdPs, SAML becomes urgent. Ask each prospect what their IdP is before committing engineering time.</w:t>
      </w:r>
    </w:p>
    <w:p>
      <w:pPr>
        <w:spacing w:before="240" w:after="80"/>
      </w:pPr>
      <w:r>
        <w:rPr>
          <w:b/>
          <w:color w:val="2E75B6"/>
          <w:sz w:val="22"/>
        </w:rPr>
        <w:t>A5. Is white-label an active requirement or future positioning?</w:t>
      </w:r>
    </w:p>
    <w:p>
      <w:pPr>
        <w:spacing w:after="120"/>
      </w:pPr>
      <w:r>
        <w:rPr>
          <w:b/>
          <w:color w:val="333333"/>
        </w:rPr>
        <w:t xml:space="preserve">Evidence from codebase: </w:t>
      </w:r>
      <w:r>
        <w:t>White-label appears in the project description ("white-label enterprise agent factory") and the ABP schema includes branding fields (identity.branding.brandName, voiceTone, logoUrl). However, there is no tenant-level UI theming, no custom domain support, no logo upload, and no CSS variable override system per enterprise. The design system uses a single indigo/navy color palette globally. The roadmap lists "White-label branding — Full UI brand customization (logo, color scheme, domain) per enterprise tenant" as a future capability.</w:t>
      </w:r>
    </w:p>
    <w:p>
      <w:pPr>
        <w:spacing w:after="120"/>
      </w:pPr>
      <w:r>
        <w:rPr>
          <w:b/>
          <w:color w:val="333333"/>
        </w:rPr>
        <w:t xml:space="preserve">Recommended answer: </w:t>
      </w:r>
      <w:r>
        <w:t>White-label is future positioning, not an active requirement. The ABP-level branding (agent branding) is built. Platform-level white-labeling (the Intellios UI itself bearing the customer’s brand) is a significant investment that should only be triggered by a specific enterprise deal that requires it. For design partners, the Intellios brand is a feature, not a liability — it signals a purpose-built platform rather than a generic tool.</w:t>
      </w:r>
    </w:p>
    <w:p>
      <w:r>
        <w:br w:type="page"/>
      </w:r>
    </w:p>
    <w:p>
      <w:pPr>
        <w:pStyle w:val="Heading1"/>
      </w:pPr>
      <w:r>
        <w:rPr>
          <w:color w:val="0F172A"/>
        </w:rPr>
        <w:t>B. Technical Priorities</w:t>
      </w:r>
    </w:p>
    <w:p>
      <w:pPr>
        <w:spacing w:before="240" w:after="80"/>
      </w:pPr>
      <w:r>
        <w:rPr>
          <w:b/>
          <w:color w:val="2E75B6"/>
          <w:sz w:val="22"/>
        </w:rPr>
        <w:t>B1. Force-rank the 5 recommendations. Which one first?</w:t>
      </w:r>
    </w:p>
    <w:p>
      <w:pPr>
        <w:spacing w:after="120"/>
      </w:pPr>
      <w:r>
        <w:rPr>
          <w:b/>
          <w:color w:val="333333"/>
        </w:rPr>
        <w:t xml:space="preserve">Recommended force-ranking (if no specific buyer signal): </w:t>
      </w:r>
      <w:r/>
    </w:p>
    <w:p>
      <w:pPr>
        <w:spacing w:after="160" w:line="320" w:lineRule="exact"/>
      </w:pPr>
      <w:r>
        <w:t>1. Per-enterprise IdP routing (not full SAML, just multi-OIDC) — Blocks serving more than one design partner simultaneously. Estimated: 2-3 days. The config storage and domain lookup already exist; the gap is consuming per-enterprise OIDC client credentials at login time.</w:t>
      </w:r>
    </w:p>
    <w:p>
      <w:pPr>
        <w:spacing w:after="160" w:line="320" w:lineRule="exact"/>
      </w:pPr>
      <w:r>
        <w:t>2. Express-lane intake — This is the single biggest adoption driver. The current three-phase intake is the product’s primary friction point for new users. A "describe and generate" fast path that infers governance from enterprise context creates a 60-second time-to-value moment. Estimated: 1-2 weeks. The template system and policy-aware generation provide the foundation.</w:t>
      </w:r>
    </w:p>
    <w:p>
      <w:pPr>
        <w:spacing w:after="160" w:line="320" w:lineRule="exact"/>
      </w:pPr>
      <w:r>
        <w:t>3. Middleware tenant isolation — Necessary before any production multi-tenant deployment, but not blocking design partner pilots (which can run on isolated instances). Estimated: 2-3 days.</w:t>
      </w:r>
    </w:p>
    <w:p>
      <w:pPr>
        <w:spacing w:after="160" w:line="320" w:lineRule="exact"/>
      </w:pPr>
      <w:r>
        <w:t>4. UX workspace consolidation — Reduces the "overwhelming" first impression and makes demo presentations cleaner. Start with the monitoring/intelligence/fleet merge. Estimated: ongoing, 1-2 weeks for phase 1.</w:t>
      </w:r>
    </w:p>
    <w:p>
      <w:pPr>
        <w:spacing w:after="160" w:line="320" w:lineRule="exact"/>
      </w:pPr>
      <w:r>
        <w:t>5. Multi-cloud adapters — Only if a specific prospect requires Azure or GCP. For AWS-native prospects (most financial services firms), AgentCore is sufficient. The Azure adapter is real code that can be wired in 2-3 days when needed.</w:t>
      </w:r>
    </w:p>
    <w:p>
      <w:pPr>
        <w:spacing w:before="80" w:after="200"/>
        <w:ind w:left="283"/>
      </w:pPr>
      <w:r>
        <w:rPr>
          <w:b/>
          <w:color w:val="1B7A43"/>
          <w:sz w:val="20"/>
        </w:rPr>
        <w:t xml:space="preserve">■ IF THE FIRST PROSPECT IS ON AWS: </w:t>
      </w:r>
      <w:r>
        <w:rPr>
          <w:color w:val="333333"/>
          <w:sz w:val="20"/>
        </w:rPr>
        <w:t>Skip multi-cloud entirely. Move per-enterprise IdP routing to #1, express intake to #2, and UX consolidation to #3. Middleware isolation and SAML can wait until the second or third partner.</w:t>
      </w:r>
    </w:p>
    <w:p>
      <w:pPr>
        <w:spacing w:before="240" w:after="80"/>
      </w:pPr>
      <w:r>
        <w:rPr>
          <w:b/>
          <w:color w:val="2E75B6"/>
          <w:sz w:val="22"/>
        </w:rPr>
        <w:t>B2. Deal-blockers vs. nice-to-haves?</w:t>
      </w:r>
    </w:p>
    <w:p>
      <w:pPr>
        <w:spacing w:after="120"/>
      </w:pPr>
      <w:r>
        <w:rPr>
          <w:b/>
          <w:color w:val="333333"/>
        </w:rPr>
        <w:t xml:space="preserve">Multi-cloud (Azure/Vertex): </w:t>
      </w:r>
      <w:r>
        <w:t>Nice-to-have unless a specific prospect requires it. The Azure adapter is real code (127 lines with actual Azure REST API calls) sitting dormant. It can be wired in 2-3 days when a deal demands it. This is insurance, not a blocker. Most Fortune 500 financial services firms are AWS-primary.</w:t>
      </w:r>
    </w:p>
    <w:p>
      <w:pPr>
        <w:spacing w:after="120"/>
      </w:pPr>
      <w:r>
        <w:rPr>
          <w:b/>
          <w:color w:val="333333"/>
        </w:rPr>
        <w:t xml:space="preserve">SAML SSO: </w:t>
      </w:r>
      <w:r>
        <w:t>Nice-to-have for most prospects. Azure AD, Okta, and Google Workspace all support OIDC. SAML becomes a deal-blocker only for enterprises with legacy ADFS or on-prem IdPs that do not support OIDC. Ask prospects directly: "What identity provider do you use?" before investing.</w:t>
      </w:r>
    </w:p>
    <w:p>
      <w:pPr>
        <w:spacing w:after="120"/>
      </w:pPr>
      <w:r>
        <w:rPr>
          <w:b/>
          <w:color w:val="333333"/>
        </w:rPr>
        <w:t xml:space="preserve">Visual workflow builder: </w:t>
      </w:r>
      <w:r>
        <w:t>Demo polish, not a prospect need. The workflow backend is production-complete (handoff rules, cycle detection, graph validation, lifecycle management). A visual canvas looks impressive in demos but enterprise buyers care about governance rigor, not UI aesthetics. The current structured-JSON workflow definition is sufficient for technical users. Defer until post-design-partner.</w:t>
      </w:r>
    </w:p>
    <w:p>
      <w:pPr>
        <w:spacing w:after="120"/>
      </w:pPr>
      <w:r>
        <w:rPr>
          <w:b/>
          <w:color w:val="333333"/>
        </w:rPr>
        <w:t xml:space="preserve">Express-lane intake: </w:t>
      </w:r>
      <w:r>
        <w:t>Growth driver AND design-partner enabler. The three-phase intake is the single most common friction point a new user will experience. A 60-second fast path is the difference between a prospect who says "this is powerful but complex" and one who says "this is powerful and easy." This is the highest-impact product investment for driving design partner adoption.</w:t>
      </w:r>
    </w:p>
    <w:p>
      <w:pPr>
        <w:spacing w:before="240" w:after="80"/>
      </w:pPr>
      <w:r>
        <w:rPr>
          <w:b/>
          <w:color w:val="2E75B6"/>
          <w:sz w:val="22"/>
        </w:rPr>
        <w:t>B3. The Azure adapter was built then disconnected. What happened?</w:t>
      </w:r>
    </w:p>
    <w:p>
      <w:pPr>
        <w:spacing w:after="120"/>
      </w:pPr>
      <w:r>
        <w:rPr>
          <w:b/>
          <w:color w:val="333333"/>
        </w:rPr>
        <w:t xml:space="preserve">Evidence from codebase: </w:t>
      </w:r>
      <w:r>
        <w:t>The Azure adapter (src/lib/deploy/azure.ts) is a 127-line implementation with real Azure Management REST API calls and OAuth2 service principal auth. The DeploymentAdapter interface (src/lib/deploy/adapter.ts) defines the abstraction. Both Azure and Vertex implement it. However, zero files in the codebase reference AzureFoundryAdapter or VertexAIAdapter. There is no factory or routing layer. The AgentCore deployment uses its own independent code path (src/lib/agentcore/) that does not go through the adapter interface. The deploy API route at /api/blueprints/[id]/deploy/agentcore/route.ts calls deployToAgentCore() directly.</w:t>
      </w:r>
    </w:p>
    <w:p>
      <w:pPr>
        <w:spacing w:after="120"/>
      </w:pPr>
      <w:r>
        <w:rPr>
          <w:b/>
          <w:color w:val="333333"/>
        </w:rPr>
        <w:t xml:space="preserve">Most likely explanation: </w:t>
      </w:r>
      <w:r>
        <w:t>The adapter interface and Azure/Vertex implementations were built as forward-looking architecture during the H3 "Execution Platform" phase. H3 is explicitly 50% complete (7/14 items), with H3-1 (Agent Foundry) and H3-2 gated on "3 design partners." The AgentCore integration was the priority (Amazon Bedrock is the most mature enterprise AI runtime), so it was built on its own code path and shipped to production. The adapter routing layer that would unify all deployment targets was deferred as part of the H3 gate. This is a deliberate deferral, not a customer request that went cold.</w:t>
      </w:r>
    </w:p>
    <w:p>
      <w:pPr>
        <w:spacing w:before="240" w:after="80"/>
      </w:pPr>
      <w:r>
        <w:rPr>
          <w:b/>
          <w:color w:val="2E75B6"/>
          <w:sz w:val="22"/>
        </w:rPr>
        <w:t>B4. Test coverage is thin. Is automated testing a priority?</w:t>
      </w:r>
    </w:p>
    <w:p>
      <w:pPr>
        <w:spacing w:after="120"/>
      </w:pPr>
      <w:r>
        <w:rPr>
          <w:b/>
          <w:color w:val="333333"/>
        </w:rPr>
        <w:t xml:space="preserve">Evidence from codebase: </w:t>
      </w:r>
      <w:r>
        <w:t>9 test files across 336 source files (2.68% file-level coverage). However, the vitest config targets 80% line and function coverage specifically on critical library paths: lib/agentcore, lib/intake, lib/governance, lib/sla, lib/abp. The DPR roadmap item DPR-1.1 ("Test coverage for critical paths — target 80%+ on src/lib/") is marked Complete (Session 082). Tests cover the highest-risk areas: ABP migration, governance rule evaluation (the deterministic enforcement engine), intake model selection, intake coverage scoring, intake readiness scoring, SLA configuration, and AgentCore deployment/translation. A security hardening audit was also completed (Session 069) scanning all 86 API routes against OWASP Top 10 patterns.</w:t>
      </w:r>
    </w:p>
    <w:p>
      <w:pPr>
        <w:spacing w:after="120"/>
      </w:pPr>
      <w:r>
        <w:rPr>
          <w:b/>
          <w:color w:val="333333"/>
        </w:rPr>
        <w:t xml:space="preserve">Recommended answer: </w:t>
      </w:r>
      <w:r>
        <w:t>The test coverage strategy is correct: focus on the governance engine, lifecycle state machine, and AI model selection logic — the areas where a bug would cause compliance failures. Expanding test coverage to API route integration tests becomes important for SOC 2 readiness. For design partners, the current coverage is adequate. For enterprise contracts (post-design-partner), invest in: (1) API route integration tests for all lifecycle transitions, (2) tenant isolation tests that verify cross-enterprise data leakage is impossible, (3) governance rule evaluation fuzzing to ensure the deterministic engine handles edge cases.</w:t>
      </w:r>
    </w:p>
    <w:p>
      <w:r>
        <w:br w:type="page"/>
      </w:r>
    </w:p>
    <w:p>
      <w:pPr>
        <w:pStyle w:val="Heading1"/>
      </w:pPr>
      <w:r>
        <w:rPr>
          <w:color w:val="0F172A"/>
        </w:rPr>
        <w:t>C. Architecture &amp; Infrastructure</w:t>
      </w:r>
    </w:p>
    <w:p>
      <w:pPr>
        <w:spacing w:before="240" w:after="80"/>
      </w:pPr>
      <w:r>
        <w:rPr>
          <w:b/>
          <w:color w:val="2E75B6"/>
          <w:sz w:val="22"/>
        </w:rPr>
        <w:t>C1. What is the relationship between the Next.js codebase and the intellios-api project?</w:t>
      </w:r>
    </w:p>
    <w:p>
      <w:pPr>
        <w:spacing w:after="120"/>
      </w:pPr>
      <w:r>
        <w:rPr>
          <w:b/>
          <w:color w:val="333333"/>
        </w:rPr>
        <w:t xml:space="preserve">Definitive answer from codebase: </w:t>
      </w:r>
      <w:r>
        <w:t>There is no separate "intellios-api" Azure Functions project in the codebase. Intellios is a single Next.js 16 monolithic application with API routes integrated via the App Router (/src/app/api/**). The project has 100+ API route files, all Next.js Route Handlers. No Azure Functions references exist anywhere in the codebase. No function.json, host.json, or Azure Functions SDK dependencies. If an intellios-api directory exists at C:\Users\samyh\Intellios\intellios-api\, it is either a legacy project, an experiment, or a separate effort that is not connected to the current codebase.</w:t>
      </w:r>
    </w:p>
    <w:p>
      <w:pPr>
        <w:spacing w:before="80" w:after="200"/>
        <w:ind w:left="283"/>
      </w:pPr>
      <w:r>
        <w:rPr>
          <w:b/>
          <w:color w:val="B45A00"/>
          <w:sz w:val="20"/>
        </w:rPr>
        <w:t xml:space="preserve">■ ACTION NEEDED FROM SAMY: </w:t>
      </w:r>
      <w:r>
        <w:rPr>
          <w:color w:val="333333"/>
          <w:sz w:val="20"/>
        </w:rPr>
        <w:t>Clarify what the intellios-api directory contains. If it's a legacy project or abandoned experiment, archive it to avoid confusion. If it's an active parallel effort, it needs to be reconciled with the main codebase to prevent architectural divergence.</w:t>
      </w:r>
    </w:p>
    <w:p>
      <w:pPr>
        <w:spacing w:before="240" w:after="80"/>
      </w:pPr>
      <w:r>
        <w:rPr>
          <w:b/>
          <w:color w:val="2E75B6"/>
          <w:sz w:val="22"/>
        </w:rPr>
        <w:t>C2. Is there a production environment running?</w:t>
      </w:r>
    </w:p>
    <w:p>
      <w:pPr>
        <w:spacing w:after="120"/>
      </w:pPr>
      <w:r>
        <w:rPr>
          <w:b/>
          <w:color w:val="333333"/>
        </w:rPr>
        <w:t xml:space="preserve">Evidence from codebase: </w:t>
      </w:r>
      <w:r>
        <w:t>vercel.json exists with 6 configured cron jobs (review reminders daily 8am, alert checks daily 9am, telemetry sync daily 10am, quality trends weekly Sunday, portfolio snapshot weekly Sunday, governance drift daily 6am). Session 081 documents a Vercel production deploy: "Merged feat/intake-v2-hardening → master, pushed to origin/main triggering Vercel production deploy." Session 070 notes "Cron downgrade: alert-check and telemetry-sync reduced to daily for Vercel Hobby plan compliance (restore to */15 and 0 * on Pro)." Session 065b documents Vercel serverless fixes including "postgres max:1 for serverless connection limits." The package.json includes postgres (not pg), optimized for serverless connection pooling.</w:t>
      </w:r>
    </w:p>
    <w:p>
      <w:pPr>
        <w:spacing w:after="120"/>
      </w:pPr>
      <w:r>
        <w:rPr>
          <w:b/>
          <w:color w:val="333333"/>
        </w:rPr>
        <w:t xml:space="preserve">Definitive answer: </w:t>
      </w:r>
      <w:r>
        <w:t>Yes, a production environment is running on Vercel (Hobby plan). The application is deployed and functional. Cron jobs are throttled to Hobby plan limits (daily instead of every-15-minutes). Upgrading to Vercel Pro would restore intended cron frequencies for telemetry sync and alert checking. PostgreSQL is the backing database (connection string via DATABASE_URL env var). Redis is optional (REDIS_URL), with in-memory fallback for rate limiting on Hobby plan.</w:t>
      </w:r>
    </w:p>
    <w:p>
      <w:pPr>
        <w:spacing w:before="240" w:after="80"/>
      </w:pPr>
      <w:r>
        <w:rPr>
          <w:b/>
          <w:color w:val="2E75B6"/>
          <w:sz w:val="22"/>
        </w:rPr>
        <w:t>C3. Is Redis currently used?</w:t>
      </w:r>
    </w:p>
    <w:p>
      <w:pPr>
        <w:spacing w:after="120"/>
      </w:pPr>
      <w:r>
        <w:rPr>
          <w:b/>
          <w:color w:val="333333"/>
        </w:rPr>
        <w:t xml:space="preserve">Evidence from codebase: </w:t>
      </w:r>
      <w:r>
        <w:t>ioredis ^5.10.1 is in package.json as a production dependency. src/lib/rate-limit.ts implements a dual-backend rate limiter: Redis-backed sliding window (Lua scripts for atomic operations) with automatic fallback to in-memory Map when Redis is unavailable. The REDIS_URL environment variable is optional in src/lib/env.ts. ioredis is dynamically imported (lazy loaded) to keep it out of the browser bundle.</w:t>
      </w:r>
    </w:p>
    <w:p>
      <w:pPr>
        <w:spacing w:after="120"/>
      </w:pPr>
      <w:r>
        <w:rPr>
          <w:b/>
          <w:color w:val="333333"/>
        </w:rPr>
        <w:t xml:space="preserve">Definitive answer: </w:t>
      </w:r>
      <w:r>
        <w:t>Redis is supported and integrated but likely not active in the current Vercel Hobby deployment (REDIS_URL is optional and Vercel Hobby does not include managed Redis). The system falls back to in-memory rate limiting, which works correctly for single-instance Vercel deployments. When scaling to multiple instances (Vercel Pro or enterprise self-hosted), Redis should be activated. The upgrade path is zero-code: set REDIS_URL in environment variables and the rate limiter automatically switches to Redis. For the event bus upgrade (in-process → durable), Redis Streams or SQS would be the next step, but this is not needed for design partners.</w:t>
      </w:r>
    </w:p>
    <w:p>
      <w:pPr>
        <w:spacing w:before="240" w:after="80"/>
      </w:pPr>
      <w:r>
        <w:rPr>
          <w:b/>
          <w:color w:val="2E75B6"/>
          <w:sz w:val="22"/>
        </w:rPr>
        <w:t>C4. Is middleware-level tenant isolation accepted debt or on the immediate roadmap?</w:t>
      </w:r>
    </w:p>
    <w:p>
      <w:pPr>
        <w:spacing w:after="120"/>
      </w:pPr>
      <w:r>
        <w:rPr>
          <w:b/>
          <w:color w:val="333333"/>
        </w:rPr>
        <w:t xml:space="preserve">Evidence from codebase: </w:t>
      </w:r>
      <w:r>
        <w:t>The middleware (src/middleware.ts) handles authentication and request ID injection only. It does not enforce enterprise_id. All enterprise isolation is query-level in individual route handlers using assertEnterpriseAccess() and WHERE clause filters. A spot-check of 15 API routes confirmed correct enforcement on all. Session 069 documents a security hardening audit (86 API routes scanned against OWASP Top 10, 7 findings resolved, 0 critical/high). The open questions document (docs/open-questions.md) shows all 8 open questions resolved. Middleware tenant isolation is not listed as an open question, accepted debt, or roadmap item.</w:t>
      </w:r>
    </w:p>
    <w:p>
      <w:pPr>
        <w:spacing w:after="120"/>
      </w:pPr>
      <w:r>
        <w:rPr>
          <w:b/>
          <w:color w:val="333333"/>
        </w:rPr>
        <w:t xml:space="preserve">Recommended answer: </w:t>
      </w:r>
      <w:r>
        <w:t>This is accepted debt that has not been formally acknowledged. The query-level enforcement is comprehensive but brittle — it relies on every new route handler including the check. For design partners running on isolated instances, this is acceptable. For production multi-tenant SaaS with multiple enterprises on the same instance, this becomes a risk that SOC 2 auditors will flag. Recommendation: add it to the roadmap as a pre-paid-customer requirement, not a design-partner requirement. Estimated effort: 2-3 days for a middleware that extracts resource enterprise_id from the request path and validates against session enterprise_id.</w:t>
      </w:r>
    </w:p>
    <w:p>
      <w:pPr>
        <w:spacing w:before="240" w:after="80"/>
      </w:pPr>
      <w:r>
        <w:rPr>
          <w:b/>
          <w:color w:val="2E75B6"/>
          <w:sz w:val="22"/>
        </w:rPr>
        <w:t>C5. What does "Phase 53 + Session 064" mean?</w:t>
      </w:r>
    </w:p>
    <w:p>
      <w:pPr>
        <w:spacing w:after="120"/>
      </w:pPr>
      <w:r>
        <w:rPr>
          <w:b/>
          <w:color w:val="333333"/>
        </w:rPr>
        <w:t xml:space="preserve">Definitive answer from codebase: </w:t>
      </w:r>
      <w:r>
        <w:t>It is a personal sprint tracking system. The session log index (docs/log/_index.md) tracks 87+ sessions from 2026-03-12 to 2026-04-02. Each session is a discrete work session between Samy and Claude Code, documented with actions taken, files modified, migrations run, and dependencies added. "Phase" corresponds to roadmap items (P1-P14 for Shared Platform, A1-A19 for Architect Product, G1-G17 for Governor Product, etc.). "Session" is the sequential session number. The system description version 1.3.0 was written at "Phase 53 + Session 064" meaning it reflects all work through the 53rd roadmap item completed in the 64th work session. The current state is Session 088, with 92 of 103 total roadmap items (89%) complete across all horizons.</w:t>
      </w:r>
    </w:p>
    <w:p>
      <w:r>
        <w:br w:type="page"/>
      </w:r>
    </w:p>
    <w:p>
      <w:pPr>
        <w:pStyle w:val="Heading1"/>
      </w:pPr>
      <w:r>
        <w:rPr>
          <w:color w:val="0F172A"/>
        </w:rPr>
        <w:t>D. Team &amp; Resources</w:t>
      </w:r>
    </w:p>
    <w:p>
      <w:pPr>
        <w:spacing w:before="240" w:after="80"/>
      </w:pPr>
      <w:r>
        <w:rPr>
          <w:b/>
          <w:color w:val="2E75B6"/>
          <w:sz w:val="22"/>
        </w:rPr>
        <w:t>D1. What is the current engineering team size?</w:t>
      </w:r>
    </w:p>
    <w:p>
      <w:pPr>
        <w:spacing w:after="120"/>
      </w:pPr>
      <w:r>
        <w:rPr>
          <w:b/>
          <w:color w:val="333333"/>
        </w:rPr>
        <w:t xml:space="preserve">Evidence from codebase: </w:t>
      </w:r>
      <w:r>
        <w:t>The effort log (docs/log/effort-log.md) tracks two actors per session: "Claude effort" and "Samy effort." Every session log attributes actions to either Claude or Samy. The git log shows a single committer. The CLAUDE.md instructions are written for a single AI assistant. The project uses Claude Code as the primary development tool. Session costs are tracked at ~$0.40-0.52 per session using Claude Sonnet.</w:t>
      </w:r>
    </w:p>
    <w:p>
      <w:pPr>
        <w:spacing w:after="120"/>
      </w:pPr>
      <w:r>
        <w:rPr>
          <w:b/>
          <w:color w:val="333333"/>
        </w:rPr>
        <w:t xml:space="preserve">Definitive answer: </w:t>
      </w:r>
      <w:r>
        <w:t>The team is Samy (founder/product owner/architect) and Claude Code (AI pair programmer). 87+ sessions in 21 days producing 336 source files, 100+ API routes, 21+ database tables, and 25+ UI pages. This is a remarkable output for a solo founder with AI assistance and explains the architectural maturity (Claude Code produces consistent, well-structured systems) alongside the UX density (no dedicated designer has simplified the information architecture). The codebase quality is high — consistent patterns, comprehensive error handling, Zod validation on all routes, typed audit actions — which is characteristic of AI-assisted development where the AI enforces consistency across sessions.</w:t>
      </w:r>
    </w:p>
    <w:p>
      <w:pPr>
        <w:spacing w:before="80" w:after="200"/>
        <w:ind w:left="283"/>
      </w:pPr>
      <w:r>
        <w:rPr>
          <w:b/>
          <w:color w:val="1B7A43"/>
          <w:sz w:val="20"/>
        </w:rPr>
        <w:t xml:space="preserve">■ STRATEGIC IMPLICATION: </w:t>
      </w:r>
      <w:r>
        <w:rPr>
          <w:color w:val="333333"/>
          <w:sz w:val="20"/>
        </w:rPr>
        <w:t>The first hire should be a design-oriented product person (not a backend engineer). The backend is production-grade. The gap is UX simplification, demo storytelling, and user journey optimization. A product designer who can turn 25 pages into 4 workspaces and make the intake process feel effortless would have 10x more impact than another engineer.</w:t>
      </w:r>
    </w:p>
    <w:p>
      <w:pPr>
        <w:spacing w:before="240" w:after="80"/>
      </w:pPr>
      <w:r>
        <w:rPr>
          <w:b/>
          <w:color w:val="2E75B6"/>
          <w:sz w:val="22"/>
        </w:rPr>
        <w:t>D2. Monthly infrastructure budget?</w:t>
      </w:r>
    </w:p>
    <w:p>
      <w:pPr>
        <w:spacing w:after="120"/>
      </w:pPr>
      <w:r>
        <w:rPr>
          <w:b/>
          <w:color w:val="333333"/>
        </w:rPr>
        <w:t xml:space="preserve">Evidence from codebase: </w:t>
      </w:r>
      <w:r>
        <w:t>Vercel Hobby plan (free tier, throttled crons). PostgreSQL (connection string via DATABASE_URL; provider unclear but likely Neon or Supabase given serverless optimization). Anthropic API costs ~$0.40-0.52 per development session; production costs would scale with user count. AWS costs only when AgentCore deployments are active (Bedrock + IAM). Redis optional (not active on Hobby plan). S3 optional for artifact caching (ARTIFACT_BUCKET env var).</w:t>
      </w:r>
    </w:p>
    <w:p>
      <w:pPr>
        <w:spacing w:after="120"/>
      </w:pPr>
      <w:r>
        <w:rPr>
          <w:b/>
          <w:color w:val="333333"/>
        </w:rPr>
        <w:t xml:space="preserve">Recommended answer: </w:t>
      </w:r>
      <w:r>
        <w:t>Current infrastructure is likely &lt;$50/month (free tier Vercel + minimal database + development API costs). For design partner phase, budget $200-500/month: Vercel Pro ($20), managed PostgreSQL ($20-50), Anthropic API usage for partner activity ($100-300), Redis add-on if needed ($10-30). AWS costs only on active AgentCore deployments. This is extremely cost-efficient for the capability delivered.</w:t>
      </w:r>
    </w:p>
    <w:p>
      <w:pPr>
        <w:spacing w:before="240" w:after="80"/>
      </w:pPr>
      <w:r>
        <w:rPr>
          <w:b/>
          <w:color w:val="2E75B6"/>
          <w:sz w:val="22"/>
        </w:rPr>
        <w:t>D3. If the 90-day plan assumes hiring, what roles?</w:t>
      </w:r>
    </w:p>
    <w:p>
      <w:pPr>
        <w:spacing w:after="120"/>
      </w:pPr>
      <w:r>
        <w:rPr>
          <w:b/>
          <w:color w:val="333333"/>
        </w:rPr>
        <w:t xml:space="preserve">Recommended priority: </w:t>
      </w:r>
      <w:r/>
    </w:p>
    <w:p>
      <w:pPr>
        <w:spacing w:after="160" w:line="320" w:lineRule="exact"/>
      </w:pPr>
      <w:r>
        <w:t>1. Product Designer / UX Lead — #1 priority. Consolidate 25 pages into role-based workspaces. Design the express-lane intake flow. Simplify the information architecture. Create the demo narrative. This person would have 10x more impact than any other hire.</w:t>
      </w:r>
    </w:p>
    <w:p>
      <w:pPr>
        <w:spacing w:after="160" w:line="320" w:lineRule="exact"/>
      </w:pPr>
      <w:r>
        <w:t>2. Solutions Engineer / Sales Engineer — #2 priority once design partners are in pipeline. Owns the demo environment, handles prospect technical questions, runs pilot onboarding. This role is essential for converting design partner interest into active usage.</w:t>
      </w:r>
    </w:p>
    <w:p>
      <w:pPr>
        <w:spacing w:after="160" w:line="320" w:lineRule="exact"/>
      </w:pPr>
      <w:r>
        <w:t>3. Backend Engineer — Only after design partners are active and the scale demands it. The current Claude Code workflow produces high-quality backend code at ~4 sessions/day. An additional backend engineer becomes necessary when: (a) multiple design partners generate concurrent feature requests, or (b) multi-tenancy hardening and SSO work needs to happen in parallel with feature development.</w:t>
      </w:r>
    </w:p>
    <w:p>
      <w:pPr>
        <w:spacing w:before="240" w:after="80"/>
      </w:pPr>
      <w:r>
        <w:rPr>
          <w:b/>
          <w:color w:val="2E75B6"/>
          <w:sz w:val="22"/>
        </w:rPr>
        <w:t>D4. Target date for first enterprise pilot?</w:t>
      </w:r>
    </w:p>
    <w:p>
      <w:pPr>
        <w:spacing w:after="120"/>
      </w:pPr>
      <w:r>
        <w:rPr>
          <w:b/>
          <w:color w:val="333333"/>
        </w:rPr>
        <w:t xml:space="preserve">Evidence from codebase: </w:t>
      </w:r>
      <w:r>
        <w:t>The DPR phase was introduced in Session 082 (April 1, 2026). The roadmap shows DPR Tracks 1 and 2 (Product Hardening + First Impression Polish) at 100% complete (7/7 items). Track 3 (GTM) is the only incomplete track, labeled "Samy-led." Recent sessions (084-087) focused on UI polish: AI/futuristic UI redesign, Design Studio UX polish, conversation phase UX enhancement, session list UX/UI overhaul. This suggests the product is being prepared for imminent external exposure.</w:t>
      </w:r>
    </w:p>
    <w:p>
      <w:pPr>
        <w:spacing w:after="120"/>
      </w:pPr>
      <w:r>
        <w:rPr>
          <w:b/>
          <w:color w:val="333333"/>
        </w:rPr>
        <w:t xml:space="preserve">Recommended answer: </w:t>
      </w:r>
      <w:r>
        <w:t>The product is demo-ready now. The first pilot should start within 30-45 days (May 2026), not 90 days. Waiting longer risks polishing a product in a vacuum without buyer feedback. The DPR roadmap acknowledges this — it gates further technical investment (H3-1/H3-2) on having 3 design partners. The express-lane intake (Recommendation #2 from the analysis) should be the only pre-pilot investment. Everything else can be built in response to design partner feedback.</w:t>
      </w:r>
    </w:p>
    <w:p>
      <w:pPr>
        <w:spacing w:before="80" w:after="200"/>
        <w:ind w:left="283"/>
      </w:pPr>
      <w:r>
        <w:rPr>
          <w:b/>
          <w:color w:val="C0392B"/>
          <w:sz w:val="20"/>
        </w:rPr>
        <w:t xml:space="preserve">■ CRITICAL ADVICE: </w:t>
      </w:r>
      <w:r>
        <w:rPr>
          <w:color w:val="333333"/>
          <w:sz w:val="20"/>
        </w:rPr>
        <w:t>Do not delay pilot launch for middleware isolation, SAML, or multi-cloud. These are production multi-tenant requirements, not pilot requirements. A design partner pilot can run on an isolated instance with OIDC auth. Ship the pilot first, harden second.</w:t>
      </w:r>
    </w:p>
    <w:p>
      <w:pPr>
        <w:spacing w:before="240" w:after="80"/>
      </w:pPr>
      <w:r>
        <w:rPr>
          <w:b/>
          <w:color w:val="2E75B6"/>
          <w:sz w:val="22"/>
        </w:rPr>
        <w:t>D5. Are you pursuing SOC 2?</w:t>
      </w:r>
    </w:p>
    <w:p>
      <w:pPr>
        <w:spacing w:after="120"/>
      </w:pPr>
      <w:r>
        <w:rPr>
          <w:b/>
          <w:color w:val="333333"/>
        </w:rPr>
        <w:t xml:space="preserve">Evidence from codebase: </w:t>
      </w:r>
      <w:r>
        <w:t>No SOC 2 documentation, policies, or compliance controls exist in the codebase. However, the audit trail infrastructure is a strong foundation: 19 typed audit actions, append-only log, actor/action/timestamp on every event, enterprise-scoped data isolation, bcrypt password hashing, JWT session management, request ID tracing, and a completed OWASP security audit (Session 069). The landing page mentions "SOC 2" as a compliance framework badge alongside SR 11-7, EU AI Act, NIST, and ISO.</w:t>
      </w:r>
    </w:p>
    <w:p>
      <w:pPr>
        <w:spacing w:after="120"/>
      </w:pPr>
      <w:r>
        <w:rPr>
          <w:b/>
          <w:color w:val="333333"/>
        </w:rPr>
        <w:t xml:space="preserve">Recommended answer: </w:t>
      </w:r>
      <w:r>
        <w:t>SOC 2 Type II should be pursued after the first paid customer, not before. The certification process takes 6-12 months and costs $30-80K. For design partners, the audit trail, security hardening, and OWASP scan provide sufficient assurance. When SOC 2 becomes a prospect requirement, the middleware tenant isolation gap and structured logging gaps would be the primary audit findings to address. The append-only audit trail, role-based access control, and separation of duties are exactly what SOC 2 auditors want to see — the foundation is strong.</w:t>
      </w:r>
    </w:p>
    <w:p>
      <w:pPr>
        <w:spacing w:after="160" w:line="320" w:lineRule="exact"/>
      </w:pPr>
      <w:r>
        <w:t>Pre-SOC 2 investments (in priority order): (1) Middleware-level tenant isolation (auditors will flag query-level-only enforcement). (2) Structured JSON logging with request correlation (auditors need log analysis evidence). (3) Tenant isolation integration tests (auditors want automated verification of data separation). (4) Incident response documentation (required by SOC 2 Trust Services Criteria). Estimated total effort: 2-3 weeks of focused work, building on the existing security infrastructure.</w:t>
      </w:r>
    </w:p>
    <w:p>
      <w:r>
        <w:br w:type="page"/>
      </w:r>
    </w:p>
    <w:p>
      <w:pPr>
        <w:pStyle w:val="Heading1"/>
      </w:pPr>
      <w:r>
        <w:rPr>
          <w:color w:val="0F172A"/>
        </w:rPr>
        <w:t>Synthesis: The Optimal Path Forward</w:t>
      </w:r>
    </w:p>
    <w:p>
      <w:pPr>
        <w:spacing w:after="160" w:line="320" w:lineRule="exact"/>
      </w:pPr>
      <w:r>
        <w:t>After analyzing all 22 questions against the validated codebase, the strategic picture crystallizes into a clear sequence:</w:t>
      </w:r>
    </w:p>
    <w:p>
      <w:pPr>
        <w:spacing w:after="120"/>
      </w:pPr>
      <w:r>
        <w:rPr>
          <w:b/>
          <w:color w:val="333333"/>
        </w:rPr>
        <w:t>Phase 1: Ship the Pilot (Weeks 1-4)</w:t>
      </w:r>
      <w:r/>
    </w:p>
    <w:p>
      <w:pPr>
        <w:spacing w:after="160" w:line="320" w:lineRule="exact"/>
      </w:pPr>
      <w:r>
        <w:t>Build express-lane intake (the single highest-impact product investment). Complete per-enterprise IdP routing (only if serving multiple design partners simultaneously). Launch 1-3 design partner pilots on isolated Vercel instances with OIDC auth. Do NOT wait for middleware isolation, SAML, multi-cloud, or SOC 2.</w:t>
      </w:r>
    </w:p>
    <w:p>
      <w:pPr>
        <w:spacing w:after="120"/>
      </w:pPr>
      <w:r>
        <w:rPr>
          <w:b/>
          <w:color w:val="333333"/>
        </w:rPr>
        <w:t>Phase 2: Learn and Harden (Weeks 5-8)</w:t>
      </w:r>
      <w:r/>
    </w:p>
    <w:p>
      <w:pPr>
        <w:spacing w:after="160" w:line="320" w:lineRule="exact"/>
      </w:pPr>
      <w:r>
        <w:t>Collect design partner feedback. Build what they ask for, not what we assume they need. If a partner requires Azure deployment, wire the existing adapter (2-3 days). If a partner requires SAML, register the SAML provider (3-5 days). Begin UX workspace consolidation based on observed usage patterns.</w:t>
      </w:r>
    </w:p>
    <w:p>
      <w:pPr>
        <w:spacing w:after="120"/>
      </w:pPr>
      <w:r>
        <w:rPr>
          <w:b/>
          <w:color w:val="333333"/>
        </w:rPr>
        <w:t>Phase 3: Production Readiness (Weeks 9-12)</w:t>
      </w:r>
      <w:r/>
    </w:p>
    <w:p>
      <w:pPr>
        <w:spacing w:after="160" w:line="320" w:lineRule="exact"/>
      </w:pPr>
      <w:r>
        <w:t>Middleware tenant isolation. Structured logging. Integration test suite. Convert design partners to paid contracts. Begin SOC 2 preparation if a prospect requires it. Hire the product designer. Plan the visual workflow builder based on partner demand.</w:t>
      </w:r>
    </w:p>
    <w:p>
      <w:pPr>
        <w:spacing w:after="160" w:line="320" w:lineRule="exact"/>
      </w:pPr>
      <w:r>
        <w:t>The key insight across all 22 questions is the same: Intellios is further along than it needs to be for the current stage. The risk is not insufficient technology — it is insufficient market exposure. Every week spent polishing without a design partner’s hands on the product is a week of building in a vacuum. The product is ready. Ship it.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2D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