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172A"/>
          <w:sz w:val="72"/>
        </w:rPr>
        <w:t>INTELLIOS</w:t>
      </w:r>
    </w:p>
    <w:p>
      <w:pPr>
        <w:jc w:val="center"/>
      </w:pPr>
      <w:r>
        <w:rPr>
          <w:color w:val="2E75B6"/>
          <w:sz w:val="40"/>
        </w:rPr>
        <w:t>Strategic Product Analysis</w:t>
      </w:r>
    </w:p>
    <w:p/>
    <w:p>
      <w:pPr>
        <w:jc w:val="center"/>
      </w:pPr>
      <w:r>
        <w:rPr>
          <w:color w:val="666666"/>
          <w:sz w:val="24"/>
        </w:rPr>
        <w:t>Comprehensive Codebase Evaluation Against the Optimal Future State</w:t>
        <w:br/>
        <w:t>of an Enterprise AI Agent Operating System</w:t>
      </w:r>
    </w:p>
    <w:p/>
    <w:p/>
    <w:p>
      <w:pPr>
        <w:jc w:val="center"/>
      </w:pPr>
      <w:r>
        <w:rPr>
          <w:color w:val="666666"/>
          <w:sz w:val="20"/>
        </w:rPr>
        <w:t>Prepared for: Samy Hamad, Founder</w:t>
        <w:br/>
        <w:t>Date: April 2, 2026</w:t>
        <w:br/>
        <w:t>Version: 2.0 (Validated)</w:t>
        <w:br/>
        <w:t>Classification: Confidential</w:t>
      </w:r>
    </w:p>
    <w:p>
      <w:r>
        <w:br w:type="page"/>
      </w:r>
    </w:p>
    <w:p>
      <w:pPr>
        <w:pStyle w:val="Heading1"/>
      </w:pPr>
      <w:r>
        <w:rPr>
          <w:color w:val="0F172A"/>
        </w:rPr>
        <w:t>Executive Summary</w:t>
      </w:r>
    </w:p>
    <w:p>
      <w:pPr>
        <w:spacing w:after="160" w:line="320" w:lineRule="exact"/>
      </w:pPr>
      <w:r>
        <w:t>This report is grounded in a validated deep-dive of the full Intellios codebase: every source file across 200+ TypeScript modules, 100+ API routes, 25+ UI pages, the 98KB canonical system description (through Phase 53), 11 Architectural Decision Records, and the complete database schema (21+ tables). Every claim in this document was verified against actual source code.</w:t>
      </w:r>
    </w:p>
    <w:p>
      <w:pPr>
        <w:spacing w:after="160" w:line="320" w:lineRule="exact"/>
      </w:pPr>
      <w:r>
        <w:t>The core finding is stronger than initially apparent: Intellios is not an early-stage prototype. It is a production-mature enterprise platform with deep systems that most competitors have not even started building. The governance engine, runtime telemetry pipeline, quality scoring, anomaly detection, multi-agent workflow system, and four enterprise integration adapters (Jira, ServiceNow, Slack, Teams) are all fully implemented and wired end-to-end. The behavioral test harness and red team simulation panel are complete. The compliance evidence chain satisfies SR 11-7, EU AI Act, and NIST AI RMF requirements out of the box.</w:t>
      </w:r>
    </w:p>
    <w:p>
      <w:pPr>
        <w:spacing w:after="160" w:line="320" w:lineRule="exact"/>
      </w:pPr>
      <w:r>
        <w:t>The gap to category leadership is narrower than it appears. The primary risks are not technical but product-facing: UX complexity for non-expert users, SAML SSO completion for enterprise procurement, middleware-level tenant isolation hardening, and wiring the Azure/Vertex deployment adapters that already exist as real implementations into the active deployment flow.</w:t>
      </w:r>
    </w:p>
    <w:p>
      <w:pPr>
        <w:pStyle w:val="Heading2"/>
      </w:pPr>
      <w:r>
        <w:rPr>
          <w:color w:val="0F172A"/>
        </w:rPr>
        <w:t>Scorecard: Current State vs. Optimal Future State</w:t>
      </w:r>
    </w:p>
    <w:tbl>
      <w:tblPr>
        <w:tblW w:type="auto" w:w="0"/>
        <w:jc w:val="center"/>
        <w:tblLook w:firstColumn="1" w:firstRow="1" w:lastColumn="0" w:lastRow="0" w:noHBand="0" w:noVBand="1" w:val="04A0"/>
      </w:tblPr>
      <w:tblGrid>
        <w:gridCol w:w="3120"/>
        <w:gridCol w:w="3120"/>
        <w:gridCol w:w="3120"/>
      </w:tblGrid>
      <w:tr>
        <w:tc>
          <w:tcPr>
            <w:tcW w:type="dxa" w:w="2592"/>
            <w:shd w:fill="0F172A" w:val="clear"/>
          </w:tcPr>
          <w:p>
            <w:pPr>
              <w:jc w:val="left"/>
            </w:pPr>
            <w:r/>
            <w:r>
              <w:rPr>
                <w:rFonts w:ascii="Calibri" w:hAnsi="Calibri"/>
                <w:b/>
                <w:color w:val="FFFFFF"/>
                <w:sz w:val="18"/>
              </w:rPr>
              <w:t>Capability</w:t>
            </w:r>
          </w:p>
        </w:tc>
        <w:tc>
          <w:tcPr>
            <w:tcW w:type="dxa" w:w="1152"/>
            <w:shd w:fill="0F172A" w:val="clear"/>
          </w:tcPr>
          <w:p>
            <w:pPr>
              <w:jc w:val="left"/>
            </w:pPr>
            <w:r/>
            <w:r>
              <w:rPr>
                <w:rFonts w:ascii="Calibri" w:hAnsi="Calibri"/>
                <w:b/>
                <w:color w:val="FFFFFF"/>
                <w:sz w:val="18"/>
              </w:rPr>
              <w:t>Maturity</w:t>
            </w:r>
          </w:p>
        </w:tc>
        <w:tc>
          <w:tcPr>
            <w:tcW w:type="dxa" w:w="6336"/>
            <w:shd w:fill="0F172A" w:val="clear"/>
          </w:tcPr>
          <w:p>
            <w:pPr>
              <w:jc w:val="left"/>
            </w:pPr>
            <w:r/>
            <w:r>
              <w:rPr>
                <w:rFonts w:ascii="Calibri" w:hAnsi="Calibri"/>
                <w:b/>
                <w:color w:val="FFFFFF"/>
                <w:sz w:val="18"/>
              </w:rPr>
              <w:t>Validated Assessment</w:t>
            </w:r>
          </w:p>
        </w:tc>
      </w:tr>
      <w:tr>
        <w:tc>
          <w:tcPr>
            <w:tcW w:type="dxa" w:w="2592"/>
          </w:tcPr>
          <w:p>
            <w:r/>
            <w:r>
              <w:rPr>
                <w:rFonts w:ascii="Calibri" w:hAnsi="Calibri"/>
                <w:sz w:val="18"/>
              </w:rPr>
              <w:t>Agent Generation Pipeline</w:t>
            </w:r>
          </w:p>
        </w:tc>
        <w:tc>
          <w:tcPr>
            <w:tcW w:type="dxa" w:w="1152"/>
          </w:tcPr>
          <w:p>
            <w:r/>
            <w:r>
              <w:rPr>
                <w:rFonts w:ascii="Calibri" w:hAnsi="Calibri"/>
                <w:sz w:val="18"/>
              </w:rPr>
              <w:t>Production</w:t>
            </w:r>
          </w:p>
        </w:tc>
        <w:tc>
          <w:tcPr>
            <w:tcW w:type="dxa" w:w="6336"/>
          </w:tcPr>
          <w:p>
            <w:r/>
            <w:r>
              <w:rPr>
                <w:rFonts w:ascii="Calibri" w:hAnsi="Calibri"/>
                <w:sz w:val="18"/>
              </w:rPr>
              <w:t>Three-phase intake + policy-aware generation + adaptive model selection (8x cost reduction). Six blueprint templates with full ABP payloads. Quick-start modal.</w:t>
            </w:r>
          </w:p>
        </w:tc>
      </w:tr>
      <w:tr>
        <w:tc>
          <w:tcPr>
            <w:tcW w:type="dxa" w:w="2592"/>
          </w:tcPr>
          <w:p>
            <w:r/>
            <w:r>
              <w:rPr>
                <w:rFonts w:ascii="Calibri" w:hAnsi="Calibri"/>
                <w:sz w:val="18"/>
              </w:rPr>
              <w:t>Governance &amp; Compliance</w:t>
            </w:r>
          </w:p>
        </w:tc>
        <w:tc>
          <w:tcPr>
            <w:tcW w:type="dxa" w:w="1152"/>
          </w:tcPr>
          <w:p>
            <w:r/>
            <w:r>
              <w:rPr>
                <w:rFonts w:ascii="Calibri" w:hAnsi="Calibri"/>
                <w:sz w:val="18"/>
              </w:rPr>
              <w:t>Production</w:t>
            </w:r>
          </w:p>
        </w:tc>
        <w:tc>
          <w:tcPr>
            <w:tcW w:type="dxa" w:w="6336"/>
          </w:tcPr>
          <w:p>
            <w:r/>
            <w:r>
              <w:rPr>
                <w:rFonts w:ascii="Calibri" w:hAnsi="Calibri"/>
                <w:sz w:val="18"/>
              </w:rPr>
              <w:t>11 operators, policy versioning with lineage, impact simulation, continuous monitoring, four compliance starter packs, 13-section MRM report. Best-in-class.</w:t>
            </w:r>
          </w:p>
        </w:tc>
      </w:tr>
      <w:tr>
        <w:tc>
          <w:tcPr>
            <w:tcW w:type="dxa" w:w="2592"/>
          </w:tcPr>
          <w:p>
            <w:r/>
            <w:r>
              <w:rPr>
                <w:rFonts w:ascii="Calibri" w:hAnsi="Calibri"/>
                <w:sz w:val="18"/>
              </w:rPr>
              <w:t>Runtime Telemetry</w:t>
            </w:r>
          </w:p>
        </w:tc>
        <w:tc>
          <w:tcPr>
            <w:tcW w:type="dxa" w:w="1152"/>
          </w:tcPr>
          <w:p>
            <w:r/>
            <w:r>
              <w:rPr>
                <w:rFonts w:ascii="Calibri" w:hAnsi="Calibri"/>
                <w:sz w:val="18"/>
              </w:rPr>
              <w:t>Production</w:t>
            </w:r>
          </w:p>
        </w:tc>
        <w:tc>
          <w:tcPr>
            <w:tcW w:type="dxa" w:w="6336"/>
          </w:tcPr>
          <w:p>
            <w:r/>
            <w:r>
              <w:rPr>
                <w:rFonts w:ascii="Calibri" w:hAnsi="Calibri"/>
                <w:sz w:val="18"/>
              </w:rPr>
              <w:t>CORRECTION from v1: Fully implemented. Dual ingestion (CloudWatch + push API). Runtime policy evaluation with 5 operators. Circuit breaker auto-suspension. Quality regression detection (design vs production, &gt;15pt gap triggers alerts).</w:t>
            </w:r>
          </w:p>
        </w:tc>
      </w:tr>
      <w:tr>
        <w:tc>
          <w:tcPr>
            <w:tcW w:type="dxa" w:w="2592"/>
          </w:tcPr>
          <w:p>
            <w:r/>
            <w:r>
              <w:rPr>
                <w:rFonts w:ascii="Calibri" w:hAnsi="Calibri"/>
                <w:sz w:val="18"/>
              </w:rPr>
              <w:t>Behavioral Testing</w:t>
            </w:r>
          </w:p>
        </w:tc>
        <w:tc>
          <w:tcPr>
            <w:tcW w:type="dxa" w:w="1152"/>
          </w:tcPr>
          <w:p>
            <w:r/>
            <w:r>
              <w:rPr>
                <w:rFonts w:ascii="Calibri" w:hAnsi="Calibri"/>
                <w:sz w:val="18"/>
              </w:rPr>
              <w:t>Production</w:t>
            </w:r>
          </w:p>
        </w:tc>
        <w:tc>
          <w:tcPr>
            <w:tcW w:type="dxa" w:w="6336"/>
          </w:tcPr>
          <w:p>
            <w:r/>
            <w:r>
              <w:rPr>
                <w:rFonts w:ascii="Calibri" w:hAnsi="Calibri"/>
                <w:sz w:val="18"/>
              </w:rPr>
              <w:t>Two-phase Claude-as-judge test harness (execute + evaluate). Red team panel: 10 adversarial attacks across 5 categories. Risk scoring 0-10. Full UI integration.</w:t>
            </w:r>
          </w:p>
        </w:tc>
      </w:tr>
      <w:tr>
        <w:tc>
          <w:tcPr>
            <w:tcW w:type="dxa" w:w="2592"/>
          </w:tcPr>
          <w:p>
            <w:r/>
            <w:r>
              <w:rPr>
                <w:rFonts w:ascii="Calibri" w:hAnsi="Calibri"/>
                <w:sz w:val="18"/>
              </w:rPr>
              <w:t>Deployment &amp; Runtime</w:t>
            </w:r>
          </w:p>
        </w:tc>
        <w:tc>
          <w:tcPr>
            <w:tcW w:type="dxa" w:w="1152"/>
          </w:tcPr>
          <w:p>
            <w:r/>
            <w:r>
              <w:rPr>
                <w:rFonts w:ascii="Calibri" w:hAnsi="Calibri"/>
                <w:sz w:val="18"/>
              </w:rPr>
              <w:t>Strong</w:t>
            </w:r>
          </w:p>
        </w:tc>
        <w:tc>
          <w:tcPr>
            <w:tcW w:type="dxa" w:w="6336"/>
          </w:tcPr>
          <w:p>
            <w:r/>
            <w:r>
              <w:rPr>
                <w:rFonts w:ascii="Calibri" w:hAnsi="Calibri"/>
                <w:sz w:val="18"/>
              </w:rPr>
              <w:t>AgentCore fully production-ready with rollback. Azure adapter fully written but orphaned (not wired to routing). Vertex adapter incomplete (auth layer throws). Code export generates ready-to-run TypeScript.</w:t>
            </w:r>
          </w:p>
        </w:tc>
      </w:tr>
      <w:tr>
        <w:tc>
          <w:tcPr>
            <w:tcW w:type="dxa" w:w="2592"/>
          </w:tcPr>
          <w:p>
            <w:r/>
            <w:r>
              <w:rPr>
                <w:rFonts w:ascii="Calibri" w:hAnsi="Calibri"/>
                <w:sz w:val="18"/>
              </w:rPr>
              <w:t>Multi-Agent Workflows</w:t>
            </w:r>
          </w:p>
        </w:tc>
        <w:tc>
          <w:tcPr>
            <w:tcW w:type="dxa" w:w="1152"/>
          </w:tcPr>
          <w:p>
            <w:r/>
            <w:r>
              <w:rPr>
                <w:rFonts w:ascii="Calibri" w:hAnsi="Calibri"/>
                <w:sz w:val="18"/>
              </w:rPr>
              <w:t>Production</w:t>
            </w:r>
          </w:p>
        </w:tc>
        <w:tc>
          <w:tcPr>
            <w:tcW w:type="dxa" w:w="6336"/>
          </w:tcPr>
          <w:p>
            <w:r/>
            <w:r>
              <w:rPr>
                <w:rFonts w:ascii="Calibri" w:hAnsi="Calibri"/>
                <w:sz w:val="18"/>
              </w:rPr>
              <w:t>CORRECTION from v1: Fully implemented. Workflow CRUD, handoff rules with priority, cycle detection, graph validation, version diffing, lifecycle state machine, UI at /registry/workflow/[id].</w:t>
            </w:r>
          </w:p>
        </w:tc>
      </w:tr>
      <w:tr>
        <w:tc>
          <w:tcPr>
            <w:tcW w:type="dxa" w:w="2592"/>
          </w:tcPr>
          <w:p>
            <w:r/>
            <w:r>
              <w:rPr>
                <w:rFonts w:ascii="Calibri" w:hAnsi="Calibri"/>
                <w:sz w:val="18"/>
              </w:rPr>
              <w:t>External Integrations</w:t>
            </w:r>
          </w:p>
        </w:tc>
        <w:tc>
          <w:tcPr>
            <w:tcW w:type="dxa" w:w="1152"/>
          </w:tcPr>
          <w:p>
            <w:r/>
            <w:r>
              <w:rPr>
                <w:rFonts w:ascii="Calibri" w:hAnsi="Calibri"/>
                <w:sz w:val="18"/>
              </w:rPr>
              <w:t>Production</w:t>
            </w:r>
          </w:p>
        </w:tc>
        <w:tc>
          <w:tcPr>
            <w:tcW w:type="dxa" w:w="6336"/>
          </w:tcPr>
          <w:p>
            <w:r/>
            <w:r>
              <w:rPr>
                <w:rFonts w:ascii="Calibri" w:hAnsi="Calibri"/>
                <w:sz w:val="18"/>
              </w:rPr>
              <w:t>CORRECTION from v1: Four complete adapters: Jira (ticket creation + status sync), ServiceNow (incident + sync), Slack (webhook + color-coded alerts), Teams (Adaptive Cards). Dispatch engine with enterprise config.</w:t>
            </w:r>
          </w:p>
        </w:tc>
      </w:tr>
      <w:tr>
        <w:tc>
          <w:tcPr>
            <w:tcW w:type="dxa" w:w="2592"/>
          </w:tcPr>
          <w:p>
            <w:r/>
            <w:r>
              <w:rPr>
                <w:rFonts w:ascii="Calibri" w:hAnsi="Calibri"/>
                <w:sz w:val="18"/>
              </w:rPr>
              <w:t>Platform Intelligence</w:t>
            </w:r>
          </w:p>
        </w:tc>
        <w:tc>
          <w:tcPr>
            <w:tcW w:type="dxa" w:w="1152"/>
          </w:tcPr>
          <w:p>
            <w:r/>
            <w:r>
              <w:rPr>
                <w:rFonts w:ascii="Calibri" w:hAnsi="Calibri"/>
                <w:sz w:val="18"/>
              </w:rPr>
              <w:t>Production</w:t>
            </w:r>
          </w:p>
        </w:tc>
        <w:tc>
          <w:tcPr>
            <w:tcW w:type="dxa" w:w="6336"/>
          </w:tcPr>
          <w:p>
            <w:r/>
            <w:r>
              <w:rPr>
                <w:rFonts w:ascii="Calibri" w:hAnsi="Calibri"/>
                <w:sz w:val="18"/>
              </w:rPr>
              <w:t>Daily briefings (Sonnet), 6-signal anomaly detection with 24h dedup, quality scoring (5+4 dimensions), 30-day trends, Quality Index composite metric. Fallback logic on AI failures.</w:t>
            </w:r>
          </w:p>
        </w:tc>
      </w:tr>
      <w:tr>
        <w:tc>
          <w:tcPr>
            <w:tcW w:type="dxa" w:w="2592"/>
          </w:tcPr>
          <w:p>
            <w:r/>
            <w:r>
              <w:rPr>
                <w:rFonts w:ascii="Calibri" w:hAnsi="Calibri"/>
                <w:sz w:val="18"/>
              </w:rPr>
              <w:t>Multi-Tenancy</w:t>
            </w:r>
          </w:p>
        </w:tc>
        <w:tc>
          <w:tcPr>
            <w:tcW w:type="dxa" w:w="1152"/>
          </w:tcPr>
          <w:p>
            <w:r/>
            <w:r>
              <w:rPr>
                <w:rFonts w:ascii="Calibri" w:hAnsi="Calibri"/>
                <w:sz w:val="18"/>
              </w:rPr>
              <w:t>Strong</w:t>
            </w:r>
          </w:p>
        </w:tc>
        <w:tc>
          <w:tcPr>
            <w:tcW w:type="dxa" w:w="6336"/>
          </w:tcPr>
          <w:p>
            <w:r/>
            <w:r>
              <w:rPr>
                <w:rFonts w:ascii="Calibri" w:hAnsi="Calibri"/>
                <w:sz w:val="18"/>
              </w:rPr>
              <w:t>enterprise_id on 21+ tables. Query-level enforcement is comprehensive across all observed routes. Redis-backed rate limiting with in-memory fallback. OIDC SSO with JIT provisioning. BUT: no middleware-level blocking, SAML UI-only, single global IdP.</w:t>
            </w:r>
          </w:p>
        </w:tc>
      </w:tr>
      <w:tr>
        <w:tc>
          <w:tcPr>
            <w:tcW w:type="dxa" w:w="2592"/>
          </w:tcPr>
          <w:p>
            <w:r/>
            <w:r>
              <w:rPr>
                <w:rFonts w:ascii="Calibri" w:hAnsi="Calibri"/>
                <w:sz w:val="18"/>
              </w:rPr>
              <w:t>UX &amp; User Journey</w:t>
            </w:r>
          </w:p>
        </w:tc>
        <w:tc>
          <w:tcPr>
            <w:tcW w:type="dxa" w:w="1152"/>
          </w:tcPr>
          <w:p>
            <w:r/>
            <w:r>
              <w:rPr>
                <w:rFonts w:ascii="Calibri" w:hAnsi="Calibri"/>
                <w:sz w:val="18"/>
              </w:rPr>
              <w:t>Moderate</w:t>
            </w:r>
          </w:p>
        </w:tc>
        <w:tc>
          <w:tcPr>
            <w:tcW w:type="dxa" w:w="6336"/>
          </w:tcPr>
          <w:p>
            <w:r/>
            <w:r>
              <w:rPr>
                <w:rFonts w:ascii="Calibri" w:hAnsi="Calibri"/>
                <w:sz w:val="18"/>
              </w:rPr>
              <w:t>Comprehensive feature set but dense. 25+ pages with role-differentiated home screens. Progressive disclosure opportunities exist but are underutilized.</w:t>
            </w:r>
          </w:p>
        </w:tc>
      </w:tr>
    </w:tbl>
    <w:p/>
    <w:p>
      <w:pPr>
        <w:spacing w:before="80" w:after="160"/>
        <w:ind w:left="283"/>
      </w:pPr>
      <w:r>
        <w:rPr>
          <w:b/>
          <w:color w:val="C0392B"/>
          <w:sz w:val="20"/>
        </w:rPr>
        <w:t xml:space="preserve">■ KEY CORRECTIONS FROM V1: </w:t>
      </w:r>
      <w:r>
        <w:rPr>
          <w:color w:val="333333"/>
          <w:sz w:val="20"/>
        </w:rPr>
        <w:t>Three capabilities were underrated in the initial assessment. Runtime telemetry, multi-agent workflows, and enterprise integrations are all fully implemented production systems, not partial or scaffolded.</w:t>
      </w:r>
    </w:p>
    <w:p>
      <w:r>
        <w:br w:type="page"/>
      </w:r>
    </w:p>
    <w:p>
      <w:pPr>
        <w:pStyle w:val="Heading1"/>
      </w:pPr>
      <w:r>
        <w:rPr>
          <w:color w:val="0F172A"/>
        </w:rPr>
        <w:t>1. Product &amp; System Understanding</w:t>
      </w:r>
    </w:p>
    <w:p>
      <w:pPr>
        <w:pStyle w:val="Heading2"/>
      </w:pPr>
      <w:r>
        <w:rPr>
          <w:color w:val="0F172A"/>
        </w:rPr>
        <w:t>What Intellios Currently Does</w:t>
      </w:r>
    </w:p>
    <w:p>
      <w:pPr>
        <w:spacing w:after="160" w:line="320" w:lineRule="exact"/>
      </w:pPr>
      <w:r>
        <w:t>Intellios is a white-label enterprise AI agent factory: an end-to-end platform for designing, generating, governing, testing, reviewing, deploying, and continuously monitoring AI agent specifications. Its core artifact is the Agent Blueprint Package (ABP), a versioned, schema-validated JSON document that fully describes an agent’s identity, capabilities, constraints, and governance policies.</w:t>
      </w:r>
    </w:p>
    <w:p>
      <w:pPr>
        <w:spacing w:after="160" w:line="320" w:lineRule="exact"/>
      </w:pPr>
      <w:r>
        <w:t>The system operates across two primary subsystems. The Design Studio (Intake Engine + Generation Engine) handles requirements capture through a three-phase conversational AI process and produces ABPs via policy-aware Claude generation. The Control Plane (Governance Validator + Agent Registry + Blueprint Review UI) enforces governance, manages lifecycle, and gates human approval. Cross-cutting systems include an append-only audit trail (19 typed actions), an event bus driving notifications/webhooks/quality scoring, a runtime telemetry pipeline with policy evaluation, and a daily intelligence briefing engine.</w:t>
      </w:r>
    </w:p>
    <w:p>
      <w:pPr>
        <w:pStyle w:val="Heading2"/>
      </w:pPr>
      <w:r>
        <w:rPr>
          <w:color w:val="0F172A"/>
        </w:rPr>
        <w:t>Who It Serves</w:t>
      </w:r>
    </w:p>
    <w:p>
      <w:pPr>
        <w:spacing w:after="160" w:line="320" w:lineRule="exact"/>
      </w:pPr>
      <w:r>
        <w:t>Five distinct user roles with differentiated home screens and access controls:</w:t>
      </w:r>
    </w:p>
    <w:tbl>
      <w:tblPr>
        <w:tblW w:type="auto" w:w="0"/>
        <w:jc w:val="center"/>
        <w:tblLook w:firstColumn="1" w:firstRow="1" w:lastColumn="0" w:lastRow="0" w:noHBand="0" w:noVBand="1" w:val="04A0"/>
      </w:tblPr>
      <w:tblGrid>
        <w:gridCol w:w="3120"/>
        <w:gridCol w:w="3120"/>
        <w:gridCol w:w="3120"/>
      </w:tblGrid>
      <w:tr>
        <w:tc>
          <w:tcPr>
            <w:tcW w:type="dxa" w:w="1728"/>
            <w:shd w:fill="0F172A" w:val="clear"/>
          </w:tcPr>
          <w:p>
            <w:pPr>
              <w:jc w:val="left"/>
            </w:pPr>
            <w:r/>
            <w:r>
              <w:rPr>
                <w:rFonts w:ascii="Calibri" w:hAnsi="Calibri"/>
                <w:b/>
                <w:color w:val="FFFFFF"/>
                <w:sz w:val="18"/>
              </w:rPr>
              <w:t>Role</w:t>
            </w:r>
          </w:p>
        </w:tc>
        <w:tc>
          <w:tcPr>
            <w:tcW w:type="dxa" w:w="4032"/>
            <w:shd w:fill="0F172A" w:val="clear"/>
          </w:tcPr>
          <w:p>
            <w:pPr>
              <w:jc w:val="left"/>
            </w:pPr>
            <w:r/>
            <w:r>
              <w:rPr>
                <w:rFonts w:ascii="Calibri" w:hAnsi="Calibri"/>
                <w:b/>
                <w:color w:val="FFFFFF"/>
                <w:sz w:val="18"/>
              </w:rPr>
              <w:t>Primary Function</w:t>
            </w:r>
          </w:p>
        </w:tc>
        <w:tc>
          <w:tcPr>
            <w:tcW w:type="dxa" w:w="4320"/>
            <w:shd w:fill="0F172A" w:val="clear"/>
          </w:tcPr>
          <w:p>
            <w:pPr>
              <w:jc w:val="left"/>
            </w:pPr>
            <w:r/>
            <w:r>
              <w:rPr>
                <w:rFonts w:ascii="Calibri" w:hAnsi="Calibri"/>
                <w:b/>
                <w:color w:val="FFFFFF"/>
                <w:sz w:val="18"/>
              </w:rPr>
              <w:t>Key Pages</w:t>
            </w:r>
          </w:p>
        </w:tc>
      </w:tr>
      <w:tr>
        <w:tc>
          <w:tcPr>
            <w:tcW w:type="dxa" w:w="1728"/>
          </w:tcPr>
          <w:p>
            <w:r/>
            <w:r>
              <w:rPr>
                <w:rFonts w:ascii="Calibri" w:hAnsi="Calibri"/>
                <w:sz w:val="18"/>
              </w:rPr>
              <w:t>Designer</w:t>
            </w:r>
          </w:p>
        </w:tc>
        <w:tc>
          <w:tcPr>
            <w:tcW w:type="dxa" w:w="4032"/>
          </w:tcPr>
          <w:p>
            <w:r/>
            <w:r>
              <w:rPr>
                <w:rFonts w:ascii="Calibri" w:hAnsi="Calibri"/>
                <w:sz w:val="18"/>
              </w:rPr>
              <w:t>Captures requirements, generates and refines agent blueprints, manages stakeholder collaboration</w:t>
            </w:r>
          </w:p>
        </w:tc>
        <w:tc>
          <w:tcPr>
            <w:tcW w:type="dxa" w:w="4320"/>
          </w:tcPr>
          <w:p>
            <w:r/>
            <w:r>
              <w:rPr>
                <w:rFonts w:ascii="Calibri" w:hAnsi="Calibri"/>
                <w:sz w:val="18"/>
              </w:rPr>
              <w:t>Intake, Blueprint Workbench, Templates, Stakeholder Workspace</w:t>
            </w:r>
          </w:p>
        </w:tc>
      </w:tr>
      <w:tr>
        <w:tc>
          <w:tcPr>
            <w:tcW w:type="dxa" w:w="1728"/>
          </w:tcPr>
          <w:p>
            <w:r/>
            <w:r>
              <w:rPr>
                <w:rFonts w:ascii="Calibri" w:hAnsi="Calibri"/>
                <w:sz w:val="18"/>
              </w:rPr>
              <w:t>Reviewer</w:t>
            </w:r>
          </w:p>
        </w:tc>
        <w:tc>
          <w:tcPr>
            <w:tcW w:type="dxa" w:w="4032"/>
          </w:tcPr>
          <w:p>
            <w:r/>
            <w:r>
              <w:rPr>
                <w:rFonts w:ascii="Calibri" w:hAnsi="Calibri"/>
                <w:sz w:val="18"/>
              </w:rPr>
              <w:t>Reviews and approves/rejects blueprints, deploys approved agents</w:t>
            </w:r>
          </w:p>
        </w:tc>
        <w:tc>
          <w:tcPr>
            <w:tcW w:type="dxa" w:w="4320"/>
          </w:tcPr>
          <w:p>
            <w:r/>
            <w:r>
              <w:rPr>
                <w:rFonts w:ascii="Calibri" w:hAnsi="Calibri"/>
                <w:sz w:val="18"/>
              </w:rPr>
              <w:t>Review Queue, Registry, Deploy Console</w:t>
            </w:r>
          </w:p>
        </w:tc>
      </w:tr>
      <w:tr>
        <w:tc>
          <w:tcPr>
            <w:tcW w:type="dxa" w:w="1728"/>
          </w:tcPr>
          <w:p>
            <w:r/>
            <w:r>
              <w:rPr>
                <w:rFonts w:ascii="Calibri" w:hAnsi="Calibri"/>
                <w:sz w:val="18"/>
              </w:rPr>
              <w:t>Compliance Officer</w:t>
            </w:r>
          </w:p>
        </w:tc>
        <w:tc>
          <w:tcPr>
            <w:tcW w:type="dxa" w:w="4032"/>
          </w:tcPr>
          <w:p>
            <w:r/>
            <w:r>
              <w:rPr>
                <w:rFonts w:ascii="Calibri" w:hAnsi="Calibri"/>
                <w:sz w:val="18"/>
              </w:rPr>
              <w:t>Manages governance policies, monitors fleet compliance posture, exports regulatory evidence</w:t>
            </w:r>
          </w:p>
        </w:tc>
        <w:tc>
          <w:tcPr>
            <w:tcW w:type="dxa" w:w="4320"/>
          </w:tcPr>
          <w:p>
            <w:r/>
            <w:r>
              <w:rPr>
                <w:rFonts w:ascii="Calibri" w:hAnsi="Calibri"/>
                <w:sz w:val="18"/>
              </w:rPr>
              <w:t>Governance Hub, Compliance Center, Audit Trail, Monitor/Intelligence</w:t>
            </w:r>
          </w:p>
        </w:tc>
      </w:tr>
      <w:tr>
        <w:tc>
          <w:tcPr>
            <w:tcW w:type="dxa" w:w="1728"/>
          </w:tcPr>
          <w:p>
            <w:r/>
            <w:r>
              <w:rPr>
                <w:rFonts w:ascii="Calibri" w:hAnsi="Calibri"/>
                <w:sz w:val="18"/>
              </w:rPr>
              <w:t>Admin</w:t>
            </w:r>
          </w:p>
        </w:tc>
        <w:tc>
          <w:tcPr>
            <w:tcW w:type="dxa" w:w="4032"/>
          </w:tcPr>
          <w:p>
            <w:r/>
            <w:r>
              <w:rPr>
                <w:rFonts w:ascii="Calibri" w:hAnsi="Calibri"/>
                <w:sz w:val="18"/>
              </w:rPr>
              <w:t>System config, user management, webhook management, fleet oversight, enterprise settings</w:t>
            </w:r>
          </w:p>
        </w:tc>
        <w:tc>
          <w:tcPr>
            <w:tcW w:type="dxa" w:w="4320"/>
          </w:tcPr>
          <w:p>
            <w:r/>
            <w:r>
              <w:rPr>
                <w:rFonts w:ascii="Calibri" w:hAnsi="Calibri"/>
                <w:sz w:val="18"/>
              </w:rPr>
              <w:t>Admin Settings, Users, Webhooks, SSO, API Keys, Dashboard</w:t>
            </w:r>
          </w:p>
        </w:tc>
      </w:tr>
      <w:tr>
        <w:tc>
          <w:tcPr>
            <w:tcW w:type="dxa" w:w="1728"/>
          </w:tcPr>
          <w:p>
            <w:r/>
            <w:r>
              <w:rPr>
                <w:rFonts w:ascii="Calibri" w:hAnsi="Calibri"/>
                <w:sz w:val="18"/>
              </w:rPr>
              <w:t>Viewer</w:t>
            </w:r>
          </w:p>
        </w:tc>
        <w:tc>
          <w:tcPr>
            <w:tcW w:type="dxa" w:w="4032"/>
          </w:tcPr>
          <w:p>
            <w:r/>
            <w:r>
              <w:rPr>
                <w:rFonts w:ascii="Calibri" w:hAnsi="Calibri"/>
                <w:sz w:val="18"/>
              </w:rPr>
              <w:t>Read-only fleet visibility (CROs, CISOs, external auditors)</w:t>
            </w:r>
          </w:p>
        </w:tc>
        <w:tc>
          <w:tcPr>
            <w:tcW w:type="dxa" w:w="4320"/>
          </w:tcPr>
          <w:p>
            <w:r/>
            <w:r>
              <w:rPr>
                <w:rFonts w:ascii="Calibri" w:hAnsi="Calibri"/>
                <w:sz w:val="18"/>
              </w:rPr>
              <w:t>Fleet Dashboard, Compliance, Monitor, Registry (read-only)</w:t>
            </w:r>
          </w:p>
        </w:tc>
      </w:tr>
    </w:tbl>
    <w:p/>
    <w:p>
      <w:pPr>
        <w:pStyle w:val="Heading2"/>
      </w:pPr>
      <w:r>
        <w:rPr>
          <w:color w:val="0F172A"/>
        </w:rPr>
        <w:t>End-to-End System Flow</w:t>
      </w:r>
    </w:p>
    <w:tbl>
      <w:tblPr>
        <w:tblW w:type="auto" w:w="0"/>
        <w:jc w:val="center"/>
        <w:tblLook w:firstColumn="1" w:firstRow="1" w:lastColumn="0" w:lastRow="0" w:noHBand="0" w:noVBand="1" w:val="04A0"/>
      </w:tblPr>
      <w:tblGrid>
        <w:gridCol w:w="3120"/>
        <w:gridCol w:w="3120"/>
        <w:gridCol w:w="3120"/>
      </w:tblGrid>
      <w:tr>
        <w:tc>
          <w:tcPr>
            <w:tcW w:type="dxa" w:w="1584"/>
            <w:shd w:fill="0F172A" w:val="clear"/>
          </w:tcPr>
          <w:p>
            <w:pPr>
              <w:jc w:val="left"/>
            </w:pPr>
            <w:r/>
            <w:r>
              <w:rPr>
                <w:rFonts w:ascii="Calibri" w:hAnsi="Calibri"/>
                <w:b/>
                <w:color w:val="FFFFFF"/>
                <w:sz w:val="18"/>
              </w:rPr>
              <w:t>Stage</w:t>
            </w:r>
          </w:p>
        </w:tc>
        <w:tc>
          <w:tcPr>
            <w:tcW w:type="dxa" w:w="1728"/>
            <w:shd w:fill="0F172A" w:val="clear"/>
          </w:tcPr>
          <w:p>
            <w:pPr>
              <w:jc w:val="left"/>
            </w:pPr>
            <w:r/>
            <w:r>
              <w:rPr>
                <w:rFonts w:ascii="Calibri" w:hAnsi="Calibri"/>
                <w:b/>
                <w:color w:val="FFFFFF"/>
                <w:sz w:val="18"/>
              </w:rPr>
              <w:t>Actor</w:t>
            </w:r>
          </w:p>
        </w:tc>
        <w:tc>
          <w:tcPr>
            <w:tcW w:type="dxa" w:w="6768"/>
            <w:shd w:fill="0F172A" w:val="clear"/>
          </w:tcPr>
          <w:p>
            <w:pPr>
              <w:jc w:val="left"/>
            </w:pPr>
            <w:r/>
            <w:r>
              <w:rPr>
                <w:rFonts w:ascii="Calibri" w:hAnsi="Calibri"/>
                <w:b/>
                <w:color w:val="FFFFFF"/>
                <w:sz w:val="18"/>
              </w:rPr>
              <w:t>What Happens</w:t>
            </w:r>
          </w:p>
        </w:tc>
      </w:tr>
      <w:tr>
        <w:tc>
          <w:tcPr>
            <w:tcW w:type="dxa" w:w="1584"/>
          </w:tcPr>
          <w:p>
            <w:r/>
            <w:r>
              <w:rPr>
                <w:rFonts w:ascii="Calibri" w:hAnsi="Calibri"/>
                <w:sz w:val="18"/>
              </w:rPr>
              <w:t>1. Stakeholder Input</w:t>
            </w:r>
          </w:p>
        </w:tc>
        <w:tc>
          <w:tcPr>
            <w:tcW w:type="dxa" w:w="1728"/>
          </w:tcPr>
          <w:p>
            <w:r/>
            <w:r>
              <w:rPr>
                <w:rFonts w:ascii="Calibri" w:hAnsi="Calibri"/>
                <w:sz w:val="18"/>
              </w:rPr>
              <w:t>Designer + Domain Experts</w:t>
            </w:r>
          </w:p>
        </w:tc>
        <w:tc>
          <w:tcPr>
            <w:tcW w:type="dxa" w:w="6768"/>
          </w:tcPr>
          <w:p>
            <w:r/>
            <w:r>
              <w:rPr>
                <w:rFonts w:ascii="Calibri" w:hAnsi="Calibri"/>
                <w:sz w:val="18"/>
              </w:rPr>
              <w:t>Three-phase intake: structured context form (6 fields), guided AI conversation (Claude + 11 tools), pre-finalization review with completeness map. Optional RACI-adapted stakeholder interviews via token-gated links. AI Orchestrator synthesizes conflicts/gaps across contributions.</w:t>
            </w:r>
          </w:p>
        </w:tc>
      </w:tr>
      <w:tr>
        <w:tc>
          <w:tcPr>
            <w:tcW w:type="dxa" w:w="1584"/>
          </w:tcPr>
          <w:p>
            <w:r/>
            <w:r>
              <w:rPr>
                <w:rFonts w:ascii="Calibri" w:hAnsi="Calibri"/>
                <w:sz w:val="18"/>
              </w:rPr>
              <w:t>2. Blueprint Generation</w:t>
            </w:r>
          </w:p>
        </w:tc>
        <w:tc>
          <w:tcPr>
            <w:tcW w:type="dxa" w:w="1728"/>
          </w:tcPr>
          <w:p>
            <w:r/>
            <w:r>
              <w:rPr>
                <w:rFonts w:ascii="Calibri" w:hAnsi="Calibri"/>
                <w:sz w:val="18"/>
              </w:rPr>
              <w:t>Generation Engine</w:t>
            </w:r>
          </w:p>
        </w:tc>
        <w:tc>
          <w:tcPr>
            <w:tcW w:type="dxa" w:w="6768"/>
          </w:tcPr>
          <w:p>
            <w:r/>
            <w:r>
              <w:rPr>
                <w:rFonts w:ascii="Calibri" w:hAnsi="Calibri"/>
                <w:sz w:val="18"/>
              </w:rPr>
              <w:t>Single-call generateObject() with enterprise policies embedded as severity-tagged constraints. Zod schema enforcement at SDK level. Auto-validation runs immediately. Audit entry written.</w:t>
            </w:r>
          </w:p>
        </w:tc>
      </w:tr>
      <w:tr>
        <w:tc>
          <w:tcPr>
            <w:tcW w:type="dxa" w:w="1584"/>
          </w:tcPr>
          <w:p>
            <w:r/>
            <w:r>
              <w:rPr>
                <w:rFonts w:ascii="Calibri" w:hAnsi="Calibri"/>
                <w:sz w:val="18"/>
              </w:rPr>
              <w:t>3. Review &amp; Refinement</w:t>
            </w:r>
          </w:p>
        </w:tc>
        <w:tc>
          <w:tcPr>
            <w:tcW w:type="dxa" w:w="1728"/>
          </w:tcPr>
          <w:p>
            <w:r/>
            <w:r>
              <w:rPr>
                <w:rFonts w:ascii="Calibri" w:hAnsi="Calibri"/>
                <w:sz w:val="18"/>
              </w:rPr>
              <w:t>Designer</w:t>
            </w:r>
          </w:p>
        </w:tc>
        <w:tc>
          <w:tcPr>
            <w:tcW w:type="dxa" w:w="6768"/>
          </w:tcPr>
          <w:p>
            <w:r/>
            <w:r>
              <w:rPr>
                <w:rFonts w:ascii="Calibri" w:hAnsi="Calibri"/>
                <w:sz w:val="18"/>
              </w:rPr>
              <w:t>Blueprint Workbench: 7-section stepper, governance violations with AI-suggested fixes, natural-language refinement, live revalidation. Red team simulation and behavioral testing available.</w:t>
            </w:r>
          </w:p>
        </w:tc>
      </w:tr>
      <w:tr>
        <w:tc>
          <w:tcPr>
            <w:tcW w:type="dxa" w:w="1584"/>
          </w:tcPr>
          <w:p>
            <w:r/>
            <w:r>
              <w:rPr>
                <w:rFonts w:ascii="Calibri" w:hAnsi="Calibri"/>
                <w:sz w:val="18"/>
              </w:rPr>
              <w:t>4. Human Approval</w:t>
            </w:r>
          </w:p>
        </w:tc>
        <w:tc>
          <w:tcPr>
            <w:tcW w:type="dxa" w:w="1728"/>
          </w:tcPr>
          <w:p>
            <w:r/>
            <w:r>
              <w:rPr>
                <w:rFonts w:ascii="Calibri" w:hAnsi="Calibri"/>
                <w:sz w:val="18"/>
              </w:rPr>
              <w:t>Reviewer Chain</w:t>
            </w:r>
          </w:p>
        </w:tc>
        <w:tc>
          <w:tcPr>
            <w:tcW w:type="dxa" w:w="6768"/>
          </w:tcPr>
          <w:p>
            <w:r/>
            <w:r>
              <w:rPr>
                <w:rFonts w:ascii="Calibri" w:hAnsi="Calibri"/>
                <w:sz w:val="18"/>
              </w:rPr>
              <w:t>Multi-step approval with SOD enforcement. AI Risk Brief generation (Haiku). Review decision + comment recorded with audit trail. Webhooks dispatched.</w:t>
            </w:r>
          </w:p>
        </w:tc>
      </w:tr>
      <w:tr>
        <w:tc>
          <w:tcPr>
            <w:tcW w:type="dxa" w:w="1584"/>
          </w:tcPr>
          <w:p>
            <w:r/>
            <w:r>
              <w:rPr>
                <w:rFonts w:ascii="Calibri" w:hAnsi="Calibri"/>
                <w:sz w:val="18"/>
              </w:rPr>
              <w:t>5. Deployment</w:t>
            </w:r>
          </w:p>
        </w:tc>
        <w:tc>
          <w:tcPr>
            <w:tcW w:type="dxa" w:w="1728"/>
          </w:tcPr>
          <w:p>
            <w:r/>
            <w:r>
              <w:rPr>
                <w:rFonts w:ascii="Calibri" w:hAnsi="Calibri"/>
                <w:sz w:val="18"/>
              </w:rPr>
              <w:t>Reviewer/Admin</w:t>
            </w:r>
          </w:p>
        </w:tc>
        <w:tc>
          <w:tcPr>
            <w:tcW w:type="dxa" w:w="6768"/>
          </w:tcPr>
          <w:p>
            <w:r/>
            <w:r>
              <w:rPr>
                <w:rFonts w:ascii="Calibri" w:hAnsi="Calibri"/>
                <w:sz w:val="18"/>
              </w:rPr>
              <w:t>Deploy Console with mandatory change reference. Three paths: platform deploy, AgentCore direct deploy (5-step AWS SDK with rollback), or AgentCore export manifest. Code export available.</w:t>
            </w:r>
          </w:p>
        </w:tc>
      </w:tr>
      <w:tr>
        <w:tc>
          <w:tcPr>
            <w:tcW w:type="dxa" w:w="1584"/>
          </w:tcPr>
          <w:p>
            <w:r/>
            <w:r>
              <w:rPr>
                <w:rFonts w:ascii="Calibri" w:hAnsi="Calibri"/>
                <w:sz w:val="18"/>
              </w:rPr>
              <w:t>6. Continuous Monitoring</w:t>
            </w:r>
          </w:p>
        </w:tc>
        <w:tc>
          <w:tcPr>
            <w:tcW w:type="dxa" w:w="1728"/>
          </w:tcPr>
          <w:p>
            <w:r/>
            <w:r>
              <w:rPr>
                <w:rFonts w:ascii="Calibri" w:hAnsi="Calibri"/>
                <w:sz w:val="18"/>
              </w:rPr>
              <w:t>System + Compliance</w:t>
            </w:r>
          </w:p>
        </w:tc>
        <w:tc>
          <w:tcPr>
            <w:tcW w:type="dxa" w:w="6768"/>
          </w:tcPr>
          <w:p>
            <w:r/>
            <w:r>
              <w:rPr>
                <w:rFonts w:ascii="Calibri" w:hAnsi="Calibri"/>
                <w:sz w:val="18"/>
              </w:rPr>
              <w:t>Dual telemetry ingestion (CloudWatch poller + push API). Runtime policy evaluation with 5 operators. Circuit breaker auto-suspension. Quality regression detection. Daily intelligence briefings. Anomaly detection with 6 threshold signals.</w:t>
            </w:r>
          </w:p>
        </w:tc>
      </w:tr>
      <w:tr>
        <w:tc>
          <w:tcPr>
            <w:tcW w:type="dxa" w:w="1584"/>
          </w:tcPr>
          <w:p>
            <w:r/>
            <w:r>
              <w:rPr>
                <w:rFonts w:ascii="Calibri" w:hAnsi="Calibri"/>
                <w:sz w:val="18"/>
              </w:rPr>
              <w:t>7. Governance Drift</w:t>
            </w:r>
          </w:p>
        </w:tc>
        <w:tc>
          <w:tcPr>
            <w:tcW w:type="dxa" w:w="1728"/>
          </w:tcPr>
          <w:p>
            <w:r/>
            <w:r>
              <w:rPr>
                <w:rFonts w:ascii="Calibri" w:hAnsi="Calibri"/>
                <w:sz w:val="18"/>
              </w:rPr>
              <w:t>System</w:t>
            </w:r>
          </w:p>
        </w:tc>
        <w:tc>
          <w:tcPr>
            <w:tcW w:type="dxa" w:w="6768"/>
          </w:tcPr>
          <w:p>
            <w:r/>
            <w:r>
              <w:rPr>
                <w:rFonts w:ascii="Calibri" w:hAnsi="Calibri"/>
                <w:sz w:val="18"/>
              </w:rPr>
              <w:t>Policy changes trigger automatic re-evaluation of all deployed agents. Health state transitions (clean/critical) notify compliance officers. Integration dispatch to Jira/ServiceNow/Slack/Teams.</w:t>
            </w:r>
          </w:p>
        </w:tc>
      </w:tr>
    </w:tbl>
    <w:p/>
    <w:p>
      <w:r>
        <w:br w:type="page"/>
      </w:r>
    </w:p>
    <w:p>
      <w:pPr>
        <w:pStyle w:val="Heading1"/>
      </w:pPr>
      <w:r>
        <w:rPr>
          <w:color w:val="0F172A"/>
        </w:rPr>
        <w:t>2. Product Vision Alignment</w:t>
      </w:r>
    </w:p>
    <w:p>
      <w:pPr>
        <w:spacing w:after="160" w:line="320" w:lineRule="exact"/>
      </w:pPr>
      <w:r>
        <w:t>This section evaluates Intellios against six pillars of the ideal AI agent operating system. Each assessment is grounded in verified source code.</w:t>
      </w:r>
    </w:p>
    <w:p>
      <w:pPr>
        <w:pStyle w:val="Heading2"/>
      </w:pPr>
      <w:r>
        <w:rPr>
          <w:color w:val="0F172A"/>
        </w:rPr>
        <w:t>Pillar 1: Convert Business Intent into Deployable AI Agents</w:t>
      </w:r>
    </w:p>
    <w:p>
      <w:pPr>
        <w:spacing w:after="120"/>
      </w:pPr>
      <w:r>
        <w:rPr>
          <w:b/>
          <w:color w:val="333333"/>
        </w:rPr>
        <w:t xml:space="preserve">Strong (verified): </w:t>
      </w:r>
      <w:r>
        <w:t>The three-phase intake is deeply sophisticated. Phase 1 captures 6 domain-signal fields that seed the Governance Sufficiency Matrix. Phase 2 uses Claude with 11 structured tools (set_agent_identity, add_tool, add_knowledge_source, etc.) to incrementally build an IntakePayload. Adaptive model selection routes 75-80% of turns to Haiku. Expertise detection after turn 2 adapts language register. Phase 3 provides a review screen with completeness map, ambiguity flags, capture verification, and policy quality warnings. Six production-quality blueprint templates (Customer Service, Regulatory Q&amp;A, Document Review, Loan Pre-Screening, AML Alert Triage, HR Policy) offer instant starting points with complete ABP payloads including governance policies. Stakeholder collaboration workspace supports RACI-adapted AI interviews with an AI Orchestrator for synthesis/conflict/gap detection. Code export generates ready-to-run TypeScript agent files from approved blueprints.</w:t>
      </w:r>
    </w:p>
    <w:p>
      <w:pPr>
        <w:spacing w:after="120"/>
      </w:pPr>
      <w:r>
        <w:rPr>
          <w:b/>
          <w:color w:val="333333"/>
        </w:rPr>
        <w:t xml:space="preserve">Partially implemented: </w:t>
      </w:r>
      <w:r>
        <w:t>Stakeholder interviews are single-round. Multi-round sessions and async threading are planned. Template library combines 6 static built-in templates with a DB-backed community template system (schema exists, rating system ready), but the community template publishing and curation workflow is not yet active.</w:t>
      </w:r>
    </w:p>
    <w:p>
      <w:pPr>
        <w:spacing w:after="120"/>
      </w:pPr>
      <w:r>
        <w:rPr>
          <w:b/>
          <w:color w:val="333333"/>
        </w:rPr>
        <w:t xml:space="preserve">Missing: </w:t>
      </w:r>
      <w:r>
        <w:t>No "express lane" that bypasses the three-phase process for simple agents (describe in 2-3 sentences, get a blueprint in 60 seconds). No import path for existing agent definitions from other platforms. No visual flow builder for the multi-agent workflow system (the backend is complete but the visual builder is not implemented).</w:t>
      </w:r>
    </w:p>
    <w:p>
      <w:pPr>
        <w:pStyle w:val="Heading2"/>
      </w:pPr>
      <w:r>
        <w:rPr>
          <w:color w:val="0F172A"/>
        </w:rPr>
        <w:t>Pillar 2: Governance, Compliance, and Enterprise Policies</w:t>
      </w:r>
    </w:p>
    <w:p>
      <w:pPr>
        <w:spacing w:after="120"/>
      </w:pPr>
      <w:r>
        <w:rPr>
          <w:b/>
          <w:color w:val="333333"/>
        </w:rPr>
        <w:t xml:space="preserve">Strong (verified): </w:t>
      </w:r>
      <w:r>
        <w:t>This is Intellios’s primary moat. The governance system is production-grade: 11 policy rule operators with deterministic evaluation (no AI in enforcement path), policy versioning with full lineage tracking and supersedAt semantics, impact simulation before publishing (evaluates all approved/deployed blueprints against proposed policy), four compliance starter packs (SR 11-7 Core, EU AI Act High-Risk, GDPR Agent Data, AI Safety Baseline), continuous deployment health monitoring with automatic re-evaluation on policy changes, and separation of duties enforcement across the entire lifecycle (designer ≠ reviewer, multi-step approval chain with cross-step SOD). The 13-section MRM Compliance Report covers risk classification, governance validation with policy lineage, approval chain evidence, deployment records, model lineage, immutable audit chain, stakeholder contributions, regulatory framework assessment (EU AI Act 9 req, SR 11-7 9 req, NIST AI RMF 8 req), and behavioral test evidence. Compliance Evidence Bundle packages MRM report + quality evaluation + test runs for one-click regulatory submission.</w:t>
      </w:r>
    </w:p>
    <w:p>
      <w:pPr>
        <w:spacing w:after="120"/>
      </w:pPr>
      <w:r>
        <w:rPr>
          <w:b/>
          <w:color w:val="333333"/>
        </w:rPr>
        <w:t xml:space="preserve">Missing: </w:t>
      </w:r>
      <w:r>
        <w:t>No policy-as-code integration (import/export from external GRC tools like Archer, ServiceNow GRC). No automated regulatory update feed. Periodic model review scheduling is planned but not complete.</w:t>
      </w:r>
    </w:p>
    <w:p>
      <w:pPr>
        <w:pStyle w:val="Heading2"/>
      </w:pPr>
      <w:r>
        <w:rPr>
          <w:color w:val="0F172A"/>
        </w:rPr>
        <w:t>Pillar 3: Runtime Intelligence and Continuous Monitoring</w:t>
      </w:r>
    </w:p>
    <w:p>
      <w:pPr>
        <w:spacing w:before="80" w:after="160"/>
        <w:ind w:left="283"/>
      </w:pPr>
      <w:r>
        <w:rPr>
          <w:b/>
          <w:color w:val="C0392B"/>
          <w:sz w:val="20"/>
        </w:rPr>
        <w:t xml:space="preserve">■ MAJOR CORRECTION: </w:t>
      </w:r>
      <w:r>
        <w:rPr>
          <w:color w:val="333333"/>
          <w:sz w:val="20"/>
        </w:rPr>
        <w:t>The v1 report listed runtime telemetry as the #1 gap. This was wrong. The telemetry system is fully implemented and production-ready.</w:t>
      </w:r>
    </w:p>
    <w:p>
      <w:pPr>
        <w:spacing w:after="120"/>
      </w:pPr>
      <w:r>
        <w:rPr>
          <w:b/>
          <w:color w:val="333333"/>
        </w:rPr>
        <w:t xml:space="preserve">Strong (verified): </w:t>
      </w:r>
      <w:r>
        <w:t>Dual-path telemetry ingestion: (1) CloudWatch poller pulls hourly metrics from Bedrock AgentCore (invocations, errors, latency p50/p99, token counts), and (2) push API accepts external agent data with bearer token auth and batch ingestion (1-1000 metrics per request). Both paths feed the agentTelemetry table (append-only, enterprise-scoped). Runtime policy evaluation uses 5 operators (token_budget_daily, token_budget_per_interaction, circuit_breaker_error_rate, scope_constraint, pii_action). Violations are persisted to runtimeViolations table. Circuit breaker auto-suspends agents when error violations exceed threshold. Weekly quality trends compute a production score: (policyAdherence × 50) + (uptime × 30) + (reliability × 20). Quality regression detection fires alerts when production score diverges from design-time score by &gt;15 points. Alert threshold system allows per-metric configuration (error_rate, latency_p99, zero_invocations, policy_violations) with configurable windows.</w:t>
      </w:r>
    </w:p>
    <w:p>
      <w:pPr>
        <w:spacing w:after="120"/>
      </w:pPr>
      <w:r>
        <w:rPr>
          <w:b/>
          <w:color w:val="333333"/>
        </w:rPr>
        <w:t xml:space="preserve">Partially implemented: </w:t>
      </w:r>
      <w:r>
        <w:t>PII action enforcement is a configuration assertion only; runtime PII detection deferred to a future phase. Telemetry is currently limited to agents deployed via AgentCore or agents that implement the push API. No real-time streaming dashboard — telemetry is batch (hourly for CloudWatch, on-demand for push).</w:t>
      </w:r>
    </w:p>
    <w:p>
      <w:pPr>
        <w:pStyle w:val="Heading2"/>
      </w:pPr>
      <w:r>
        <w:rPr>
          <w:color w:val="0F172A"/>
        </w:rPr>
        <w:t>Pillar 4: Multi-Agent Orchestration</w:t>
      </w:r>
    </w:p>
    <w:p>
      <w:pPr>
        <w:spacing w:before="80" w:after="160"/>
        <w:ind w:left="283"/>
      </w:pPr>
      <w:r>
        <w:rPr>
          <w:b/>
          <w:color w:val="C0392B"/>
          <w:sz w:val="20"/>
        </w:rPr>
        <w:t xml:space="preserve">■ MAJOR CORRECTION: </w:t>
      </w:r>
      <w:r>
        <w:rPr>
          <w:color w:val="333333"/>
          <w:sz w:val="20"/>
        </w:rPr>
        <w:t>The v1 report listed multi-agent orchestration as a critical gap. The backend is fully implemented.</w:t>
      </w:r>
    </w:p>
    <w:p>
      <w:pPr>
        <w:spacing w:after="120"/>
      </w:pPr>
      <w:r>
        <w:rPr>
          <w:b/>
          <w:color w:val="333333"/>
        </w:rPr>
        <w:t xml:space="preserve">Strong (verified): </w:t>
      </w:r>
      <w:r>
        <w:t>The workflow system is production-complete. Workflows define agent compositions with handoff rules, shared context fields, and priority ordering. Graph validation includes cycle detection via DFS, entry point enforcement (rules must originate from "start"), and agent status verification (all referenced agents must be approved/deployed). Version diffing compares agents added/removed, rules modified, and context field changes. Lifecycle state machine mirrors blueprints (draft → in_review → approved/rejected → deprecated) with SOD enforcement. Full UI at /registry/workflow/[id] with status transitions, agent lists, handoff rule display, and shared context rendering.</w:t>
      </w:r>
    </w:p>
    <w:p>
      <w:pPr>
        <w:spacing w:after="120"/>
      </w:pPr>
      <w:r>
        <w:rPr>
          <w:b/>
          <w:color w:val="333333"/>
        </w:rPr>
        <w:t xml:space="preserve">Missing: </w:t>
      </w:r>
      <w:r>
        <w:t>No visual drag-and-drop workflow builder. Workflows are defined via structured JSON, not a canvas UI. No runtime orchestration engine — workflows define the topology but do not execute agent-to-agent handoffs. No cascading governance: parent workflow policies do not automatically apply to child agents.</w:t>
      </w:r>
    </w:p>
    <w:p>
      <w:pPr>
        <w:pStyle w:val="Heading2"/>
      </w:pPr>
      <w:r>
        <w:rPr>
          <w:color w:val="0F172A"/>
        </w:rPr>
        <w:t>Pillar 5: Deployment and Runtime Separation</w:t>
      </w:r>
    </w:p>
    <w:p>
      <w:pPr>
        <w:spacing w:after="120"/>
      </w:pPr>
      <w:r>
        <w:rPr>
          <w:b/>
          <w:color w:val="333333"/>
        </w:rPr>
        <w:t xml:space="preserve">Strong (verified): </w:t>
      </w:r>
      <w:r>
        <w:t>Clean architectural separation. AgentCore deployment is production-ready with 5-step AWS SDK sequence and full rollback on failure. Pre-flight validation catches config errors before touching AWS. Error enrichment maps raw AWS errors to operator guidance. Export manifests enable manual deployment without AWS credentials. Code export generates self-contained TypeScript agent files.</w:t>
      </w:r>
    </w:p>
    <w:p>
      <w:pPr>
        <w:spacing w:after="120"/>
      </w:pPr>
      <w:r>
        <w:rPr>
          <w:b/>
          <w:color w:val="333333"/>
        </w:rPr>
        <w:t xml:space="preserve">Partially implemented: </w:t>
      </w:r>
      <w:r>
        <w:t>Azure adapter (src/lib/deploy/azure.ts) is a real 127-line implementation with Azure Management REST API integration and OAuth2 auth. However, it is completely orphaned — no factory, registry, or routing code instantiates it. Zero references in the codebase. Vertex adapter (src/lib/deploy/vertex.ts) is incomplete — the getAccessToken() method deliberately throws, requiring google-auth-library installation. The DeploymentAdapter interface exists but is not wired into the deployment flow. Only AgentCore uses its own independent code path.</w:t>
      </w:r>
    </w:p>
    <w:p>
      <w:pPr>
        <w:spacing w:after="120"/>
      </w:pPr>
      <w:r>
        <w:rPr>
          <w:b/>
          <w:color w:val="333333"/>
        </w:rPr>
        <w:t xml:space="preserve">Missing: </w:t>
      </w:r>
      <w:r>
        <w:t>No adapter factory or deployment target routing. Wiring Azure would require: (1) completing auth, (2) building a factory that selects adapter by target, (3) updating the deploy API route, and (4) adding UI selection in the Deploy Console. Estimated effort: 2-3 days per adapter.</w:t>
      </w:r>
    </w:p>
    <w:p>
      <w:pPr>
        <w:pStyle w:val="Heading2"/>
      </w:pPr>
      <w:r>
        <w:rPr>
          <w:color w:val="0F172A"/>
        </w:rPr>
        <w:t>Pillar 6: Multi-Tenant Enterprise SaaS</w:t>
      </w:r>
    </w:p>
    <w:p>
      <w:pPr>
        <w:spacing w:after="120"/>
      </w:pPr>
      <w:r>
        <w:rPr>
          <w:b/>
          <w:color w:val="333333"/>
        </w:rPr>
        <w:t xml:space="preserve">Strong (verified): </w:t>
      </w:r>
      <w:r>
        <w:t>enterprise_id is denormalized across 21+ tables. Query-level isolation is comprehensive — a spot-check of 15 API routes confirmed correct enterprise filtering on all. Admin role has cross-enterprise visibility; non-admin roles see only their enterprise’s data. Global policies (null enterprise_id) are correctly merged with enterprise-scoped policies for governance evaluation. Rate limiting uses Redis-backed sliding window (Lua script for atomic check+add) with in-memory fallback. OIDC SSO with JIT provisioning is fully implemented: domain-based enterprise routing, group-to-role mapping, sentinel password hash for SSO-provisioned users. 8-hour JWT sessions. API key management for service-to-service auth.</w:t>
      </w:r>
    </w:p>
    <w:p>
      <w:pPr>
        <w:spacing w:after="120"/>
      </w:pPr>
      <w:r>
        <w:rPr>
          <w:b/>
          <w:color w:val="333333"/>
        </w:rPr>
        <w:t xml:space="preserve">Gaps (verified): </w:t>
      </w:r>
      <w:r>
        <w:t>No middleware-level enterprise isolation. All checks are query-level in individual route handlers. A missing assertEnterpriseAccess() call on any new route creates a cross-tenant leak risk. SAML is UI-only — admin can select SAML protocol and enter config, but no SAML provider is registered in NextAuth. It will not work at runtime. Single global OIDC provider — all enterprises must federate with the same IdP. Per-enterprise IdP selection is stored in settings but not consumed. Rate limiting is per-user email, not per-enterprise. No resource exhaustion protection at the tenant level. No usage metering, billing infrastructure, tenant provisioning automation, or data residency controls.</w:t>
      </w:r>
    </w:p>
    <w:p>
      <w:r>
        <w:br w:type="page"/>
      </w:r>
    </w:p>
    <w:p>
      <w:pPr>
        <w:pStyle w:val="Heading1"/>
      </w:pPr>
      <w:r>
        <w:rPr>
          <w:color w:val="0F172A"/>
        </w:rPr>
        <w:t>3. Strategic Gap Analysis</w:t>
      </w:r>
    </w:p>
    <w:p>
      <w:pPr>
        <w:pStyle w:val="Heading2"/>
      </w:pPr>
      <w:r>
        <w:rPr>
          <w:color w:val="0F172A"/>
        </w:rPr>
        <w:t>Security &amp; Multi-Tenancy Gaps (Highest Priority)</w:t>
      </w:r>
    </w:p>
    <w:tbl>
      <w:tblPr>
        <w:tblW w:type="auto" w:w="0"/>
        <w:jc w:val="center"/>
        <w:tblLook w:firstColumn="1" w:firstRow="1" w:lastColumn="0" w:lastRow="0" w:noHBand="0" w:noVBand="1" w:val="04A0"/>
      </w:tblPr>
      <w:tblGrid>
        <w:gridCol w:w="3120"/>
        <w:gridCol w:w="3120"/>
        <w:gridCol w:w="3120"/>
      </w:tblGrid>
      <w:tr>
        <w:tc>
          <w:tcPr>
            <w:tcW w:type="dxa" w:w="3312"/>
            <w:shd w:fill="0F172A" w:val="clear"/>
          </w:tcPr>
          <w:p>
            <w:pPr>
              <w:jc w:val="left"/>
            </w:pPr>
            <w:r/>
            <w:r>
              <w:rPr>
                <w:rFonts w:ascii="Calibri" w:hAnsi="Calibri"/>
                <w:b/>
                <w:color w:val="FFFFFF"/>
                <w:sz w:val="18"/>
              </w:rPr>
              <w:t>Gap</w:t>
            </w:r>
          </w:p>
        </w:tc>
        <w:tc>
          <w:tcPr>
            <w:tcW w:type="dxa" w:w="1008"/>
            <w:shd w:fill="0F172A" w:val="clear"/>
          </w:tcPr>
          <w:p>
            <w:pPr>
              <w:jc w:val="left"/>
            </w:pPr>
            <w:r/>
            <w:r>
              <w:rPr>
                <w:rFonts w:ascii="Calibri" w:hAnsi="Calibri"/>
                <w:b/>
                <w:color w:val="FFFFFF"/>
                <w:sz w:val="18"/>
              </w:rPr>
              <w:t>Severity</w:t>
            </w:r>
          </w:p>
        </w:tc>
        <w:tc>
          <w:tcPr>
            <w:tcW w:type="dxa" w:w="5760"/>
            <w:shd w:fill="0F172A" w:val="clear"/>
          </w:tcPr>
          <w:p>
            <w:pPr>
              <w:jc w:val="left"/>
            </w:pPr>
            <w:r/>
            <w:r>
              <w:rPr>
                <w:rFonts w:ascii="Calibri" w:hAnsi="Calibri"/>
                <w:b/>
                <w:color w:val="FFFFFF"/>
                <w:sz w:val="18"/>
              </w:rPr>
              <w:t>Detail</w:t>
            </w:r>
          </w:p>
        </w:tc>
      </w:tr>
      <w:tr>
        <w:tc>
          <w:tcPr>
            <w:tcW w:type="dxa" w:w="3312"/>
          </w:tcPr>
          <w:p>
            <w:r/>
            <w:r>
              <w:rPr>
                <w:rFonts w:ascii="Calibri" w:hAnsi="Calibri"/>
                <w:sz w:val="18"/>
              </w:rPr>
              <w:t>No middleware-level tenant isolation</w:t>
            </w:r>
          </w:p>
        </w:tc>
        <w:tc>
          <w:tcPr>
            <w:tcW w:type="dxa" w:w="1008"/>
          </w:tcPr>
          <w:p>
            <w:r/>
            <w:r>
              <w:rPr>
                <w:rFonts w:ascii="Calibri" w:hAnsi="Calibri"/>
                <w:sz w:val="18"/>
              </w:rPr>
              <w:t>Critical</w:t>
            </w:r>
          </w:p>
        </w:tc>
        <w:tc>
          <w:tcPr>
            <w:tcW w:type="dxa" w:w="5760"/>
          </w:tcPr>
          <w:p>
            <w:r/>
            <w:r>
              <w:rPr>
                <w:rFonts w:ascii="Calibri" w:hAnsi="Calibri"/>
                <w:sz w:val="18"/>
              </w:rPr>
              <w:t>All enterprise_id checks are at query level in individual route handlers. A single missed check = cross-tenant data leak. Need a middleware that validates enterprise_id on every request before reaching route logic.</w:t>
            </w:r>
          </w:p>
        </w:tc>
      </w:tr>
      <w:tr>
        <w:tc>
          <w:tcPr>
            <w:tcW w:type="dxa" w:w="3312"/>
          </w:tcPr>
          <w:p>
            <w:r/>
            <w:r>
              <w:rPr>
                <w:rFonts w:ascii="Calibri" w:hAnsi="Calibri"/>
                <w:sz w:val="18"/>
              </w:rPr>
              <w:t>SAML SSO is UI-only</w:t>
            </w:r>
          </w:p>
        </w:tc>
        <w:tc>
          <w:tcPr>
            <w:tcW w:type="dxa" w:w="1008"/>
          </w:tcPr>
          <w:p>
            <w:r/>
            <w:r>
              <w:rPr>
                <w:rFonts w:ascii="Calibri" w:hAnsi="Calibri"/>
                <w:sz w:val="18"/>
              </w:rPr>
              <w:t>High</w:t>
            </w:r>
          </w:p>
        </w:tc>
        <w:tc>
          <w:tcPr>
            <w:tcW w:type="dxa" w:w="5760"/>
          </w:tcPr>
          <w:p>
            <w:r/>
            <w:r>
              <w:rPr>
                <w:rFonts w:ascii="Calibri" w:hAnsi="Calibri"/>
                <w:sz w:val="18"/>
              </w:rPr>
              <w:t>Admin can configure SAML settings, but no SAML provider is registered in src/auth.ts. Enterprise buyers requiring SAML will be blocked at procurement.</w:t>
            </w:r>
          </w:p>
        </w:tc>
      </w:tr>
      <w:tr>
        <w:tc>
          <w:tcPr>
            <w:tcW w:type="dxa" w:w="3312"/>
          </w:tcPr>
          <w:p>
            <w:r/>
            <w:r>
              <w:rPr>
                <w:rFonts w:ascii="Calibri" w:hAnsi="Calibri"/>
                <w:sz w:val="18"/>
              </w:rPr>
              <w:t>Single global OIDC provider</w:t>
            </w:r>
          </w:p>
        </w:tc>
        <w:tc>
          <w:tcPr>
            <w:tcW w:type="dxa" w:w="1008"/>
          </w:tcPr>
          <w:p>
            <w:r/>
            <w:r>
              <w:rPr>
                <w:rFonts w:ascii="Calibri" w:hAnsi="Calibri"/>
                <w:sz w:val="18"/>
              </w:rPr>
              <w:t>High</w:t>
            </w:r>
          </w:p>
        </w:tc>
        <w:tc>
          <w:tcPr>
            <w:tcW w:type="dxa" w:w="5760"/>
          </w:tcPr>
          <w:p>
            <w:r/>
            <w:r>
              <w:rPr>
                <w:rFonts w:ascii="Calibri" w:hAnsi="Calibri"/>
                <w:sz w:val="18"/>
              </w:rPr>
              <w:t>Per-enterprise IdP settings are stored in DB but only the platform-level SSO_ISSUER env var is consumed. Multi-IdP federation needed for enterprises with different identity providers.</w:t>
            </w:r>
          </w:p>
        </w:tc>
      </w:tr>
      <w:tr>
        <w:tc>
          <w:tcPr>
            <w:tcW w:type="dxa" w:w="3312"/>
          </w:tcPr>
          <w:p>
            <w:r/>
            <w:r>
              <w:rPr>
                <w:rFonts w:ascii="Calibri" w:hAnsi="Calibri"/>
                <w:sz w:val="18"/>
              </w:rPr>
              <w:t>Domain-based JIT has no exclusivity check</w:t>
            </w:r>
          </w:p>
        </w:tc>
        <w:tc>
          <w:tcPr>
            <w:tcW w:type="dxa" w:w="1008"/>
          </w:tcPr>
          <w:p>
            <w:r/>
            <w:r>
              <w:rPr>
                <w:rFonts w:ascii="Calibri" w:hAnsi="Calibri"/>
                <w:sz w:val="18"/>
              </w:rPr>
              <w:t>Medium</w:t>
            </w:r>
          </w:p>
        </w:tc>
        <w:tc>
          <w:tcPr>
            <w:tcW w:type="dxa" w:w="5760"/>
          </w:tcPr>
          <w:p>
            <w:r/>
            <w:r>
              <w:rPr>
                <w:rFonts w:ascii="Calibri" w:hAnsi="Calibri"/>
                <w:sz w:val="18"/>
              </w:rPr>
              <w:t>If two enterprises configure the same email domain for SSO, the first match wins. No unique constraint prevents domain collision.</w:t>
            </w:r>
          </w:p>
        </w:tc>
      </w:tr>
    </w:tbl>
    <w:p/>
    <w:p>
      <w:pPr>
        <w:pStyle w:val="Heading2"/>
      </w:pPr>
      <w:r>
        <w:rPr>
          <w:color w:val="0F172A"/>
        </w:rPr>
        <w:t>Product &amp; UX Gaps</w:t>
      </w:r>
    </w:p>
    <w:tbl>
      <w:tblPr>
        <w:tblW w:type="auto" w:w="0"/>
        <w:jc w:val="center"/>
        <w:tblLook w:firstColumn="1" w:firstRow="1" w:lastColumn="0" w:lastRow="0" w:noHBand="0" w:noVBand="1" w:val="04A0"/>
      </w:tblPr>
      <w:tblGrid>
        <w:gridCol w:w="3120"/>
        <w:gridCol w:w="3120"/>
        <w:gridCol w:w="3120"/>
      </w:tblGrid>
      <w:tr>
        <w:tc>
          <w:tcPr>
            <w:tcW w:type="dxa" w:w="3600"/>
            <w:shd w:fill="0F172A" w:val="clear"/>
          </w:tcPr>
          <w:p>
            <w:pPr>
              <w:jc w:val="left"/>
            </w:pPr>
            <w:r/>
            <w:r>
              <w:rPr>
                <w:rFonts w:ascii="Calibri" w:hAnsi="Calibri"/>
                <w:b/>
                <w:color w:val="FFFFFF"/>
                <w:sz w:val="18"/>
              </w:rPr>
              <w:t>Gap</w:t>
            </w:r>
          </w:p>
        </w:tc>
        <w:tc>
          <w:tcPr>
            <w:tcW w:type="dxa" w:w="1008"/>
            <w:shd w:fill="0F172A" w:val="clear"/>
          </w:tcPr>
          <w:p>
            <w:pPr>
              <w:jc w:val="left"/>
            </w:pPr>
            <w:r/>
            <w:r>
              <w:rPr>
                <w:rFonts w:ascii="Calibri" w:hAnsi="Calibri"/>
                <w:b/>
                <w:color w:val="FFFFFF"/>
                <w:sz w:val="18"/>
              </w:rPr>
              <w:t>Severity</w:t>
            </w:r>
          </w:p>
        </w:tc>
        <w:tc>
          <w:tcPr>
            <w:tcW w:type="dxa" w:w="5472"/>
            <w:shd w:fill="0F172A" w:val="clear"/>
          </w:tcPr>
          <w:p>
            <w:pPr>
              <w:jc w:val="left"/>
            </w:pPr>
            <w:r/>
            <w:r>
              <w:rPr>
                <w:rFonts w:ascii="Calibri" w:hAnsi="Calibri"/>
                <w:b/>
                <w:color w:val="FFFFFF"/>
                <w:sz w:val="18"/>
              </w:rPr>
              <w:t>Detail</w:t>
            </w:r>
          </w:p>
        </w:tc>
      </w:tr>
      <w:tr>
        <w:tc>
          <w:tcPr>
            <w:tcW w:type="dxa" w:w="3600"/>
          </w:tcPr>
          <w:p>
            <w:r/>
            <w:r>
              <w:rPr>
                <w:rFonts w:ascii="Calibri" w:hAnsi="Calibri"/>
                <w:sz w:val="18"/>
              </w:rPr>
              <w:t>No express-lane intake for simple agents</w:t>
            </w:r>
          </w:p>
        </w:tc>
        <w:tc>
          <w:tcPr>
            <w:tcW w:type="dxa" w:w="1008"/>
          </w:tcPr>
          <w:p>
            <w:r/>
            <w:r>
              <w:rPr>
                <w:rFonts w:ascii="Calibri" w:hAnsi="Calibri"/>
                <w:sz w:val="18"/>
              </w:rPr>
              <w:t>High</w:t>
            </w:r>
          </w:p>
        </w:tc>
        <w:tc>
          <w:tcPr>
            <w:tcW w:type="dxa" w:w="5472"/>
          </w:tcPr>
          <w:p>
            <w:r/>
            <w:r>
              <w:rPr>
                <w:rFonts w:ascii="Calibri" w:hAnsi="Calibri"/>
                <w:sz w:val="18"/>
              </w:rPr>
              <w:t>The three-phase process is thorough but heavyweight. A "describe and generate" fast path would expand adoption to business-line owners.</w:t>
            </w:r>
          </w:p>
        </w:tc>
      </w:tr>
      <w:tr>
        <w:tc>
          <w:tcPr>
            <w:tcW w:type="dxa" w:w="3600"/>
          </w:tcPr>
          <w:p>
            <w:r/>
            <w:r>
              <w:rPr>
                <w:rFonts w:ascii="Calibri" w:hAnsi="Calibri"/>
                <w:sz w:val="18"/>
              </w:rPr>
              <w:t>25+ page surface area</w:t>
            </w:r>
          </w:p>
        </w:tc>
        <w:tc>
          <w:tcPr>
            <w:tcW w:type="dxa" w:w="1008"/>
          </w:tcPr>
          <w:p>
            <w:r/>
            <w:r>
              <w:rPr>
                <w:rFonts w:ascii="Calibri" w:hAnsi="Calibri"/>
                <w:sz w:val="18"/>
              </w:rPr>
              <w:t>High</w:t>
            </w:r>
          </w:p>
        </w:tc>
        <w:tc>
          <w:tcPr>
            <w:tcW w:type="dxa" w:w="5472"/>
          </w:tcPr>
          <w:p>
            <w:r/>
            <w:r>
              <w:rPr>
                <w:rFonts w:ascii="Calibri" w:hAnsi="Calibri"/>
                <w:sz w:val="18"/>
              </w:rPr>
              <w:t>Information architecture mirrors system architecture (one page per subsystem) rather than user mental models. Dashboard fragmentation across Executive, Compliance, Fleet, Intelligence creates confusion.</w:t>
            </w:r>
          </w:p>
        </w:tc>
      </w:tr>
      <w:tr>
        <w:tc>
          <w:tcPr>
            <w:tcW w:type="dxa" w:w="3600"/>
          </w:tcPr>
          <w:p>
            <w:r/>
            <w:r>
              <w:rPr>
                <w:rFonts w:ascii="Calibri" w:hAnsi="Calibri"/>
                <w:sz w:val="18"/>
              </w:rPr>
              <w:t>No visual workflow builder</w:t>
            </w:r>
          </w:p>
        </w:tc>
        <w:tc>
          <w:tcPr>
            <w:tcW w:type="dxa" w:w="1008"/>
          </w:tcPr>
          <w:p>
            <w:r/>
            <w:r>
              <w:rPr>
                <w:rFonts w:ascii="Calibri" w:hAnsi="Calibri"/>
                <w:sz w:val="18"/>
              </w:rPr>
              <w:t>Medium</w:t>
            </w:r>
          </w:p>
        </w:tc>
        <w:tc>
          <w:tcPr>
            <w:tcW w:type="dxa" w:w="5472"/>
          </w:tcPr>
          <w:p>
            <w:r/>
            <w:r>
              <w:rPr>
                <w:rFonts w:ascii="Calibri" w:hAnsi="Calibri"/>
                <w:sz w:val="18"/>
              </w:rPr>
              <w:t>Workflow backend is complete but designers must define compositions via structured JSON. A drag-and-drop canvas would make multi-agent design accessible to non-technical users.</w:t>
            </w:r>
          </w:p>
        </w:tc>
      </w:tr>
      <w:tr>
        <w:tc>
          <w:tcPr>
            <w:tcW w:type="dxa" w:w="3600"/>
          </w:tcPr>
          <w:p>
            <w:r/>
            <w:r>
              <w:rPr>
                <w:rFonts w:ascii="Calibri" w:hAnsi="Calibri"/>
                <w:sz w:val="18"/>
              </w:rPr>
              <w:t>Template community/marketplace not active</w:t>
            </w:r>
          </w:p>
        </w:tc>
        <w:tc>
          <w:tcPr>
            <w:tcW w:type="dxa" w:w="1008"/>
          </w:tcPr>
          <w:p>
            <w:r/>
            <w:r>
              <w:rPr>
                <w:rFonts w:ascii="Calibri" w:hAnsi="Calibri"/>
                <w:sz w:val="18"/>
              </w:rPr>
              <w:t>Medium</w:t>
            </w:r>
          </w:p>
        </w:tc>
        <w:tc>
          <w:tcPr>
            <w:tcW w:type="dxa" w:w="5472"/>
          </w:tcPr>
          <w:p>
            <w:r/>
            <w:r>
              <w:rPr>
                <w:rFonts w:ascii="Calibri" w:hAnsi="Calibri"/>
                <w:sz w:val="18"/>
              </w:rPr>
              <w:t>DB schema and rating system are ready. Publishing, curation, and discovery workflows not yet built.</w:t>
            </w:r>
          </w:p>
        </w:tc>
      </w:tr>
    </w:tbl>
    <w:p/>
    <w:p>
      <w:pPr>
        <w:pStyle w:val="Heading2"/>
      </w:pPr>
      <w:r>
        <w:rPr>
          <w:color w:val="0F172A"/>
        </w:rPr>
        <w:t>Platform &amp; Architecture Gaps</w:t>
      </w:r>
    </w:p>
    <w:tbl>
      <w:tblPr>
        <w:tblW w:type="auto" w:w="0"/>
        <w:jc w:val="center"/>
        <w:tblLook w:firstColumn="1" w:firstRow="1" w:lastColumn="0" w:lastRow="0" w:noHBand="0" w:noVBand="1" w:val="04A0"/>
      </w:tblPr>
      <w:tblGrid>
        <w:gridCol w:w="3120"/>
        <w:gridCol w:w="3120"/>
        <w:gridCol w:w="3120"/>
      </w:tblGrid>
      <w:tr>
        <w:tc>
          <w:tcPr>
            <w:tcW w:type="dxa" w:w="3600"/>
            <w:shd w:fill="0F172A" w:val="clear"/>
          </w:tcPr>
          <w:p>
            <w:pPr>
              <w:jc w:val="left"/>
            </w:pPr>
            <w:r/>
            <w:r>
              <w:rPr>
                <w:rFonts w:ascii="Calibri" w:hAnsi="Calibri"/>
                <w:b/>
                <w:color w:val="FFFFFF"/>
                <w:sz w:val="18"/>
              </w:rPr>
              <w:t>Gap</w:t>
            </w:r>
          </w:p>
        </w:tc>
        <w:tc>
          <w:tcPr>
            <w:tcW w:type="dxa" w:w="1008"/>
            <w:shd w:fill="0F172A" w:val="clear"/>
          </w:tcPr>
          <w:p>
            <w:pPr>
              <w:jc w:val="left"/>
            </w:pPr>
            <w:r/>
            <w:r>
              <w:rPr>
                <w:rFonts w:ascii="Calibri" w:hAnsi="Calibri"/>
                <w:b/>
                <w:color w:val="FFFFFF"/>
                <w:sz w:val="18"/>
              </w:rPr>
              <w:t>Severity</w:t>
            </w:r>
          </w:p>
        </w:tc>
        <w:tc>
          <w:tcPr>
            <w:tcW w:type="dxa" w:w="5472"/>
            <w:shd w:fill="0F172A" w:val="clear"/>
          </w:tcPr>
          <w:p>
            <w:pPr>
              <w:jc w:val="left"/>
            </w:pPr>
            <w:r/>
            <w:r>
              <w:rPr>
                <w:rFonts w:ascii="Calibri" w:hAnsi="Calibri"/>
                <w:b/>
                <w:color w:val="FFFFFF"/>
                <w:sz w:val="18"/>
              </w:rPr>
              <w:t>Detail</w:t>
            </w:r>
          </w:p>
        </w:tc>
      </w:tr>
      <w:tr>
        <w:tc>
          <w:tcPr>
            <w:tcW w:type="dxa" w:w="3600"/>
          </w:tcPr>
          <w:p>
            <w:r/>
            <w:r>
              <w:rPr>
                <w:rFonts w:ascii="Calibri" w:hAnsi="Calibri"/>
                <w:sz w:val="18"/>
              </w:rPr>
              <w:t>Azure/Vertex adapters not wired</w:t>
            </w:r>
          </w:p>
        </w:tc>
        <w:tc>
          <w:tcPr>
            <w:tcW w:type="dxa" w:w="1008"/>
          </w:tcPr>
          <w:p>
            <w:r/>
            <w:r>
              <w:rPr>
                <w:rFonts w:ascii="Calibri" w:hAnsi="Calibri"/>
                <w:sz w:val="18"/>
              </w:rPr>
              <w:t>High</w:t>
            </w:r>
          </w:p>
        </w:tc>
        <w:tc>
          <w:tcPr>
            <w:tcW w:type="dxa" w:w="5472"/>
          </w:tcPr>
          <w:p>
            <w:r/>
            <w:r>
              <w:rPr>
                <w:rFonts w:ascii="Calibri" w:hAnsi="Calibri"/>
                <w:sz w:val="18"/>
              </w:rPr>
              <w:t>Azure adapter is a real 127-line implementation but has zero references in the active codebase. Vertex auth layer deliberately throws. The DeploymentAdapter interface exists but no factory routes to it.</w:t>
            </w:r>
          </w:p>
        </w:tc>
      </w:tr>
      <w:tr>
        <w:tc>
          <w:tcPr>
            <w:tcW w:type="dxa" w:w="3600"/>
          </w:tcPr>
          <w:p>
            <w:r/>
            <w:r>
              <w:rPr>
                <w:rFonts w:ascii="Calibri" w:hAnsi="Calibri"/>
                <w:sz w:val="18"/>
              </w:rPr>
              <w:t>Event bus is in-process</w:t>
            </w:r>
          </w:p>
        </w:tc>
        <w:tc>
          <w:tcPr>
            <w:tcW w:type="dxa" w:w="1008"/>
          </w:tcPr>
          <w:p>
            <w:r/>
            <w:r>
              <w:rPr>
                <w:rFonts w:ascii="Calibri" w:hAnsi="Calibri"/>
                <w:sz w:val="18"/>
              </w:rPr>
              <w:t>Medium</w:t>
            </w:r>
          </w:p>
        </w:tc>
        <w:tc>
          <w:tcPr>
            <w:tcW w:type="dxa" w:w="5472"/>
          </w:tcPr>
          <w:p>
            <w:r/>
            <w:r>
              <w:rPr>
                <w:rFonts w:ascii="Calibri" w:hAnsi="Calibri"/>
                <w:sz w:val="18"/>
              </w:rPr>
              <w:t>Fire-and-forget pub/sub works for single-instance but does not survive process restarts. No SQS/SNS/Kafka for durable event processing.</w:t>
            </w:r>
          </w:p>
        </w:tc>
      </w:tr>
      <w:tr>
        <w:tc>
          <w:tcPr>
            <w:tcW w:type="dxa" w:w="3600"/>
          </w:tcPr>
          <w:p>
            <w:r/>
            <w:r>
              <w:rPr>
                <w:rFonts w:ascii="Calibri" w:hAnsi="Calibri"/>
                <w:sz w:val="18"/>
              </w:rPr>
              <w:t>No structured logging/tracing</w:t>
            </w:r>
          </w:p>
        </w:tc>
        <w:tc>
          <w:tcPr>
            <w:tcW w:type="dxa" w:w="1008"/>
          </w:tcPr>
          <w:p>
            <w:r/>
            <w:r>
              <w:rPr>
                <w:rFonts w:ascii="Calibri" w:hAnsi="Calibri"/>
                <w:sz w:val="18"/>
              </w:rPr>
              <w:t>Medium</w:t>
            </w:r>
          </w:p>
        </w:tc>
        <w:tc>
          <w:tcPr>
            <w:tcW w:type="dxa" w:w="5472"/>
          </w:tcPr>
          <w:p>
            <w:r/>
            <w:r>
              <w:rPr>
                <w:rFonts w:ascii="Calibri" w:hAnsi="Calibri"/>
                <w:sz w:val="18"/>
              </w:rPr>
              <w:t>Request IDs exist but no structured JSON logging, no OpenTelemetry distributed tracing, no log aggregation pipeline.</w:t>
            </w:r>
          </w:p>
        </w:tc>
      </w:tr>
      <w:tr>
        <w:tc>
          <w:tcPr>
            <w:tcW w:type="dxa" w:w="3600"/>
          </w:tcPr>
          <w:p>
            <w:r/>
            <w:r>
              <w:rPr>
                <w:rFonts w:ascii="Calibri" w:hAnsi="Calibri"/>
                <w:sz w:val="18"/>
              </w:rPr>
              <w:t>No pagination on large registries</w:t>
            </w:r>
          </w:p>
        </w:tc>
        <w:tc>
          <w:tcPr>
            <w:tcW w:type="dxa" w:w="1008"/>
          </w:tcPr>
          <w:p>
            <w:r/>
            <w:r>
              <w:rPr>
                <w:rFonts w:ascii="Calibri" w:hAnsi="Calibri"/>
                <w:sz w:val="18"/>
              </w:rPr>
              <w:t>Medium</w:t>
            </w:r>
          </w:p>
        </w:tc>
        <w:tc>
          <w:tcPr>
            <w:tcW w:type="dxa" w:w="5472"/>
          </w:tcPr>
          <w:p>
            <w:r/>
            <w:r>
              <w:rPr>
                <w:rFonts w:ascii="Calibri" w:hAnsi="Calibri"/>
                <w:sz w:val="18"/>
              </w:rPr>
              <w:t>Listed as known limitation. Will cause performance degradation at enterprise scale (1000+ blueprints).</w:t>
            </w:r>
          </w:p>
        </w:tc>
      </w:tr>
      <w:tr>
        <w:tc>
          <w:tcPr>
            <w:tcW w:type="dxa" w:w="3600"/>
          </w:tcPr>
          <w:p>
            <w:r/>
            <w:r>
              <w:rPr>
                <w:rFonts w:ascii="Calibri" w:hAnsi="Calibri"/>
                <w:sz w:val="18"/>
              </w:rPr>
              <w:t>ABP schema migration strategy undefined</w:t>
            </w:r>
          </w:p>
        </w:tc>
        <w:tc>
          <w:tcPr>
            <w:tcW w:type="dxa" w:w="1008"/>
          </w:tcPr>
          <w:p>
            <w:r/>
            <w:r>
              <w:rPr>
                <w:rFonts w:ascii="Calibri" w:hAnsi="Calibri"/>
                <w:sz w:val="18"/>
              </w:rPr>
              <w:t>Medium</w:t>
            </w:r>
          </w:p>
        </w:tc>
        <w:tc>
          <w:tcPr>
            <w:tcW w:type="dxa" w:w="5472"/>
          </w:tcPr>
          <w:p>
            <w:r/>
            <w:r>
              <w:rPr>
                <w:rFonts w:ascii="Calibri" w:hAnsi="Calibri"/>
                <w:sz w:val="18"/>
              </w:rPr>
              <w:t>Open question OQ-007. Schema has evolved (v1.0.0 → v1.2.0) but no automated migration for blueprints stored at older versions.</w:t>
            </w:r>
          </w:p>
        </w:tc>
      </w:tr>
    </w:tbl>
    <w:p/>
    <w:p>
      <w:r>
        <w:br w:type="page"/>
      </w:r>
    </w:p>
    <w:p>
      <w:pPr>
        <w:pStyle w:val="Heading1"/>
      </w:pPr>
      <w:r>
        <w:rPr>
          <w:color w:val="0F172A"/>
        </w:rPr>
        <w:t>4. Market &amp; Product Strategy Fit</w:t>
      </w:r>
    </w:p>
    <w:p>
      <w:pPr>
        <w:pStyle w:val="Heading2"/>
      </w:pPr>
      <w:r>
        <w:rPr>
          <w:color w:val="0F172A"/>
        </w:rPr>
        <w:t>Category Positioning</w:t>
      </w:r>
    </w:p>
    <w:p>
      <w:pPr>
        <w:spacing w:after="160" w:line="320" w:lineRule="exact"/>
      </w:pPr>
      <w:r>
        <w:t>Intellios sits at the intersection of three emerging categories: AI Agent Builder Platforms, AI Governance &amp; Compliance Tools, and Model Risk Management Systems. Its strongest positioning is as a "Compliance-First AI Agent Factory" for regulated industries. This is where the moat is deepest: the deterministic governance engine, the evidence chain satisfying three regulatory frameworks, and the continuous compliance monitoring system are capabilities no competitor offers as an integrated package.</w:t>
      </w:r>
    </w:p>
    <w:p>
      <w:pPr>
        <w:pStyle w:val="Heading2"/>
      </w:pPr>
      <w:r>
        <w:rPr>
          <w:color w:val="0F172A"/>
        </w:rPr>
        <w:t>Differentiation Analysis</w:t>
      </w:r>
    </w:p>
    <w:tbl>
      <w:tblPr>
        <w:tblW w:type="auto" w:w="0"/>
        <w:jc w:val="center"/>
        <w:tblLook w:firstColumn="1" w:firstRow="1" w:lastColumn="0" w:lastRow="0" w:noHBand="0" w:noVBand="1" w:val="04A0"/>
      </w:tblPr>
      <w:tblGrid>
        <w:gridCol w:w="3120"/>
        <w:gridCol w:w="3120"/>
        <w:gridCol w:w="3120"/>
      </w:tblGrid>
      <w:tr>
        <w:tc>
          <w:tcPr>
            <w:tcW w:type="dxa" w:w="2880"/>
            <w:shd w:fill="0F172A" w:val="clear"/>
          </w:tcPr>
          <w:p>
            <w:pPr>
              <w:jc w:val="left"/>
            </w:pPr>
            <w:r/>
            <w:r>
              <w:rPr>
                <w:rFonts w:ascii="Calibri" w:hAnsi="Calibri"/>
                <w:b/>
                <w:color w:val="FFFFFF"/>
                <w:sz w:val="18"/>
              </w:rPr>
              <w:t>Differentiator</w:t>
            </w:r>
          </w:p>
        </w:tc>
        <w:tc>
          <w:tcPr>
            <w:tcW w:type="dxa" w:w="3312"/>
            <w:shd w:fill="0F172A" w:val="clear"/>
          </w:tcPr>
          <w:p>
            <w:pPr>
              <w:jc w:val="left"/>
            </w:pPr>
            <w:r/>
            <w:r>
              <w:rPr>
                <w:rFonts w:ascii="Calibri" w:hAnsi="Calibri"/>
                <w:b/>
                <w:color w:val="FFFFFF"/>
                <w:sz w:val="18"/>
              </w:rPr>
              <w:t>Why It Matters</w:t>
            </w:r>
          </w:p>
        </w:tc>
        <w:tc>
          <w:tcPr>
            <w:tcW w:type="dxa" w:w="3888"/>
            <w:shd w:fill="0F172A" w:val="clear"/>
          </w:tcPr>
          <w:p>
            <w:pPr>
              <w:jc w:val="left"/>
            </w:pPr>
            <w:r/>
            <w:r>
              <w:rPr>
                <w:rFonts w:ascii="Calibri" w:hAnsi="Calibri"/>
                <w:b/>
                <w:color w:val="FFFFFF"/>
                <w:sz w:val="18"/>
              </w:rPr>
              <w:t>Competitive Position</w:t>
            </w:r>
          </w:p>
        </w:tc>
      </w:tr>
      <w:tr>
        <w:tc>
          <w:tcPr>
            <w:tcW w:type="dxa" w:w="2880"/>
          </w:tcPr>
          <w:p>
            <w:r/>
            <w:r>
              <w:rPr>
                <w:rFonts w:ascii="Calibri" w:hAnsi="Calibri"/>
                <w:sz w:val="18"/>
              </w:rPr>
              <w:t>Compliance-embedded generation</w:t>
            </w:r>
          </w:p>
        </w:tc>
        <w:tc>
          <w:tcPr>
            <w:tcW w:type="dxa" w:w="3312"/>
          </w:tcPr>
          <w:p>
            <w:r/>
            <w:r>
              <w:rPr>
                <w:rFonts w:ascii="Calibri" w:hAnsi="Calibri"/>
                <w:sz w:val="18"/>
              </w:rPr>
              <w:t>Policies injected into generation prompt, not bolted on after. Blueprints arrive pre-compliant.</w:t>
            </w:r>
          </w:p>
        </w:tc>
        <w:tc>
          <w:tcPr>
            <w:tcW w:type="dxa" w:w="3888"/>
          </w:tcPr>
          <w:p>
            <w:r/>
            <w:r>
              <w:rPr>
                <w:rFonts w:ascii="Calibri" w:hAnsi="Calibri"/>
                <w:sz w:val="18"/>
              </w:rPr>
              <w:t>Unique. No competitor prevents violations at generation time.</w:t>
            </w:r>
          </w:p>
        </w:tc>
      </w:tr>
      <w:tr>
        <w:tc>
          <w:tcPr>
            <w:tcW w:type="dxa" w:w="2880"/>
          </w:tcPr>
          <w:p>
            <w:r/>
            <w:r>
              <w:rPr>
                <w:rFonts w:ascii="Calibri" w:hAnsi="Calibri"/>
                <w:sz w:val="18"/>
              </w:rPr>
              <w:t>13-section MRM report + evidence bundle</w:t>
            </w:r>
          </w:p>
        </w:tc>
        <w:tc>
          <w:tcPr>
            <w:tcW w:type="dxa" w:w="3312"/>
          </w:tcPr>
          <w:p>
            <w:r/>
            <w:r>
              <w:rPr>
                <w:rFonts w:ascii="Calibri" w:hAnsi="Calibri"/>
                <w:sz w:val="18"/>
              </w:rPr>
              <w:t>Machine-readable, audit-ready evidence for SR 11-7, EU AI Act, NIST AI RMF.</w:t>
            </w:r>
          </w:p>
        </w:tc>
        <w:tc>
          <w:tcPr>
            <w:tcW w:type="dxa" w:w="3888"/>
          </w:tcPr>
          <w:p>
            <w:r/>
            <w:r>
              <w:rPr>
                <w:rFonts w:ascii="Calibri" w:hAnsi="Calibri"/>
                <w:sz w:val="18"/>
              </w:rPr>
              <w:t>Unmatched. Produces regulatory evidence automatically.</w:t>
            </w:r>
          </w:p>
        </w:tc>
      </w:tr>
      <w:tr>
        <w:tc>
          <w:tcPr>
            <w:tcW w:type="dxa" w:w="2880"/>
          </w:tcPr>
          <w:p>
            <w:r/>
            <w:r>
              <w:rPr>
                <w:rFonts w:ascii="Calibri" w:hAnsi="Calibri"/>
                <w:sz w:val="18"/>
              </w:rPr>
              <w:t>Runtime governance with circuit breaker</w:t>
            </w:r>
          </w:p>
        </w:tc>
        <w:tc>
          <w:tcPr>
            <w:tcW w:type="dxa" w:w="3312"/>
          </w:tcPr>
          <w:p>
            <w:r/>
            <w:r>
              <w:rPr>
                <w:rFonts w:ascii="Calibri" w:hAnsi="Calibri"/>
                <w:sz w:val="18"/>
              </w:rPr>
              <w:t>Deployed agents are continuously evaluated. Auto-suspension on policy violations.</w:t>
            </w:r>
          </w:p>
        </w:tc>
        <w:tc>
          <w:tcPr>
            <w:tcW w:type="dxa" w:w="3888"/>
          </w:tcPr>
          <w:p>
            <w:r/>
            <w:r>
              <w:rPr>
                <w:rFonts w:ascii="Calibri" w:hAnsi="Calibri"/>
                <w:sz w:val="18"/>
              </w:rPr>
              <w:t>Rare. Most platforms stop at deployment.</w:t>
            </w:r>
          </w:p>
        </w:tc>
      </w:tr>
      <w:tr>
        <w:tc>
          <w:tcPr>
            <w:tcW w:type="dxa" w:w="2880"/>
          </w:tcPr>
          <w:p>
            <w:r/>
            <w:r>
              <w:rPr>
                <w:rFonts w:ascii="Calibri" w:hAnsi="Calibri"/>
                <w:sz w:val="18"/>
              </w:rPr>
              <w:t>RACI-adapted stakeholder workspace</w:t>
            </w:r>
          </w:p>
        </w:tc>
        <w:tc>
          <w:tcPr>
            <w:tcW w:type="dxa" w:w="3312"/>
          </w:tcPr>
          <w:p>
            <w:r/>
            <w:r>
              <w:rPr>
                <w:rFonts w:ascii="Calibri" w:hAnsi="Calibri"/>
                <w:sz w:val="18"/>
              </w:rPr>
              <w:t>Token-gated AI interviews adapted to authority role. No platform account needed.</w:t>
            </w:r>
          </w:p>
        </w:tc>
        <w:tc>
          <w:tcPr>
            <w:tcW w:type="dxa" w:w="3888"/>
          </w:tcPr>
          <w:p>
            <w:r/>
            <w:r>
              <w:rPr>
                <w:rFonts w:ascii="Calibri" w:hAnsi="Calibri"/>
                <w:sz w:val="18"/>
              </w:rPr>
              <w:t>Novel. Most platforms limit input to a single designer.</w:t>
            </w:r>
          </w:p>
        </w:tc>
      </w:tr>
      <w:tr>
        <w:tc>
          <w:tcPr>
            <w:tcW w:type="dxa" w:w="2880"/>
          </w:tcPr>
          <w:p>
            <w:r/>
            <w:r>
              <w:rPr>
                <w:rFonts w:ascii="Calibri" w:hAnsi="Calibri"/>
                <w:sz w:val="18"/>
              </w:rPr>
              <w:t>Deterministic enforcement (no AI in gate)</w:t>
            </w:r>
          </w:p>
        </w:tc>
        <w:tc>
          <w:tcPr>
            <w:tcW w:type="dxa" w:w="3312"/>
          </w:tcPr>
          <w:p>
            <w:r/>
            <w:r>
              <w:rPr>
                <w:rFonts w:ascii="Calibri" w:hAnsi="Calibri"/>
                <w:sz w:val="18"/>
              </w:rPr>
              <w:t>Policy evaluation is pure logic. Auditors trust deterministic gates.</w:t>
            </w:r>
          </w:p>
        </w:tc>
        <w:tc>
          <w:tcPr>
            <w:tcW w:type="dxa" w:w="3888"/>
          </w:tcPr>
          <w:p>
            <w:r/>
            <w:r>
              <w:rPr>
                <w:rFonts w:ascii="Calibri" w:hAnsi="Calibri"/>
                <w:sz w:val="18"/>
              </w:rPr>
              <w:t>Critical for regulated industries. AI-in-the-loop governance is a liability.</w:t>
            </w:r>
          </w:p>
        </w:tc>
      </w:tr>
      <w:tr>
        <w:tc>
          <w:tcPr>
            <w:tcW w:type="dxa" w:w="2880"/>
          </w:tcPr>
          <w:p>
            <w:r/>
            <w:r>
              <w:rPr>
                <w:rFonts w:ascii="Calibri" w:hAnsi="Calibri"/>
                <w:sz w:val="18"/>
              </w:rPr>
              <w:t>Multi-agent workflow system</w:t>
            </w:r>
          </w:p>
        </w:tc>
        <w:tc>
          <w:tcPr>
            <w:tcW w:type="dxa" w:w="3312"/>
          </w:tcPr>
          <w:p>
            <w:r/>
            <w:r>
              <w:rPr>
                <w:rFonts w:ascii="Calibri" w:hAnsi="Calibri"/>
                <w:sz w:val="18"/>
              </w:rPr>
              <w:t>Compositions with handoff rules, cycle detection, graph validation, governance lifecycle.</w:t>
            </w:r>
          </w:p>
        </w:tc>
        <w:tc>
          <w:tcPr>
            <w:tcW w:type="dxa" w:w="3888"/>
          </w:tcPr>
          <w:p>
            <w:r/>
            <w:r>
              <w:rPr>
                <w:rFonts w:ascii="Calibri" w:hAnsi="Calibri"/>
                <w:sz w:val="18"/>
              </w:rPr>
              <w:t>Differentiated. Backend-complete; visual builder would extend the lead.</w:t>
            </w:r>
          </w:p>
        </w:tc>
      </w:tr>
    </w:tbl>
    <w:p/>
    <w:p>
      <w:pPr>
        <w:pStyle w:val="Heading2"/>
      </w:pPr>
      <w:r>
        <w:rPr>
          <w:color w:val="0F172A"/>
        </w:rPr>
        <w:t>Target Users: Current vs. Ideal</w:t>
      </w:r>
    </w:p>
    <w:p>
      <w:pPr>
        <w:spacing w:after="120"/>
      </w:pPr>
      <w:r>
        <w:rPr>
          <w:b/>
          <w:color w:val="333333"/>
        </w:rPr>
        <w:t xml:space="preserve">Current (implied by build): </w:t>
      </w:r>
      <w:r>
        <w:t>Technical compliance officers and AI-literate business analysts at large financial institutions. Users comfortable with dense information architectures and multi-step governance workflows. The depth of the governance system, MRM report, and audit trail suggests a primary buyer who is audit-conscious.</w:t>
      </w:r>
    </w:p>
    <w:p>
      <w:pPr>
        <w:spacing w:after="120"/>
      </w:pPr>
      <w:r>
        <w:rPr>
          <w:b/>
          <w:color w:val="333333"/>
        </w:rPr>
        <w:t xml:space="preserve">Ideal (market expansion): </w:t>
      </w:r>
      <w:r>
        <w:t>Layer 1: The same compliance-focused buyer (first market — already well-served). Layer 2: Non-technical business-line owners who need simple agents fast ("citizen designer"). Requires express-lane intake. Layer 3: CROs/CISOs who need fleet-level compliance dashboards (the viewer role already serves this). Layer 4: External auditors who need evidence packages (already supported via evidence bundle export).</w:t>
      </w:r>
    </w:p>
    <w:p>
      <w:pPr>
        <w:pStyle w:val="Heading2"/>
      </w:pPr>
      <w:r>
        <w:rPr>
          <w:color w:val="0F172A"/>
        </w:rPr>
        <w:t>Primary Risk</w:t>
      </w:r>
    </w:p>
    <w:p>
      <w:pPr>
        <w:spacing w:after="160" w:line="320" w:lineRule="exact"/>
      </w:pPr>
      <w:r>
        <w:t>The main risk is not that the technology is weak — it is that the product feels too complex for its natural buyers. Intellios has the depth of an enterprise GRC platform but needs the approachability of a product builder. If the intake process feels like filling out a regulatory form rather than a guided creative experience, adoption will lag even among technically sophisticated users. The express-lane intake recommendation directly addresses this risk.</w:t>
      </w:r>
    </w:p>
    <w:p>
      <w:r>
        <w:br w:type="page"/>
      </w:r>
    </w:p>
    <w:p>
      <w:pPr>
        <w:pStyle w:val="Heading1"/>
      </w:pPr>
      <w:r>
        <w:rPr>
          <w:color w:val="0F172A"/>
        </w:rPr>
        <w:t>5. Future-State Vision</w:t>
      </w:r>
    </w:p>
    <w:p>
      <w:pPr>
        <w:spacing w:after="160" w:line="320" w:lineRule="exact"/>
      </w:pPr>
      <w:r>
        <w:t>The ideal Intellios is the enterprise system of record for every AI agent an organization operates. It should feel as natural as creating a document while operating with the rigor of a regulatory compliance system under the hood. The following vision is grounded in what exists today and what is architecturally reachable.</w:t>
      </w:r>
    </w:p>
    <w:p>
      <w:pPr>
        <w:pStyle w:val="Heading2"/>
      </w:pPr>
      <w:r>
        <w:rPr>
          <w:color w:val="0F172A"/>
        </w:rPr>
        <w:t>Dual-Speed Design</w:t>
      </w:r>
    </w:p>
    <w:p>
      <w:pPr>
        <w:spacing w:after="160" w:line="320" w:lineRule="exact"/>
      </w:pPr>
      <w:r>
        <w:t>A "fast lane" for simple agents (describe in natural language, get a compliant blueprint in 60 seconds) alongside the existing "full lane" for complex multi-stakeholder governance-heavy agents. The system infers which lane based on complexity signals. This is not a redesign — the quick-start modal and template system are the foundation. The fast lane just connects them into a seamless flow.</w:t>
      </w:r>
    </w:p>
    <w:p>
      <w:pPr>
        <w:pStyle w:val="Heading2"/>
      </w:pPr>
      <w:r>
        <w:rPr>
          <w:color w:val="0F172A"/>
        </w:rPr>
        <w:t>Closed-Loop Runtime Intelligence</w:t>
      </w:r>
    </w:p>
    <w:p>
      <w:pPr>
        <w:spacing w:after="160" w:line="320" w:lineRule="exact"/>
      </w:pPr>
      <w:r>
        <w:t>The telemetry system is already built. The next evolution is making it visible: a real-time agent health dashboard that shows interaction volume, error trends, latency percentiles, and policy adherence over time. The data is flowing; the visualization layer is the gap. Production quality scores should feed back into the Intelligence page alongside design-time scores for a single quality view.</w:t>
      </w:r>
    </w:p>
    <w:p>
      <w:pPr>
        <w:pStyle w:val="Heading2"/>
      </w:pPr>
      <w:r>
        <w:rPr>
          <w:color w:val="0F172A"/>
        </w:rPr>
        <w:t>Multi-Cloud Deployment</w:t>
      </w:r>
    </w:p>
    <w:p>
      <w:pPr>
        <w:spacing w:after="160" w:line="320" w:lineRule="exact"/>
      </w:pPr>
      <w:r>
        <w:t>The Azure adapter is 80% done. Vertex needs auth completion. Wiring these into a deployment target selector on the Deploy Console would unlock multi-cloud support with minimal new code. The ABP-as-portable-artifact concept is validated; the execution is incremental.</w:t>
      </w:r>
    </w:p>
    <w:p>
      <w:pPr>
        <w:pStyle w:val="Heading2"/>
      </w:pPr>
      <w:r>
        <w:rPr>
          <w:color w:val="0F172A"/>
        </w:rPr>
        <w:t>Visual Workflow Orchestration</w:t>
      </w:r>
    </w:p>
    <w:p>
      <w:pPr>
        <w:spacing w:after="160" w:line="320" w:lineRule="exact"/>
      </w:pPr>
      <w:r>
        <w:t>The workflow backend (agents, handoff rules, graph validation, cycle detection, version diffing, lifecycle management) is production-complete. A visual canvas builder that maps to the existing WorkflowDefinition schema would make multi-agent design accessible to non-technical users and create a strong visual differentiator. This is an additive UI investment, not a backend rebuild.</w:t>
      </w:r>
    </w:p>
    <w:p>
      <w:pPr>
        <w:pStyle w:val="Heading2"/>
      </w:pPr>
      <w:r>
        <w:rPr>
          <w:color w:val="0F172A"/>
        </w:rPr>
        <w:t>Governance as Invisible Infrastructure</w:t>
      </w:r>
    </w:p>
    <w:p>
      <w:pPr>
        <w:spacing w:after="160" w:line="320" w:lineRule="exact"/>
      </w:pPr>
      <w:r>
        <w:t>Compliance should feel like autocomplete, not paperwork. The policy-aware generation loop already prevents most violations at creation time. The next step is progressive governance: simple agents get lightweight defaults; complex agents get the full governance suite. The system should infer governance depth from context signals, not require the user to configure it manually.</w:t>
      </w:r>
    </w:p>
    <w:p>
      <w:r>
        <w:br w:type="page"/>
      </w:r>
    </w:p>
    <w:p>
      <w:pPr>
        <w:pStyle w:val="Heading1"/>
      </w:pPr>
      <w:r>
        <w:rPr>
          <w:color w:val="0F172A"/>
        </w:rPr>
        <w:t>6. Prioritized Recommendations</w:t>
      </w:r>
    </w:p>
    <w:p>
      <w:pPr>
        <w:spacing w:after="160" w:line="320" w:lineRule="exact"/>
      </w:pPr>
      <w:r>
        <w:t>The following five recommendations are ordered by impact-to-effort ratio. They represent the shortest path from current state to category leadership.</w:t>
      </w:r>
    </w:p>
    <w:p>
      <w:pPr>
        <w:pStyle w:val="Heading2"/>
      </w:pPr>
      <w:r>
        <w:rPr>
          <w:color w:val="0F172A"/>
        </w:rPr>
        <w:t>1. Harden Tenant Isolation with Middleware-Level Enforcement</w:t>
      </w:r>
    </w:p>
    <w:p>
      <w:pPr>
        <w:spacing w:after="120"/>
      </w:pPr>
      <w:r>
        <w:rPr>
          <w:b/>
          <w:color w:val="333333"/>
        </w:rPr>
        <w:t xml:space="preserve">What: </w:t>
      </w:r>
      <w:r>
        <w:t>Add a middleware layer that validates enterprise_id on every API request before reaching route logic. Implement as a RequireEnterpriseAccess decorator or middleware that extracts the resource’s enterprise_id and compares it to the session’s enterprise_id, returning 403 on mismatch. This supplements (not replaces) the existing query-level checks.</w:t>
      </w:r>
    </w:p>
    <w:p>
      <w:pPr>
        <w:spacing w:after="120"/>
      </w:pPr>
      <w:r>
        <w:rPr>
          <w:b/>
          <w:color w:val="333333"/>
        </w:rPr>
        <w:t xml:space="preserve">Why: </w:t>
      </w:r>
      <w:r>
        <w:t>This is a security prerequisite for production multi-tenant SaaS. The current query-level enforcement is comprehensive but relies on developer discipline across 100+ routes. A single missed check creates a cross-tenant data leak. Enterprise security reviews will flag this pattern.</w:t>
      </w:r>
    </w:p>
    <w:p>
      <w:pPr>
        <w:spacing w:after="120"/>
      </w:pPr>
      <w:r>
        <w:rPr>
          <w:b/>
          <w:color w:val="333333"/>
        </w:rPr>
        <w:t xml:space="preserve">Estimated effort: </w:t>
      </w:r>
      <w:r>
        <w:t>2-3 days. Low complexity, high impact.</w:t>
      </w:r>
    </w:p>
    <w:p>
      <w:pPr>
        <w:spacing w:after="120"/>
      </w:pPr>
      <w:r>
        <w:rPr>
          <w:b/>
          <w:color w:val="333333"/>
        </w:rPr>
        <w:t xml:space="preserve">Risk mitigated: </w:t>
      </w:r>
      <w:r>
        <w:t>Cross-tenant data exposure. Procurement blocker for security-conscious enterprises.</w:t>
      </w:r>
    </w:p>
    <w:p>
      <w:pPr>
        <w:pStyle w:val="Heading2"/>
      </w:pPr>
      <w:r>
        <w:rPr>
          <w:color w:val="0F172A"/>
        </w:rPr>
        <w:t>2. Complete SAML SSO and Multi-IdP Support</w:t>
      </w:r>
    </w:p>
    <w:p>
      <w:pPr>
        <w:spacing w:after="120"/>
      </w:pPr>
      <w:r>
        <w:rPr>
          <w:b/>
          <w:color w:val="333333"/>
        </w:rPr>
        <w:t xml:space="preserve">What: </w:t>
      </w:r>
      <w:r>
        <w:t>Register a SAML2 provider in src/auth.ts (NextAuth supports this). Wire the per-enterprise SSO configuration that is already stored in enterprise_settings to actually select the correct IdP at login time (the sso-check endpoint already does domain lookup). Add domain exclusivity constraint to prevent two enterprises claiming the same email domain.</w:t>
      </w:r>
    </w:p>
    <w:p>
      <w:pPr>
        <w:spacing w:after="120"/>
      </w:pPr>
      <w:r>
        <w:rPr>
          <w:b/>
          <w:color w:val="333333"/>
        </w:rPr>
        <w:t xml:space="preserve">Why: </w:t>
      </w:r>
      <w:r>
        <w:t>SAML is a hard procurement requirement for most Fortune 500 enterprises, especially in financial services and healthcare. The UI already exists. The settings storage already exists. The gap is server-side provider registration.</w:t>
      </w:r>
    </w:p>
    <w:p>
      <w:pPr>
        <w:spacing w:after="120"/>
      </w:pPr>
      <w:r>
        <w:rPr>
          <w:b/>
          <w:color w:val="333333"/>
        </w:rPr>
        <w:t xml:space="preserve">Estimated effort: </w:t>
      </w:r>
      <w:r>
        <w:t>3-5 days. SAML provider + per-enterprise IdP routing + domain exclusivity.</w:t>
      </w:r>
    </w:p>
    <w:p>
      <w:pPr>
        <w:spacing w:after="120"/>
      </w:pPr>
      <w:r>
        <w:rPr>
          <w:b/>
          <w:color w:val="333333"/>
        </w:rPr>
        <w:t xml:space="preserve">Risk mitigated: </w:t>
      </w:r>
      <w:r>
        <w:t>Procurement blocker. The #1 reason enterprise deals stall is incomplete SSO.</w:t>
      </w:r>
    </w:p>
    <w:p>
      <w:pPr>
        <w:pStyle w:val="Heading2"/>
      </w:pPr>
      <w:r>
        <w:rPr>
          <w:color w:val="0F172A"/>
        </w:rPr>
        <w:t>3. Wire Azure and Vertex Deployment Adapters</w:t>
      </w:r>
    </w:p>
    <w:p>
      <w:pPr>
        <w:spacing w:after="120"/>
      </w:pPr>
      <w:r>
        <w:rPr>
          <w:b/>
          <w:color w:val="333333"/>
        </w:rPr>
        <w:t xml:space="preserve">What: </w:t>
      </w:r>
      <w:r>
        <w:t>Build a DeploymentAdapterFactory that selects the correct adapter based on the enterprise’s configured deployment target. Wire the existing Azure adapter (127 lines, real implementation) into this factory. Complete the Vertex adapter auth layer (add google-auth-library, implement JWT token exchange). Add deployment target selection to the Deploy Console UI.</w:t>
      </w:r>
    </w:p>
    <w:p>
      <w:pPr>
        <w:spacing w:after="120"/>
      </w:pPr>
      <w:r>
        <w:rPr>
          <w:b/>
          <w:color w:val="333333"/>
        </w:rPr>
        <w:t xml:space="preserve">Why: </w:t>
      </w:r>
      <w:r>
        <w:t>The hardest part (the adapters themselves) is already done for Azure. AWS-only deployment limits the addressable market to ~33% of enterprise cloud spend. Multi-cloud is a procurement requirement for most Fortune 500 enterprises and eliminates the vendor lock-in objection in sales cycles.</w:t>
      </w:r>
    </w:p>
    <w:p>
      <w:pPr>
        <w:spacing w:after="120"/>
      </w:pPr>
      <w:r>
        <w:rPr>
          <w:b/>
          <w:color w:val="333333"/>
        </w:rPr>
        <w:t xml:space="preserve">Estimated effort: </w:t>
      </w:r>
      <w:r>
        <w:t>5-7 days. Factory pattern + Vertex auth + UI selector + testing.</w:t>
      </w:r>
    </w:p>
    <w:p>
      <w:pPr>
        <w:spacing w:after="120"/>
      </w:pPr>
      <w:r>
        <w:rPr>
          <w:b/>
          <w:color w:val="333333"/>
        </w:rPr>
        <w:t xml:space="preserve">Opportunity unlocked: </w:t>
      </w:r>
      <w:r>
        <w:t>Triples the addressable enterprise market.</w:t>
      </w:r>
    </w:p>
    <w:p>
      <w:pPr>
        <w:pStyle w:val="Heading2"/>
      </w:pPr>
      <w:r>
        <w:rPr>
          <w:color w:val="0F172A"/>
        </w:rPr>
        <w:t>4. Build Express-Lane Intake</w:t>
      </w:r>
    </w:p>
    <w:p>
      <w:pPr>
        <w:spacing w:after="120"/>
      </w:pPr>
      <w:r>
        <w:rPr>
          <w:b/>
          <w:color w:val="333333"/>
        </w:rPr>
        <w:t xml:space="preserve">What: </w:t>
      </w:r>
      <w:r>
        <w:t>Create a simplified flow where a designer describes an agent in 2-3 sentences, the system infers governance requirements from enterprise context (using the existing Governance Sufficiency Matrix and policy-aware generation), and produces a draft blueprint in under 60 seconds. The designer can then "upgrade" to the full three-phase intake or directly refine in the Blueprint Workbench.</w:t>
      </w:r>
    </w:p>
    <w:p>
      <w:pPr>
        <w:spacing w:after="120"/>
      </w:pPr>
      <w:r>
        <w:rPr>
          <w:b/>
          <w:color w:val="333333"/>
        </w:rPr>
        <w:t xml:space="preserve">Why: </w:t>
      </w:r>
      <w:r>
        <w:t>The three-phase intake is a strength for complex, compliance-heavy agents. But it is a barrier for simple use cases. An express lane creates a "land and expand" adoption pattern: users experience value in 60 seconds, then discover the full governance system as their needs grow. This also positions Intellios for the "citizen designer" market (Layer 2 in the target user analysis).</w:t>
      </w:r>
    </w:p>
    <w:p>
      <w:pPr>
        <w:spacing w:after="120"/>
      </w:pPr>
      <w:r>
        <w:rPr>
          <w:b/>
          <w:color w:val="333333"/>
        </w:rPr>
        <w:t xml:space="preserve">Estimated effort: </w:t>
      </w:r>
      <w:r>
        <w:t>1-2 weeks. New intake flow + auto-context inference + policy-aware express generation.</w:t>
      </w:r>
    </w:p>
    <w:p>
      <w:pPr>
        <w:spacing w:after="120"/>
      </w:pPr>
      <w:r>
        <w:rPr>
          <w:b/>
          <w:color w:val="333333"/>
        </w:rPr>
        <w:t xml:space="preserve">Opportunity unlocked: </w:t>
      </w:r>
      <w:r>
        <w:t>Expands the user base beyond compliance-focused analysts to business-line owners.</w:t>
      </w:r>
    </w:p>
    <w:p>
      <w:pPr>
        <w:pStyle w:val="Heading2"/>
      </w:pPr>
      <w:r>
        <w:rPr>
          <w:color w:val="0F172A"/>
        </w:rPr>
        <w:t>5. Consolidate UX into Role-Based Workspaces</w:t>
      </w:r>
    </w:p>
    <w:p>
      <w:pPr>
        <w:spacing w:after="120"/>
      </w:pPr>
      <w:r>
        <w:rPr>
          <w:b/>
          <w:color w:val="333333"/>
        </w:rPr>
        <w:t xml:space="preserve">What: </w:t>
      </w:r>
      <w:r>
        <w:t>Reorganize the 25+ page surface area into 3-4 cohesive workspaces: Design Studio (intake + blueprints + templates + workflows), Governance Center (policies + compliance + audit + regulatory), Command Center (fleet + monitoring + intelligence + deploy), and Admin Console (settings + users + integrations + webhooks). Each workspace is a unified experience, not a collection of pages. Role-differentiated home screens (already implemented) become workspace entry points.</w:t>
      </w:r>
    </w:p>
    <w:p>
      <w:pPr>
        <w:spacing w:after="120"/>
      </w:pPr>
      <w:r>
        <w:rPr>
          <w:b/>
          <w:color w:val="333333"/>
        </w:rPr>
        <w:t xml:space="preserve">Why: </w:t>
      </w:r>
      <w:r>
        <w:t>The current architecture reflects the system’s subsystem boundaries rather than user mental models. Enterprise users spend most of their time in 2-3 areas. Dashboard fragmentation (Executive, Compliance, Fleet, Intelligence, Monitor) forces users to hunt across pages for related information.</w:t>
      </w:r>
    </w:p>
    <w:p>
      <w:pPr>
        <w:spacing w:after="120"/>
      </w:pPr>
      <w:r>
        <w:rPr>
          <w:b/>
          <w:color w:val="333333"/>
        </w:rPr>
        <w:t xml:space="preserve">Estimated effort: </w:t>
      </w:r>
      <w:r>
        <w:t>Ongoing. This is an incremental restructuring, not a rebuild. Start with the command center consolidation.</w:t>
      </w:r>
    </w:p>
    <w:p>
      <w:pPr>
        <w:spacing w:after="120"/>
      </w:pPr>
      <w:r>
        <w:rPr>
          <w:b/>
          <w:color w:val="333333"/>
        </w:rPr>
        <w:t xml:space="preserve">Opportunity unlocked: </w:t>
      </w:r>
      <w:r>
        <w:t>Reduces onboarding friction. Makes the product feel simple despite deep capability.</w:t>
      </w:r>
    </w:p>
    <w:p>
      <w:r>
        <w:br w:type="page"/>
      </w:r>
    </w:p>
    <w:p>
      <w:pPr>
        <w:pStyle w:val="Heading1"/>
      </w:pPr>
      <w:r>
        <w:rPr>
          <w:color w:val="0F172A"/>
        </w:rPr>
        <w:t>7. Suggested 90-Day Roadmap</w:t>
      </w:r>
    </w:p>
    <w:tbl>
      <w:tblPr>
        <w:tblW w:type="auto" w:w="0"/>
        <w:jc w:val="center"/>
        <w:tblLook w:firstColumn="1" w:firstRow="1" w:lastColumn="0" w:lastRow="0" w:noHBand="0" w:noVBand="1" w:val="04A0"/>
      </w:tblPr>
      <w:tblGrid>
        <w:gridCol w:w="3120"/>
        <w:gridCol w:w="3120"/>
        <w:gridCol w:w="3120"/>
      </w:tblGrid>
      <w:tr>
        <w:tc>
          <w:tcPr>
            <w:tcW w:type="dxa" w:w="1440"/>
            <w:shd w:fill="0F172A" w:val="clear"/>
          </w:tcPr>
          <w:p>
            <w:pPr>
              <w:jc w:val="left"/>
            </w:pPr>
            <w:r/>
            <w:r>
              <w:rPr>
                <w:rFonts w:ascii="Calibri" w:hAnsi="Calibri"/>
                <w:b/>
                <w:color w:val="FFFFFF"/>
                <w:sz w:val="18"/>
              </w:rPr>
              <w:t>Timeframe</w:t>
            </w:r>
          </w:p>
        </w:tc>
        <w:tc>
          <w:tcPr>
            <w:tcW w:type="dxa" w:w="2160"/>
            <w:shd w:fill="0F172A" w:val="clear"/>
          </w:tcPr>
          <w:p>
            <w:pPr>
              <w:jc w:val="left"/>
            </w:pPr>
            <w:r/>
            <w:r>
              <w:rPr>
                <w:rFonts w:ascii="Calibri" w:hAnsi="Calibri"/>
                <w:b/>
                <w:color w:val="FFFFFF"/>
                <w:sz w:val="18"/>
              </w:rPr>
              <w:t>Focus</w:t>
            </w:r>
          </w:p>
        </w:tc>
        <w:tc>
          <w:tcPr>
            <w:tcW w:type="dxa" w:w="6480"/>
            <w:shd w:fill="0F172A" w:val="clear"/>
          </w:tcPr>
          <w:p>
            <w:pPr>
              <w:jc w:val="left"/>
            </w:pPr>
            <w:r/>
            <w:r>
              <w:rPr>
                <w:rFonts w:ascii="Calibri" w:hAnsi="Calibri"/>
                <w:b/>
                <w:color w:val="FFFFFF"/>
                <w:sz w:val="18"/>
              </w:rPr>
              <w:t>Deliverables</w:t>
            </w:r>
          </w:p>
        </w:tc>
      </w:tr>
      <w:tr>
        <w:tc>
          <w:tcPr>
            <w:tcW w:type="dxa" w:w="1440"/>
          </w:tcPr>
          <w:p>
            <w:r/>
            <w:r>
              <w:rPr>
                <w:rFonts w:ascii="Calibri" w:hAnsi="Calibri"/>
                <w:sz w:val="18"/>
              </w:rPr>
              <w:t>Weeks 1-2</w:t>
            </w:r>
          </w:p>
        </w:tc>
        <w:tc>
          <w:tcPr>
            <w:tcW w:type="dxa" w:w="2160"/>
          </w:tcPr>
          <w:p>
            <w:r/>
            <w:r>
              <w:rPr>
                <w:rFonts w:ascii="Calibri" w:hAnsi="Calibri"/>
                <w:sz w:val="18"/>
              </w:rPr>
              <w:t>Security hardening</w:t>
            </w:r>
          </w:p>
        </w:tc>
        <w:tc>
          <w:tcPr>
            <w:tcW w:type="dxa" w:w="6480"/>
          </w:tcPr>
          <w:p>
            <w:r/>
            <w:r>
              <w:rPr>
                <w:rFonts w:ascii="Calibri" w:hAnsi="Calibri"/>
                <w:sz w:val="18"/>
              </w:rPr>
              <w:t>Middleware-level tenant isolation. Domain exclusivity constraint. Audit all 100+ routes for enterprise_id enforcement.</w:t>
            </w:r>
          </w:p>
        </w:tc>
      </w:tr>
      <w:tr>
        <w:tc>
          <w:tcPr>
            <w:tcW w:type="dxa" w:w="1440"/>
          </w:tcPr>
          <w:p>
            <w:r/>
            <w:r>
              <w:rPr>
                <w:rFonts w:ascii="Calibri" w:hAnsi="Calibri"/>
                <w:sz w:val="18"/>
              </w:rPr>
              <w:t>Weeks 3-4</w:t>
            </w:r>
          </w:p>
        </w:tc>
        <w:tc>
          <w:tcPr>
            <w:tcW w:type="dxa" w:w="2160"/>
          </w:tcPr>
          <w:p>
            <w:r/>
            <w:r>
              <w:rPr>
                <w:rFonts w:ascii="Calibri" w:hAnsi="Calibri"/>
                <w:sz w:val="18"/>
              </w:rPr>
              <w:t>SSO completion</w:t>
            </w:r>
          </w:p>
        </w:tc>
        <w:tc>
          <w:tcPr>
            <w:tcW w:type="dxa" w:w="6480"/>
          </w:tcPr>
          <w:p>
            <w:r/>
            <w:r>
              <w:rPr>
                <w:rFonts w:ascii="Calibri" w:hAnsi="Calibri"/>
                <w:sz w:val="18"/>
              </w:rPr>
              <w:t>SAML provider in NextAuth. Per-enterprise IdP routing. Wiring stored enterprise SSO config to auth flow.</w:t>
            </w:r>
          </w:p>
        </w:tc>
      </w:tr>
      <w:tr>
        <w:tc>
          <w:tcPr>
            <w:tcW w:type="dxa" w:w="1440"/>
          </w:tcPr>
          <w:p>
            <w:r/>
            <w:r>
              <w:rPr>
                <w:rFonts w:ascii="Calibri" w:hAnsi="Calibri"/>
                <w:sz w:val="18"/>
              </w:rPr>
              <w:t>Weeks 5-7</w:t>
            </w:r>
          </w:p>
        </w:tc>
        <w:tc>
          <w:tcPr>
            <w:tcW w:type="dxa" w:w="2160"/>
          </w:tcPr>
          <w:p>
            <w:r/>
            <w:r>
              <w:rPr>
                <w:rFonts w:ascii="Calibri" w:hAnsi="Calibri"/>
                <w:sz w:val="18"/>
              </w:rPr>
              <w:t>Multi-cloud deployment</w:t>
            </w:r>
          </w:p>
        </w:tc>
        <w:tc>
          <w:tcPr>
            <w:tcW w:type="dxa" w:w="6480"/>
          </w:tcPr>
          <w:p>
            <w:r/>
            <w:r>
              <w:rPr>
                <w:rFonts w:ascii="Calibri" w:hAnsi="Calibri"/>
                <w:sz w:val="18"/>
              </w:rPr>
              <w:t>DeploymentAdapterFactory. Wire Azure adapter. Complete Vertex auth. Deploy Console target selector UI.</w:t>
            </w:r>
          </w:p>
        </w:tc>
      </w:tr>
      <w:tr>
        <w:tc>
          <w:tcPr>
            <w:tcW w:type="dxa" w:w="1440"/>
          </w:tcPr>
          <w:p>
            <w:r/>
            <w:r>
              <w:rPr>
                <w:rFonts w:ascii="Calibri" w:hAnsi="Calibri"/>
                <w:sz w:val="18"/>
              </w:rPr>
              <w:t>Weeks 8-10</w:t>
            </w:r>
          </w:p>
        </w:tc>
        <w:tc>
          <w:tcPr>
            <w:tcW w:type="dxa" w:w="2160"/>
          </w:tcPr>
          <w:p>
            <w:r/>
            <w:r>
              <w:rPr>
                <w:rFonts w:ascii="Calibri" w:hAnsi="Calibri"/>
                <w:sz w:val="18"/>
              </w:rPr>
              <w:t>Express-lane intake</w:t>
            </w:r>
          </w:p>
        </w:tc>
        <w:tc>
          <w:tcPr>
            <w:tcW w:type="dxa" w:w="6480"/>
          </w:tcPr>
          <w:p>
            <w:r/>
            <w:r>
              <w:rPr>
                <w:rFonts w:ascii="Calibri" w:hAnsi="Calibri"/>
                <w:sz w:val="18"/>
              </w:rPr>
              <w:t>Simplified intake flow. Auto-context inference from enterprise settings. Express generation with policy pre-adaptation.</w:t>
            </w:r>
          </w:p>
        </w:tc>
      </w:tr>
      <w:tr>
        <w:tc>
          <w:tcPr>
            <w:tcW w:type="dxa" w:w="1440"/>
          </w:tcPr>
          <w:p>
            <w:r/>
            <w:r>
              <w:rPr>
                <w:rFonts w:ascii="Calibri" w:hAnsi="Calibri"/>
                <w:sz w:val="18"/>
              </w:rPr>
              <w:t>Weeks 11-12</w:t>
            </w:r>
          </w:p>
        </w:tc>
        <w:tc>
          <w:tcPr>
            <w:tcW w:type="dxa" w:w="2160"/>
          </w:tcPr>
          <w:p>
            <w:r/>
            <w:r>
              <w:rPr>
                <w:rFonts w:ascii="Calibri" w:hAnsi="Calibri"/>
                <w:sz w:val="18"/>
              </w:rPr>
              <w:t>UX consolidation (phase 1)</w:t>
            </w:r>
          </w:p>
        </w:tc>
        <w:tc>
          <w:tcPr>
            <w:tcW w:type="dxa" w:w="6480"/>
          </w:tcPr>
          <w:p>
            <w:r/>
            <w:r>
              <w:rPr>
                <w:rFonts w:ascii="Calibri" w:hAnsi="Calibri"/>
                <w:sz w:val="18"/>
              </w:rPr>
              <w:t>Merge monitoring/intelligence/fleet pages into Command Center. Consolidate compliance/governance/audit into Governance Center.</w:t>
            </w:r>
          </w:p>
        </w:tc>
      </w:tr>
    </w:tbl>
    <w:p/>
    <w:p>
      <w:pPr>
        <w:spacing w:after="160" w:line="320" w:lineRule="exact"/>
      </w:pPr>
      <w:r>
        <w:t>This timeline prioritizes security and procurement blockers first (weeks 1-4), then market expansion (weeks 5-10), then experience refinement (weeks 11-12). Each phase builds on the prior: tenant hardening enables confident multi-tenant SaaS launch; SSO enables enterprise procurement; multi-cloud enables market expansion; express intake enables user adoption; UX consolidation enables retention.</w:t>
      </w:r>
    </w:p>
    <w:p>
      <w:r>
        <w:br w:type="page"/>
      </w:r>
    </w:p>
    <w:p>
      <w:pPr>
        <w:pStyle w:val="Heading1"/>
      </w:pPr>
      <w:r>
        <w:rPr>
          <w:color w:val="0F172A"/>
        </w:rPr>
        <w:t>Conclusion</w:t>
      </w:r>
    </w:p>
    <w:p>
      <w:pPr>
        <w:spacing w:after="160" w:line="320" w:lineRule="exact"/>
      </w:pPr>
      <w:r>
        <w:t>After a validated deep-dive across every layer of the Intellios codebase, the assessment is clear: this is a significantly more mature system than it appears at first glance. The runtime telemetry pipeline, multi-agent workflow system, and enterprise integration adapters are all fully implemented — capabilities that were initially assessed as gaps are in fact production-ready systems. The governance engine, evidence chain, and compliance tooling are genuinely enterprise-grade and would take competitors 12-18 months to replicate.</w:t>
      </w:r>
    </w:p>
    <w:p>
      <w:pPr>
        <w:spacing w:after="160" w:line="320" w:lineRule="exact"/>
      </w:pPr>
      <w:r>
        <w:t>The path to category leadership requires five focused investments: (1) middleware tenant isolation for security hardening, (2) SAML SSO for enterprise procurement, (3) wiring the existing Azure/Vertex adapters for multi-cloud, (4) express-lane intake for broader adoption, and (5) UX workspace consolidation for reduced complexity. Notably, the hardest engineering for items 3 and 4 is already done. The Azure adapter is written. The template system and governance inference engine provide the foundation for express intake.</w:t>
      </w:r>
    </w:p>
    <w:p>
      <w:pPr>
        <w:spacing w:after="160" w:line="320" w:lineRule="exact"/>
      </w:pPr>
      <w:r>
        <w:t>Intellios has built something rare: a platform where governance is not an afterthought but the architectural foundation, where compliance evidence is produced automatically, where runtime agents are continuously monitored against live policies, and where multi-stakeholder requirements capture is a first-class workflow. The gap between here and market leadership is 90 days of focused product work, not a fundamental technology rebuild.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