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4F46E5"/>
          <w:sz w:val="52"/>
          <w:szCs w:val="52"/>
        </w:rPr>
        <w:t xml:space="preserve">INTELLIOS</w:t>
      </w:r>
    </w:p>
    <w:p>
      <w:pPr>
        <w:spacing w:after="100"/>
        <w:jc w:val="center"/>
      </w:pPr>
      <w:r>
        <w:rPr>
          <w:rFonts w:ascii="Arial" w:cs="Arial" w:eastAsia="Arial" w:hAnsi="Arial"/>
          <w:color w:val="1E1B4B"/>
          <w:sz w:val="36"/>
          <w:szCs w:val="36"/>
        </w:rPr>
        <w:t xml:space="preserve">Marketing Pages UX/UI Scoring Audit</w:t>
      </w:r>
    </w:p>
    <w:p>
      <w:pPr>
        <w:pBdr>
          <w:bottom w:val="single" w:color="4F46E5" w:sz="8" w:space="1"/>
        </w:pBdr>
        <w:spacing w:after="600"/>
        <w:jc w:val="center"/>
      </w:pPr>
      <w:r>
        <w:rPr>
          <w:rFonts w:ascii="Arial" w:cs="Arial" w:eastAsia="Arial" w:hAnsi="Arial"/>
          <w:color w:val="6366F1"/>
          <w:sz w:val="24"/>
          <w:szCs w:val="24"/>
        </w:rPr>
        <w:t xml:space="preserve">Comprehensive Evaluation of Public-Facing Pages</w:t>
      </w:r>
    </w:p>
    <w:p>
      <w:pPr>
        <w:spacing w:after="200"/>
      </w:pPr>
    </w:p>
    <w:p>
      <w:pPr>
        <w:jc w:val="center"/>
      </w:pPr>
      <w:r>
        <w:rPr>
          <w:rFonts w:ascii="Arial" w:cs="Arial" w:eastAsia="Arial" w:hAnsi="Arial"/>
          <w:color w:val="6B7280"/>
          <w:sz w:val="22"/>
          <w:szCs w:val="22"/>
        </w:rPr>
        <w:t xml:space="preserve">Prepared: April 6, 2026</w:t>
      </w:r>
    </w:p>
    <w:p>
      <w:pPr>
        <w:jc w:val="center"/>
      </w:pPr>
      <w:r>
        <w:rPr>
          <w:rFonts w:ascii="Arial" w:cs="Arial" w:eastAsia="Arial" w:hAnsi="Arial"/>
          <w:color w:val="6B7280"/>
          <w:sz w:val="22"/>
          <w:szCs w:val="22"/>
        </w:rPr>
        <w:t xml:space="preserve">Site: intellios.vercel.app / intellios.app</w:t>
      </w:r>
    </w:p>
    <w:p>
      <w:pPr>
        <w:spacing w:after="400"/>
        <w:jc w:val="center"/>
      </w:pPr>
      <w:r>
        <w:rPr>
          <w:rFonts w:ascii="Arial" w:cs="Arial" w:eastAsia="Arial" w:hAnsi="Arial"/>
          <w:color w:val="9CA3AF"/>
          <w:sz w:val="20"/>
          <w:szCs w:val="20"/>
        </w:rPr>
        <w:t xml:space="preserve">Pages Audited: 6 (Landing, Login, Register, Forgot Password, Reset Password, Templates)</w:t>
      </w:r>
    </w:p>
    <w:p>
      <w:pPr>
        <w:spacing w:before="800"/>
        <w:jc w:val="center"/>
      </w:pPr>
      <w:r>
        <w:rPr>
          <w:rFonts w:ascii="Arial" w:cs="Arial" w:eastAsia="Arial" w:hAnsi="Arial"/>
          <w:b/>
          <w:bCs/>
          <w:color w:val="DC2626"/>
          <w:sz w:val="20"/>
          <w:szCs w:val="20"/>
        </w:rPr>
        <w:t xml:space="preserve">CONFIDENTIAL</w:t>
      </w:r>
    </w:p>
    <w:p>
      <w:pPr>
        <w:sectPr>
          <w:pgSz w:w="12240" w:h="15840" w:orient="portrait"/>
          <w:pgMar w:top="1440" w:right="1440" w:bottom="1440" w:left="1440" w:header="708" w:footer="708" w:gutter="0"/>
          <w:pgNumType/>
          <w:docGrid w:linePitch="360"/>
        </w:sectPr>
      </w:pPr>
    </w:p>
    <w:p>
      <w:pPr>
        <w:pStyle w:val="Heading1"/>
      </w:pPr>
      <w:r>
        <w:rPr>
          <w:b/>
          <w:bCs/>
        </w:rPr>
        <w:t xml:space="preserve">1. Executive Summary</w:t>
      </w:r>
    </w:p>
    <w:p>
      <w:pPr>
        <w:pBdr>
          <w:bottom w:val="single" w:color="4F46E5" w:sz="6" w:space="1"/>
        </w:pBdr>
        <w:spacing w:after="200" w:before="200"/>
      </w:pPr>
    </w:p>
    <w:p>
      <w:pPr>
        <w:pStyle w:val="Heading2"/>
      </w:pPr>
      <w:r>
        <w:rPr>
          <w:b/>
          <w:bCs/>
        </w:rPr>
        <w:t xml:space="preserve">Overall Readiness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560"/>
        <w:gridCol w:w="1560"/>
        <w:gridCol w:w="3120"/>
      </w:tblGrid>
      <w:tr>
        <w:tc>
          <w:tcPr>
            <w:tcW w:type="dxa" w:w="3120"/>
            <w:tcBorders>
              <w:top w:val="single" w:color="CCCCCC" w:sz="1"/>
              <w:left w:val="single" w:color="CCCCCC" w:sz="1"/>
              <w:bottom w:val="single" w:color="CCCCCC" w:sz="1"/>
              <w:right w:val="single" w:color="CCCCCC" w:sz="1"/>
            </w:tcBorders>
            <w:shd w:fill="4F46E5" w:val="clear"/>
            <w:tcMar>
              <w:top w:type="dxa" w:w="60"/>
              <w:left w:type="dxa" w:w="100"/>
              <w:bottom w:type="dxa" w:w="60"/>
              <w:right w:type="dxa" w:w="100"/>
            </w:tcMar>
          </w:tcPr>
          <w:p>
            <w:pPr>
              <w:jc w:val="center"/>
            </w:pPr>
            <w:r>
              <w:rPr>
                <w:rFonts w:ascii="Arial" w:cs="Arial" w:eastAsia="Arial" w:hAnsi="Arial"/>
                <w:b/>
                <w:bCs/>
                <w:sz w:val="20"/>
                <w:szCs w:val="20"/>
              </w:rPr>
              <w:t xml:space="preserve">Category</w:t>
            </w:r>
          </w:p>
        </w:tc>
        <w:tc>
          <w:tcPr>
            <w:tcW w:type="dxa" w:w="1560"/>
            <w:tcBorders>
              <w:top w:val="single" w:color="4F46E5" w:sz="1"/>
              <w:left w:val="single" w:color="4F46E5" w:sz="1"/>
              <w:bottom w:val="single" w:color="4F46E5" w:sz="1"/>
              <w:right w:val="single" w:color="4F46E5" w:sz="1"/>
            </w:tcBorders>
            <w:shd w:fill="4F46E5"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Score</w:t>
            </w:r>
          </w:p>
        </w:tc>
        <w:tc>
          <w:tcPr>
            <w:tcW w:type="dxa" w:w="1560"/>
            <w:tcBorders>
              <w:top w:val="single" w:color="4F46E5" w:sz="1"/>
              <w:left w:val="single" w:color="4F46E5" w:sz="1"/>
              <w:bottom w:val="single" w:color="4F46E5" w:sz="1"/>
              <w:right w:val="single" w:color="4F46E5" w:sz="1"/>
            </w:tcBorders>
            <w:shd w:fill="4F46E5"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Weight</w:t>
            </w:r>
          </w:p>
        </w:tc>
        <w:tc>
          <w:tcPr>
            <w:tcW w:type="dxa" w:w="3120"/>
            <w:tcBorders>
              <w:top w:val="single" w:color="4F46E5" w:sz="1"/>
              <w:left w:val="single" w:color="4F46E5" w:sz="1"/>
              <w:bottom w:val="single" w:color="4F46E5" w:sz="1"/>
              <w:right w:val="single" w:color="4F46E5" w:sz="1"/>
            </w:tcBorders>
            <w:shd w:fill="4F46E5"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Weighted</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 First Impression &amp; Visual Impact</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6.8</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3x</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20.4 / 30</w:t>
            </w:r>
          </w:p>
        </w:tc>
      </w:tr>
      <w:tr>
        <w:tc>
          <w:tcPr>
            <w:tcW w:type="dxa" w:w="3120"/>
            <w:tcBorders>
              <w:top w:val="single" w:color="CCCCCC" w:sz="1"/>
              <w:left w:val="single" w:color="CCCCCC" w:sz="1"/>
              <w:bottom w:val="single" w:color="CCCCCC" w:sz="1"/>
              <w:right w:val="single" w:color="CCCCCC" w:sz="1"/>
            </w:tcBorders>
            <w:shd w:fill="F9FAFB"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B. Information Architecture &amp; Content</w:t>
            </w:r>
          </w:p>
        </w:tc>
        <w:tc>
          <w:tcPr>
            <w:tcW w:type="dxa" w:w="1560"/>
            <w:tcBorders>
              <w:top w:val="single" w:color="CCCCCC" w:sz="1"/>
              <w:left w:val="single" w:color="CCCCCC" w:sz="1"/>
              <w:bottom w:val="single" w:color="CCCCCC" w:sz="1"/>
              <w:right w:val="single" w:color="CCCCCC" w:sz="1"/>
            </w:tcBorders>
            <w:shd w:fill="F9FAFB"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7.4</w:t>
            </w:r>
          </w:p>
        </w:tc>
        <w:tc>
          <w:tcPr>
            <w:tcW w:type="dxa" w:w="1560"/>
            <w:tcBorders>
              <w:top w:val="single" w:color="CCCCCC" w:sz="1"/>
              <w:left w:val="single" w:color="CCCCCC" w:sz="1"/>
              <w:bottom w:val="single" w:color="CCCCCC" w:sz="1"/>
              <w:right w:val="single" w:color="CCCCCC" w:sz="1"/>
            </w:tcBorders>
            <w:shd w:fill="F9FAFB"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3x</w:t>
            </w:r>
          </w:p>
        </w:tc>
        <w:tc>
          <w:tcPr>
            <w:tcW w:type="dxa" w:w="3120"/>
            <w:tcBorders>
              <w:top w:val="single" w:color="CCCCCC" w:sz="1"/>
              <w:left w:val="single" w:color="CCCCCC" w:sz="1"/>
              <w:bottom w:val="single" w:color="CCCCCC" w:sz="1"/>
              <w:right w:val="single" w:color="CCCCCC" w:sz="1"/>
            </w:tcBorders>
            <w:shd w:fill="F9FAFB"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22.2 / 30</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 Conversion Architecture</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5.6</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3x</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16.8 / 30</w:t>
            </w:r>
          </w:p>
        </w:tc>
      </w:tr>
      <w:tr>
        <w:tc>
          <w:tcPr>
            <w:tcW w:type="dxa" w:w="3120"/>
            <w:tcBorders>
              <w:top w:val="single" w:color="CCCCCC" w:sz="1"/>
              <w:left w:val="single" w:color="CCCCCC" w:sz="1"/>
              <w:bottom w:val="single" w:color="CCCCCC" w:sz="1"/>
              <w:right w:val="single" w:color="CCCCCC" w:sz="1"/>
            </w:tcBorders>
            <w:shd w:fill="F9FAFB"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D. Visual Design Quality</w:t>
            </w:r>
          </w:p>
        </w:tc>
        <w:tc>
          <w:tcPr>
            <w:tcW w:type="dxa" w:w="1560"/>
            <w:tcBorders>
              <w:top w:val="single" w:color="CCCCCC" w:sz="1"/>
              <w:left w:val="single" w:color="CCCCCC" w:sz="1"/>
              <w:bottom w:val="single" w:color="CCCCCC" w:sz="1"/>
              <w:right w:val="single" w:color="CCCCCC" w:sz="1"/>
            </w:tcBorders>
            <w:shd w:fill="F9FAFB"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6.6</w:t>
            </w:r>
          </w:p>
        </w:tc>
        <w:tc>
          <w:tcPr>
            <w:tcW w:type="dxa" w:w="1560"/>
            <w:tcBorders>
              <w:top w:val="single" w:color="CCCCCC" w:sz="1"/>
              <w:left w:val="single" w:color="CCCCCC" w:sz="1"/>
              <w:bottom w:val="single" w:color="CCCCCC" w:sz="1"/>
              <w:right w:val="single" w:color="CCCCCC" w:sz="1"/>
            </w:tcBorders>
            <w:shd w:fill="F9FAFB"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2x</w:t>
            </w:r>
          </w:p>
        </w:tc>
        <w:tc>
          <w:tcPr>
            <w:tcW w:type="dxa" w:w="3120"/>
            <w:tcBorders>
              <w:top w:val="single" w:color="CCCCCC" w:sz="1"/>
              <w:left w:val="single" w:color="CCCCCC" w:sz="1"/>
              <w:bottom w:val="single" w:color="CCCCCC" w:sz="1"/>
              <w:right w:val="single" w:color="CCCCCC" w:sz="1"/>
            </w:tcBorders>
            <w:shd w:fill="F9FAFB"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13.2 / 20</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E. Interaction Design &amp; Micro-UX</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5.8</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2x</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11.6 / 20</w:t>
            </w:r>
          </w:p>
        </w:tc>
      </w:tr>
      <w:tr>
        <w:tc>
          <w:tcPr>
            <w:tcW w:type="dxa" w:w="3120"/>
            <w:tcBorders>
              <w:top w:val="single" w:color="CCCCCC" w:sz="1"/>
              <w:left w:val="single" w:color="CCCCCC" w:sz="1"/>
              <w:bottom w:val="single" w:color="CCCCCC" w:sz="1"/>
              <w:right w:val="single" w:color="CCCCCC" w:sz="1"/>
            </w:tcBorders>
            <w:shd w:fill="F9FAFB"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F. Responsive Design &amp; Cross-Device</w:t>
            </w:r>
          </w:p>
        </w:tc>
        <w:tc>
          <w:tcPr>
            <w:tcW w:type="dxa" w:w="1560"/>
            <w:tcBorders>
              <w:top w:val="single" w:color="CCCCCC" w:sz="1"/>
              <w:left w:val="single" w:color="CCCCCC" w:sz="1"/>
              <w:bottom w:val="single" w:color="CCCCCC" w:sz="1"/>
              <w:right w:val="single" w:color="CCCCCC" w:sz="1"/>
            </w:tcBorders>
            <w:shd w:fill="F9FAFB"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6.4</w:t>
            </w:r>
          </w:p>
        </w:tc>
        <w:tc>
          <w:tcPr>
            <w:tcW w:type="dxa" w:w="1560"/>
            <w:tcBorders>
              <w:top w:val="single" w:color="CCCCCC" w:sz="1"/>
              <w:left w:val="single" w:color="CCCCCC" w:sz="1"/>
              <w:bottom w:val="single" w:color="CCCCCC" w:sz="1"/>
              <w:right w:val="single" w:color="CCCCCC" w:sz="1"/>
            </w:tcBorders>
            <w:shd w:fill="F9FAFB"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2x</w:t>
            </w:r>
          </w:p>
        </w:tc>
        <w:tc>
          <w:tcPr>
            <w:tcW w:type="dxa" w:w="3120"/>
            <w:tcBorders>
              <w:top w:val="single" w:color="CCCCCC" w:sz="1"/>
              <w:left w:val="single" w:color="CCCCCC" w:sz="1"/>
              <w:bottom w:val="single" w:color="CCCCCC" w:sz="1"/>
              <w:right w:val="single" w:color="CCCCCC" w:sz="1"/>
            </w:tcBorders>
            <w:shd w:fill="F9FAFB"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12.8 / 20</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G. Accessibility</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5.6</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2x</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11.2 / 20</w:t>
            </w:r>
          </w:p>
        </w:tc>
      </w:tr>
      <w:tr>
        <w:tc>
          <w:tcPr>
            <w:tcW w:type="dxa" w:w="3120"/>
            <w:tcBorders>
              <w:top w:val="single" w:color="CCCCCC" w:sz="1"/>
              <w:left w:val="single" w:color="CCCCCC" w:sz="1"/>
              <w:bottom w:val="single" w:color="CCCCCC" w:sz="1"/>
              <w:right w:val="single" w:color="CCCCCC" w:sz="1"/>
            </w:tcBorders>
            <w:shd w:fill="F9FAFB"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H. Performance &amp; Technical Quality</w:t>
            </w:r>
          </w:p>
        </w:tc>
        <w:tc>
          <w:tcPr>
            <w:tcW w:type="dxa" w:w="1560"/>
            <w:tcBorders>
              <w:top w:val="single" w:color="CCCCCC" w:sz="1"/>
              <w:left w:val="single" w:color="CCCCCC" w:sz="1"/>
              <w:bottom w:val="single" w:color="CCCCCC" w:sz="1"/>
              <w:right w:val="single" w:color="CCCCCC" w:sz="1"/>
            </w:tcBorders>
            <w:shd w:fill="F9FAFB"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6.4</w:t>
            </w:r>
          </w:p>
        </w:tc>
        <w:tc>
          <w:tcPr>
            <w:tcW w:type="dxa" w:w="1560"/>
            <w:tcBorders>
              <w:top w:val="single" w:color="CCCCCC" w:sz="1"/>
              <w:left w:val="single" w:color="CCCCCC" w:sz="1"/>
              <w:bottom w:val="single" w:color="CCCCCC" w:sz="1"/>
              <w:right w:val="single" w:color="CCCCCC" w:sz="1"/>
            </w:tcBorders>
            <w:shd w:fill="F9FAFB"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1x</w:t>
            </w:r>
          </w:p>
        </w:tc>
        <w:tc>
          <w:tcPr>
            <w:tcW w:type="dxa" w:w="3120"/>
            <w:tcBorders>
              <w:top w:val="single" w:color="CCCCCC" w:sz="1"/>
              <w:left w:val="single" w:color="CCCCCC" w:sz="1"/>
              <w:bottom w:val="single" w:color="CCCCCC" w:sz="1"/>
              <w:right w:val="single" w:color="CCCCCC" w:sz="1"/>
            </w:tcBorders>
            <w:shd w:fill="F9FAFB"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6.4 / 10</w:t>
            </w:r>
          </w:p>
        </w:tc>
      </w:tr>
      <w:tr>
        <w:tc>
          <w:tcPr>
            <w:tcW w:type="dxa" w:w="312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tcPr>
          <w:p>
            <w:r>
              <w:rPr>
                <w:rFonts w:ascii="Arial" w:cs="Arial" w:eastAsia="Arial" w:hAnsi="Arial"/>
                <w:b/>
                <w:bCs/>
                <w:color w:val="4F46E5"/>
                <w:sz w:val="20"/>
                <w:szCs w:val="20"/>
              </w:rPr>
              <w:t xml:space="preserve">WEIGHTED TOTAL</w:t>
            </w:r>
          </w:p>
        </w:tc>
        <w:tc>
          <w:tcPr>
            <w:tcW w:type="dxa" w:w="156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
            </w:r>
          </w:p>
        </w:tc>
        <w:tc>
          <w:tcPr>
            <w:tcW w:type="dxa" w:w="312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tcPr>
          <w:p>
            <w:pPr>
              <w:jc w:val="center"/>
            </w:pPr>
            <w:r>
              <w:rPr>
                <w:rFonts w:ascii="Arial" w:cs="Arial" w:eastAsia="Arial" w:hAnsi="Arial"/>
                <w:b/>
                <w:bCs/>
                <w:color w:val="4F46E5"/>
                <w:sz w:val="22"/>
                <w:szCs w:val="22"/>
              </w:rPr>
              <w:t xml:space="preserve">114.6 / 180 (63.7%)</w:t>
            </w:r>
          </w:p>
        </w:tc>
      </w:tr>
    </w:tbl>
    <w:p>
      <w:pPr>
        <w:spacing w:after="120"/>
      </w:pPr>
      <w:r>
        <w:rPr>
          <w:rFonts w:ascii="Arial" w:cs="Arial" w:eastAsia="Arial" w:hAnsi="Arial"/>
          <w:sz w:val="22"/>
          <w:szCs w:val="22"/>
        </w:rPr>
        <w:t xml:space="preserve"/>
      </w:r>
    </w:p>
    <w:p>
      <w:pPr>
        <w:pStyle w:val="Heading2"/>
      </w:pPr>
      <w:r>
        <w:rPr>
          <w:b/>
          <w:bCs/>
        </w:rPr>
        <w:t xml:space="preserve">Top 3 Strengths</w:t>
      </w:r>
    </w:p>
    <w:p>
      <w:pPr>
        <w:pStyle w:val="ListParagraph"/>
        <w:numPr>
          <w:ilvl w:val="0"/>
          <w:numId w:val="2"/>
        </w:numPr>
        <w:spacing w:after="100"/>
      </w:pPr>
      <w:r>
        <w:rPr>
          <w:rFonts w:ascii="Arial" w:cs="Arial" w:eastAsia="Arial" w:hAnsi="Arial"/>
          <w:b/>
          <w:bCs/>
          <w:sz w:val="22"/>
          <w:szCs w:val="22"/>
        </w:rPr>
        <w:t xml:space="preserve">Strong landing page content strategy. </w:t>
      </w:r>
      <w:r>
        <w:rPr>
          <w:rFonts w:ascii="Arial" w:cs="Arial" w:eastAsia="Arial" w:hAnsi="Arial"/>
          <w:sz w:val="22"/>
          <w:szCs w:val="22"/>
        </w:rPr>
        <w:t xml:space="preserve">The 10-section landing page demonstrates sophisticated messaging: pain-led narrative, cited statistics from Gartner/IBM/McKinsey, persona-specific use cases, competitive differentiation (vs. building from scratch, vs. cloud-native tools, vs. point solutions), and ROI quantification. This is enterprise-grade content that speaks the buyer’s language.</w:t>
      </w:r>
    </w:p>
    <w:p>
      <w:pPr>
        <w:pStyle w:val="ListParagraph"/>
        <w:numPr>
          <w:ilvl w:val="0"/>
          <w:numId w:val="2"/>
        </w:numPr>
        <w:spacing w:after="100"/>
      </w:pPr>
      <w:r>
        <w:rPr>
          <w:rFonts w:ascii="Arial" w:cs="Arial" w:eastAsia="Arial" w:hAnsi="Arial"/>
          <w:b/>
          <w:bCs/>
          <w:sz w:val="22"/>
          <w:szCs w:val="22"/>
        </w:rPr>
        <w:t xml:space="preserve">Polished auth page design system. </w:t>
      </w:r>
      <w:r>
        <w:rPr>
          <w:rFonts w:ascii="Arial" w:cs="Arial" w:eastAsia="Arial" w:hAnsi="Arial"/>
          <w:sz w:val="22"/>
          <w:szCs w:val="22"/>
        </w:rPr>
        <w:t xml:space="preserve">The login and registration pages use a cohesive dark-mode glass-morphism aesthetic with subtle dot-grid overlays, ambient glow orbs, and a refined indigo color palette. The SSO domain detection, 3-step registration wizard, and security-conscious password reset flow show mature UX thinking.</w:t>
      </w:r>
    </w:p>
    <w:p>
      <w:pPr>
        <w:pStyle w:val="ListParagraph"/>
        <w:numPr>
          <w:ilvl w:val="0"/>
          <w:numId w:val="2"/>
        </w:numPr>
        <w:spacing w:after="100"/>
      </w:pPr>
      <w:r>
        <w:rPr>
          <w:rFonts w:ascii="Arial" w:cs="Arial" w:eastAsia="Arial" w:hAnsi="Arial"/>
          <w:b/>
          <w:bCs/>
          <w:sz w:val="22"/>
          <w:szCs w:val="22"/>
        </w:rPr>
        <w:t xml:space="preserve">SEO and metadata are well-implemented. </w:t>
      </w:r>
      <w:r>
        <w:rPr>
          <w:rFonts w:ascii="Arial" w:cs="Arial" w:eastAsia="Arial" w:hAnsi="Arial"/>
          <w:sz w:val="22"/>
          <w:szCs w:val="22"/>
        </w:rPr>
        <w:t xml:space="preserve">The landing page has proper title tags, Open Graph metadata, Twitter cards, keyword arrays targeting high-intent enterprise search terms (SR 11-7, MRM, NIST AI RMF, EU AI Act), and robots directives. This is ahead of most early-stage enterprise SaaS sites.</w:t>
      </w:r>
    </w:p>
    <w:p>
      <w:pPr>
        <w:pStyle w:val="Heading2"/>
      </w:pPr>
      <w:r>
        <w:rPr>
          <w:b/>
          <w:bCs/>
        </w:rPr>
        <w:t xml:space="preserve">Top 5 Critical Issues</w:t>
      </w:r>
    </w:p>
    <w:p>
      <w:pPr>
        <w:pStyle w:val="ListParagraph"/>
        <w:numPr>
          <w:ilvl w:val="0"/>
          <w:numId w:val="3"/>
        </w:numPr>
        <w:spacing w:after="100"/>
      </w:pPr>
      <w:r>
        <w:rPr>
          <w:rFonts w:ascii="Arial" w:cs="Arial" w:eastAsia="Arial" w:hAnsi="Arial"/>
          <w:b/>
          <w:bCs/>
          <w:color w:val="DC2626"/>
          <w:sz w:val="22"/>
          <w:szCs w:val="22"/>
        </w:rPr>
        <w:t xml:space="preserve">Root URL (/) redirects to /login — no marketing entry point. </w:t>
      </w:r>
      <w:r>
        <w:rPr>
          <w:rFonts w:ascii="Arial" w:cs="Arial" w:eastAsia="Arial" w:hAnsi="Arial"/>
          <w:sz w:val="22"/>
          <w:szCs w:val="22"/>
        </w:rPr>
        <w:t xml:space="preserve">An unauthenticated visitor to intellios.app sees a login form, not a value proposition. The landing page exists at /landing but is not the default entry. Enterprise buyers who receive a link to “intellios.app” land on a bare auth screen with zero product context. This is the single highest-impact issue: it means 100% of organic/direct traffic sees no marketing content.</w:t>
      </w:r>
    </w:p>
    <w:p>
      <w:pPr>
        <w:pStyle w:val="ListParagraph"/>
        <w:numPr>
          <w:ilvl w:val="0"/>
          <w:numId w:val="3"/>
        </w:numPr>
        <w:spacing w:after="100"/>
      </w:pPr>
      <w:r>
        <w:rPr>
          <w:rFonts w:ascii="Arial" w:cs="Arial" w:eastAsia="Arial" w:hAnsi="Arial"/>
          <w:b/>
          <w:bCs/>
          <w:color w:val="DC2626"/>
          <w:sz w:val="22"/>
          <w:szCs w:val="22"/>
        </w:rPr>
        <w:t xml:space="preserve">Design inconsistency across auth pages. </w:t>
      </w:r>
      <w:r>
        <w:rPr>
          <w:rFonts w:ascii="Arial" w:cs="Arial" w:eastAsia="Arial" w:hAnsi="Arial"/>
          <w:sz w:val="22"/>
          <w:szCs w:val="22"/>
        </w:rPr>
        <w:t xml:space="preserve">Login and Register use a dark gradient glass-morphism design. Forgot Password uses a completely different light-mode card design (bg-surface-raised, black buttons, no gradient, no dot-grid, no ambient orbs). This creates a jarring visual break that signals “unfinished product” to enterprise evaluators who notice these details.</w:t>
      </w:r>
    </w:p>
    <w:p>
      <w:pPr>
        <w:pStyle w:val="ListParagraph"/>
        <w:numPr>
          <w:ilvl w:val="0"/>
          <w:numId w:val="3"/>
        </w:numPr>
        <w:spacing w:after="100"/>
      </w:pPr>
      <w:r>
        <w:rPr>
          <w:rFonts w:ascii="Arial" w:cs="Arial" w:eastAsia="Arial" w:hAnsi="Arial"/>
          <w:b/>
          <w:bCs/>
          <w:color w:val="DC2626"/>
          <w:sz w:val="22"/>
          <w:szCs w:val="22"/>
        </w:rPr>
        <w:t xml:space="preserve">No social proof from real customers. </w:t>
      </w:r>
      <w:r>
        <w:rPr>
          <w:rFonts w:ascii="Arial" w:cs="Arial" w:eastAsia="Arial" w:hAnsi="Arial"/>
          <w:sz w:val="22"/>
          <w:szCs w:val="22"/>
        </w:rPr>
        <w:t xml:space="preserve">The landing page has industry vertical badges (Financial Services, Healthcare, Insurance, Federal) and compliance framework badges (SR 11-7, EU AI Act, NIST AI RMF), but zero customer logos, testimonials, case studies, or named design partners. For enterprise buyers, named social proof is the #1 trust signal. “Designed with input from teams in Financial Services” is not the same as “Trusted by JPMorgan Chase.”</w:t>
      </w:r>
    </w:p>
    <w:p>
      <w:pPr>
        <w:pStyle w:val="ListParagraph"/>
        <w:numPr>
          <w:ilvl w:val="0"/>
          <w:numId w:val="3"/>
        </w:numPr>
        <w:spacing w:after="100"/>
      </w:pPr>
      <w:r>
        <w:rPr>
          <w:rFonts w:ascii="Arial" w:cs="Arial" w:eastAsia="Arial" w:hAnsi="Arial"/>
          <w:b/>
          <w:bCs/>
          <w:color w:val="DC2626"/>
          <w:sz w:val="22"/>
          <w:szCs w:val="22"/>
        </w:rPr>
        <w:t xml:space="preserve">No pricing, no security page, no dedicated product pages. </w:t>
      </w:r>
      <w:r>
        <w:rPr>
          <w:rFonts w:ascii="Arial" w:cs="Arial" w:eastAsia="Arial" w:hAnsi="Arial"/>
          <w:sz w:val="22"/>
          <w:szCs w:val="22"/>
        </w:rPr>
        <w:t xml:space="preserve">Enterprise buyers expect to find: a Security &amp; Compliance page (SOC 2, data residency, encryption standards), a Pricing or “Contact Sales” page with packaging details, and dedicated product/feature pages they can share internally. All footer links for Privacy Policy, Terms of Service, Security, About, and Careers point to “#” (dead links).</w:t>
      </w:r>
    </w:p>
    <w:p>
      <w:pPr>
        <w:pStyle w:val="ListParagraph"/>
        <w:numPr>
          <w:ilvl w:val="0"/>
          <w:numId w:val="3"/>
        </w:numPr>
        <w:spacing w:after="100"/>
      </w:pPr>
      <w:r>
        <w:rPr>
          <w:rFonts w:ascii="Arial" w:cs="Arial" w:eastAsia="Arial" w:hAnsi="Arial"/>
          <w:b/>
          <w:bCs/>
          <w:color w:val="DC2626"/>
          <w:sz w:val="22"/>
          <w:szCs w:val="22"/>
        </w:rPr>
        <w:t xml:space="preserve">Templates page is disconnected from marketing flow. </w:t>
      </w:r>
      <w:r>
        <w:rPr>
          <w:rFonts w:ascii="Arial" w:cs="Arial" w:eastAsia="Arial" w:hAnsi="Arial"/>
          <w:sz w:val="22"/>
          <w:szCs w:val="22"/>
        </w:rPr>
        <w:t xml:space="preserve">The /templates page is publicly accessible and shows real product content (6 agent templates with governance tiers), but it uses a different layout (no navigation bar, no CTA, no brand header consistent with the landing page). It’s not linked from the landing page navigation. This is a missed conversion opportunity — templates are the strongest “show, don’t tell” asset available.</w:t>
      </w:r>
    </w:p>
    <w:p>
      <w:pPr>
        <w:pStyle w:val="Heading2"/>
      </w:pPr>
      <w:r>
        <w:rPr>
          <w:b/>
          <w:bCs/>
        </w:rPr>
        <w:t xml:space="preserve">Competitive Gap Assessment</w:t>
      </w:r>
    </w:p>
    <w:p>
      <w:pPr>
        <w:spacing w:after="120"/>
      </w:pPr>
      <w:r>
        <w:rPr>
          <w:rFonts w:ascii="Arial" w:cs="Arial" w:eastAsia="Arial" w:hAnsi="Arial"/>
          <w:sz w:val="22"/>
          <w:szCs w:val="22"/>
        </w:rPr>
        <w:t xml:space="preserve">Enterprise AI/SaaS leaders like Datadog, Snowflake, Scale AI, and Palantir set the bar for marketing page quality. Intellios’s content quality and messaging depth are competitive with these sites. However, the marketing presence falls short in three structural ways: (1) presentation polish — Datadog and Snowflake use custom illustrations, product screenshots, interactive demos, and video walkthroughs; Intellios has one static mockup; (2) trust infrastructure — every major enterprise SaaS site has a dedicated Security page, SOC 2 badges, named customer logos, and case studies above the fold; Intellios has none; (3) information architecture — competitors have multi-page marketing sites with dedicated pages for each persona, use case, and integration; Intellios has a single long-scroll page. The content is ready for enterprise buyers. The packaging is not yet.</w:t>
      </w:r>
    </w:p>
    <w:p>
      <w:r>
        <w:br w:type="page"/>
      </w:r>
    </w:p>
    <w:p>
      <w:pPr>
        <w:pStyle w:val="Heading1"/>
      </w:pPr>
      <w:r>
        <w:rPr>
          <w:b/>
          <w:bCs/>
        </w:rPr>
        <w:t xml:space="preserve">2. Page-by-Page Audit</w:t>
      </w:r>
    </w:p>
    <w:p>
      <w:pPr>
        <w:pBdr>
          <w:bottom w:val="single" w:color="4F46E5" w:sz="6" w:space="1"/>
        </w:pBdr>
        <w:spacing w:after="200" w:before="200"/>
      </w:pPr>
    </w:p>
    <w:p>
      <w:pPr>
        <w:pStyle w:val="Heading2"/>
      </w:pPr>
      <w:r>
        <w:rPr>
          <w:b/>
          <w:bCs/>
        </w:rPr>
        <w:t xml:space="preserve">2.1 Landing Page (/landing)</w:t>
      </w:r>
    </w:p>
    <w:p>
      <w:pPr>
        <w:spacing w:after="120"/>
      </w:pPr>
      <w:r>
        <w:rPr>
          <w:rFonts w:ascii="Arial" w:cs="Arial" w:eastAsia="Arial" w:hAnsi="Arial"/>
          <w:sz w:val="22"/>
          <w:szCs w:val="22"/>
        </w:rPr>
        <w:t xml:space="preserve">The landing page is a comprehensive 10-section marketing page with sticky navigation, scroll-reveal animations, and a Request Access modal. Sections: Hero, Governance Gap (statistics), Platform Pillars, Architecture Diagram, Personas/Use Cases, Differentiation (4 comparison cards), Trust Signals, ROI Statistics, Final CTA, and Footer. The page uses a light-mode design with indigo/violet accent colors and dark-mode support.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700"/>
        <w:gridCol w:w="5160"/>
      </w:tblGrid>
      <w:tr>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20"/>
                <w:szCs w:val="20"/>
              </w:rPr>
              <w:t xml:space="preserve">ID</w:t>
            </w:r>
          </w:p>
        </w:tc>
        <w:tc>
          <w:tcPr>
            <w:tcW w:type="dxa" w:w="2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20"/>
                <w:szCs w:val="20"/>
              </w:rPr>
              <w:t xml:space="preserve">Criterion</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20"/>
                <w:szCs w:val="20"/>
              </w:rPr>
              <w:t xml:space="preserve">Score</w:t>
            </w:r>
          </w:p>
        </w:tc>
        <w:tc>
          <w:tcPr>
            <w:tcW w:type="dxa" w:w="516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20"/>
                <w:szCs w:val="20"/>
              </w:rPr>
              <w:t xml:space="preserve">Justification</w:t>
            </w:r>
          </w:p>
        </w:tc>
      </w:tr>
      <w:tr>
        <w:tc>
          <w:tcPr>
            <w:gridSpan w:val="4"/>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tcPr>
          <w:p>
            <w:r>
              <w:rPr>
                <w:rFonts w:ascii="Arial" w:cs="Arial" w:eastAsia="Arial" w:hAnsi="Arial"/>
                <w:b/>
                <w:bCs/>
                <w:color w:val="4F46E5"/>
                <w:sz w:val="22"/>
                <w:szCs w:val="22"/>
              </w:rPr>
              <w:t xml:space="preserve">A. First Impression &amp; Visual Impact</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A1</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Hero clarity</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8</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Value prop is above the fold: “Every AI agent…governed, auditable, compliant.” The pill badge (“The Governed Control Plane for AI Agents”) provides instant positioning. 5-second test: passes.</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A2</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Visual hierarchy</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7</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Clear reading path: pill badge → headline → subhead → CTAs → vertical badges. The product mockup below the fold provides visual proof. Good spacing and flow.</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A3</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Brand perception</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6</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Clean and professional but relies on generic Tailwind styling. No custom illustrations, brand imagery, or distinctive visual identity. Feels like a well-executed template rather than a bespoke enterprise brand.</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A4</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Emotional resonance</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7</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The Governance Gap section leads with pain before features. Statistics (40% agent adoption, 78% shadow AI, 63% breach-governance gap) are well-sourced and fear-inducing in the right way for compliance buyers.</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A5</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Differentiation</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7</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The “Why Intellios” section explicitly compares vs. building from scratch, vs. cloud-native tools, vs. point solutions, and highlights white-label capability. Competitive positioning is clear within 15 seconds of reaching that section.</w:t>
            </w:r>
          </w:p>
        </w:tc>
      </w:tr>
      <w:tr>
        <w:tc>
          <w:tcPr>
            <w:gridSpan w:val="4"/>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tcPr>
          <w:p>
            <w:r>
              <w:rPr>
                <w:rFonts w:ascii="Arial" w:cs="Arial" w:eastAsia="Arial" w:hAnsi="Arial"/>
                <w:b/>
                <w:bCs/>
                <w:color w:val="4F46E5"/>
                <w:sz w:val="22"/>
                <w:szCs w:val="22"/>
              </w:rPr>
              <w:t xml:space="preserve">B. Information Architecture &amp; Content Strategy</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B1</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Content completeness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7</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Value prop, how it works (pillars), architecture, personas, differentiation, trust signals, ROI, and CTA are all present. Missing: pricing/packaging, security page, customer case studies, integration details.</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B2</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Messaging hierarchy</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8</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Follows textbook enterprise marketing: pain → solution → how it works → who it’s for → why us → proof → CTA. The governance-gap-first approach is strategically sound.</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B3</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Scannability</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8</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Section headers are clear and scannable: “The Governance Gap,” “The Platform,” “Runtime-agnostic by design.” Stats are large and bold. An executive could extract the key message from headings alone.</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B4</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Jargon calibration</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8</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Language is perfectly tuned for CROs/CTOs: SR 11-7, MRM, audit trails, shadow AI, policy-as-code. Not too technical for C-suite, not too vague for platform leads.</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B5</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Progressive disclosure</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6</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All content is on one page with no expand/collapse, tabs, or detail pages. The persona cards attempt layered info (pain → resolution → supporting fact) but the page is long and dense.</w:t>
            </w:r>
          </w:p>
        </w:tc>
      </w:tr>
      <w:tr>
        <w:tc>
          <w:tcPr>
            <w:gridSpan w:val="4"/>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tcPr>
          <w:p>
            <w:r>
              <w:rPr>
                <w:rFonts w:ascii="Arial" w:cs="Arial" w:eastAsia="Arial" w:hAnsi="Arial"/>
                <w:b/>
                <w:bCs/>
                <w:color w:val="4F46E5"/>
                <w:sz w:val="22"/>
                <w:szCs w:val="22"/>
              </w:rPr>
              <w:t xml:space="preserve">C. Conversion Architecture</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C1</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Primary CTA clarity</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7</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Primary CTA is “Request Early Access” — clear and action-oriented. The indigo button is visually distinct. Secondary CTA (“See How It Works”) provides a lower-commitment alternative.</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C2</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CTA repetition &amp; placement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7</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CTA appears in: nav bar, hero, mid-page section, and final CTA section. Good placement at natural decision points. Final CTA adds “Talk to Sales” as an alternative.</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C3</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Friction reduction</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5</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The Request Access modal is not visible in source code — it’s a separate component. Registration is a 3-step wizard (Organization → Identity → Security), which is appropriate for enterprise but adds friction for tire-kickers.</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C4</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Trust &amp; credibility signals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4</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Regulatory framework badges (SR 11-7, EU AI Act, NIST AI RMF) are present. Industry vertical badges are present. But zero customer logos, zero testimonials, zero case studies, zero named design partners. For enterprise, this is a critical gap.</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C5</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Objection handling</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5</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Cost comparison (vs. $2–5M build cost) and ROI data ($670K breach cost, $75M Citibank penalty) address budget objections. Missing: data residency, integration complexity, onboarding timeline, security posture.</w:t>
            </w:r>
          </w:p>
        </w:tc>
      </w:tr>
      <w:tr>
        <w:tc>
          <w:tcPr>
            <w:gridSpan w:val="4"/>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tcPr>
          <w:p>
            <w:r>
              <w:rPr>
                <w:rFonts w:ascii="Arial" w:cs="Arial" w:eastAsia="Arial" w:hAnsi="Arial"/>
                <w:b/>
                <w:bCs/>
                <w:color w:val="4F46E5"/>
                <w:sz w:val="22"/>
                <w:szCs w:val="22"/>
              </w:rPr>
              <w:t xml:space="preserve">D. Visual Design Quality</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D1</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Typography</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7</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Clean type system with system font stack. Heading sizes are well-differentiated. Monospace labels (“AUTHENTICATION,” “ENTERPRISE AGENT FACTORY”) add technical character. Line heights are comfortable.</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D2</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Color system</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7</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Indigo/violet palette is consistent and intentional. Dark/light mode support is implemented. Gradient text on hero headline is effective. Color usage conveys tech-forward enterprise identity.</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D3</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Spacing &amp; rhythm</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7</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Consistent section spacing (py-20 sm:py-24). Card grids are well-balanced. Max-width constraints (max-w-7xl for content, max-w-3xl for text) prevent sprawl on wide screens.</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D4</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Imagery &amp; illustrations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5</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Only one visual asset: a static product mockup built with HTML/CSS (not a real screenshot). No custom illustrations, no photos, no icons beyond Lucide line icons. The architecture diagram is text-based. Visually sparse for a marketing page.</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D5</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Polish &amp; attention to detail</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7</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Hover states on cards, scroll-reveal animations, gradient blobs, dot-grid overlays on auth pages. Good attention to micro-details. However, the forgot-password page breaks the design system completely.</w:t>
            </w:r>
          </w:p>
        </w:tc>
      </w:tr>
      <w:tr>
        <w:tc>
          <w:tcPr>
            <w:gridSpan w:val="4"/>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tcPr>
          <w:p>
            <w:r>
              <w:rPr>
                <w:rFonts w:ascii="Arial" w:cs="Arial" w:eastAsia="Arial" w:hAnsi="Arial"/>
                <w:b/>
                <w:bCs/>
                <w:color w:val="4F46E5"/>
                <w:sz w:val="22"/>
                <w:szCs w:val="22"/>
              </w:rPr>
              <w:t xml:space="preserve">E. Interaction Design &amp; Micro-UX</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E1</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Navigation</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7</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Sticky nav with 6 section anchors (Problem, Product, Architecture, Use Cases, Why Us, ROI) + Sign in + Request Early Access CTA. Mobile hamburger menu is implemented. Good organization.</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E2</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Hover &amp; focus states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6</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Buttons have hover transitions. Cards have hover:shadow-lg effects. Focus-visible outlines are implemented on nav links and CTAs (focus-visible:outline-2 focus-visible:outline-indigo-600). Some interactive elements lack visible focus indicators.</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E3</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Loading &amp; transitions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6</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Scroll-reveal animations use IntersectionObserver with prefers-reduced-motion support. Transitions feel smooth. However, the reveal animation has a potential issue: on fast scrolls, large sections may appear blank until intersection triggers.</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E4</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Scroll behavior</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6</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Sticky navigation aids scrolling. Anchor links use smooth scrolling. No content is hidden by the sticky nav. But the single long-scroll format means significant scrolling required to reach later sections.</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E5</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Error &amp; empty states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4</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Login shows generic “Invalid email or password” for all errors. Forgot-password has good generic success message (doesn’t reveal email existence). Registration handles 409/429 errors well. But no inline field validation, no password strength indicator, no password requirements shown before submission.</w:t>
            </w:r>
          </w:p>
        </w:tc>
      </w:tr>
      <w:tr>
        <w:tc>
          <w:tcPr>
            <w:gridSpan w:val="4"/>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tcPr>
          <w:p>
            <w:r>
              <w:rPr>
                <w:rFonts w:ascii="Arial" w:cs="Arial" w:eastAsia="Arial" w:hAnsi="Arial"/>
                <w:b/>
                <w:bCs/>
                <w:color w:val="4F46E5"/>
                <w:sz w:val="22"/>
                <w:szCs w:val="22"/>
              </w:rPr>
              <w:t xml:space="preserve">F. Responsive Design &amp; Cross-Device</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F1</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Mobile layout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7</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Source code shows responsive classes throughout: sm:, lg: breakpoints on all sections. Cards stack to single column. Text sizes scale down. Touch targets appear adequate from source inspection.</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F2</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Tablet layout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6</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sm: breakpoint handles tablet. Some grid sections (4-column “Why Intellios”) collapse to 2-column at sm:. Architecture diagram elements flex-wrap. Generally adequate but not specifically optimized for tablet.</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F3</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Large screen</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7</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max-w-7xl (80rem) constrains content width. max-w-3xl on text blocks prevents overly long lines. Content doesn’t stretch awkwardly on wide screens.</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F4</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Image scaling</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6</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No raster images to scale. The product mockup and architecture diagram use HTML/CSS and scale with the viewport. SVG hero background scales appropriately.</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F5</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Mobile navigation</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6</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Hamburger menu implemented with Menu/X toggle. Mobile menu includes all nav links + Sign in + Request Early Access CTA. Implementation looks correct in source. CTA has mobile-specific shorter text (“Get Access” vs. “Request Early Access”).</w:t>
            </w:r>
          </w:p>
        </w:tc>
      </w:tr>
      <w:tr>
        <w:tc>
          <w:tcPr>
            <w:gridSpan w:val="4"/>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tcPr>
          <w:p>
            <w:r>
              <w:rPr>
                <w:rFonts w:ascii="Arial" w:cs="Arial" w:eastAsia="Arial" w:hAnsi="Arial"/>
                <w:b/>
                <w:bCs/>
                <w:color w:val="4F46E5"/>
                <w:sz w:val="22"/>
                <w:szCs w:val="22"/>
              </w:rPr>
              <w:t xml:space="preserve">G. Accessibility</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G1</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Color contrast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6</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Most text/background combinations appear compliant. However, some low-opacity text (text-gray-400, text-white/40, text-indigo-400/60) may fail WCAG AA. The “Remember this device” text at text-white/40 is particularly problematic.</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G2</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Keyboard navigation</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6</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focus-visible outlines are implemented on nav links and CTAs. Tab order follows visual order. Auth forms are keyboard-navigable. Some interactive elements (card hover effects) are mouse-only.</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G3</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Screen reader compatibility</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5</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Heading hierarchy is mostly correct (h1 in hero, h2 for sections, h3 for cards). But the nav aria-label on the hamburger button is good. Missing: aria-live on form error messages, aria-describedby on form fields, landmark roles on major sections.</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G4</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Form accessibility</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5</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Labels are associated with inputs via htmlFor. But error messages are not linked via aria-describedby. The custom checkbox on the login page (div with onClick) is not keyboard-accessible as a native checkbox. Password requirements are not communicated before submission.</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G5</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Motion &amp; animation</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8</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prefers-reduced-motion is explicitly checked in the scroll-reveal hook. When reduced motion is preferred, all elements are immediately revealed without animation. This is above-average implementation.</w:t>
            </w:r>
          </w:p>
        </w:tc>
      </w:tr>
      <w:tr>
        <w:tc>
          <w:tcPr>
            <w:gridSpan w:val="4"/>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tcPr>
          <w:p>
            <w:r>
              <w:rPr>
                <w:rFonts w:ascii="Arial" w:cs="Arial" w:eastAsia="Arial" w:hAnsi="Arial"/>
                <w:b/>
                <w:bCs/>
                <w:color w:val="4F46E5"/>
                <w:sz w:val="22"/>
                <w:szCs w:val="22"/>
              </w:rPr>
              <w:t xml:space="preserve">H. Performance &amp; Technical Quality</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H1</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Page load speed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7</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Next.js 16 with Vercel deployment. No heavy images. Client-side rendering for the landing page (use client). No visible layout shifts. Initial paint is fast.</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H2</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SEO fundamentals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8</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Proper title tag, meta description, keywords array, Open Graph with title/description/type/siteName/locale, Twitter cards, robots index/follow. Landing page layout.tsx has comprehensive metadata.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H3</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Asset optimization</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7</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No raster images to optimize. Lucide icons are tree-shaken. Tailwind CSS v4. No external font files (system fonts). Bundle should be reasonably sized for a Next.js app.</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H4</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Code quality signals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6</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Semantic HTML structure. No console errors detected. Clean TypeScript source. However, the landing page is entirely client-rendered (“use client”), which means no server-side rendering for SEO crawlers that don’t execute JavaScript.</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H5</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Security signals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4</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HTTPS enforced via Vercel. Open redirect protection on login (callbackUrl validation). Rate limiting on registration (429 handling). But: forgot-password has no visible CSRF protection, no rate-limit indicator, and the password reset flow exposes tokens in URL parameters.</w:t>
            </w:r>
          </w:p>
        </w:tc>
      </w:tr>
    </w:tbl>
    <w:p>
      <w:pPr>
        <w:spacing w:after="120"/>
      </w:pPr>
      <w:r>
        <w:rPr>
          <w:rFonts w:ascii="Arial" w:cs="Arial" w:eastAsia="Arial" w:hAnsi="Arial"/>
          <w:sz w:val="22"/>
          <w:szCs w:val="22"/>
        </w:rPr>
        <w:t xml:space="preserve"/>
      </w:r>
    </w:p>
    <w:p>
      <w:pPr>
        <w:pStyle w:val="Heading3"/>
      </w:pPr>
      <w:r>
        <w:rPr>
          <w:b/>
          <w:bCs/>
        </w:rPr>
        <w:t xml:space="preserve">Landing Page: Top 3 Issues</w:t>
      </w:r>
    </w:p>
    <w:p>
      <w:pPr>
        <w:pStyle w:val="ListParagraph"/>
        <w:numPr>
          <w:ilvl w:val="0"/>
          <w:numId w:val="4"/>
        </w:numPr>
        <w:spacing w:after="80"/>
      </w:pPr>
      <w:r>
        <w:rPr>
          <w:rFonts w:ascii="Arial" w:cs="Arial" w:eastAsia="Arial" w:hAnsi="Arial"/>
          <w:b/>
          <w:bCs/>
          <w:sz w:val="22"/>
          <w:szCs w:val="22"/>
        </w:rPr>
        <w:t xml:space="preserve">No real product screenshots or demo video.</w:t>
      </w:r>
      <w:r>
        <w:rPr>
          <w:rFonts w:ascii="Arial" w:cs="Arial" w:eastAsia="Arial" w:hAnsi="Arial"/>
          <w:sz w:val="22"/>
          <w:szCs w:val="22"/>
        </w:rPr>
        <w:t xml:space="preserve"> The single HTML mockup is clever but doesn’t convey the depth of a 19-table, 5-subsystem platform. Enterprise buyers need to see the actual product. Add 3–5 annotated screenshots or a 90-second product walkthrough video.</w:t>
      </w:r>
    </w:p>
    <w:p>
      <w:pPr>
        <w:pStyle w:val="ListParagraph"/>
        <w:numPr>
          <w:ilvl w:val="0"/>
          <w:numId w:val="4"/>
        </w:numPr>
        <w:spacing w:after="80"/>
      </w:pPr>
      <w:r>
        <w:rPr>
          <w:rFonts w:ascii="Arial" w:cs="Arial" w:eastAsia="Arial" w:hAnsi="Arial"/>
          <w:b/>
          <w:bCs/>
          <w:sz w:val="22"/>
          <w:szCs w:val="22"/>
        </w:rPr>
        <w:t xml:space="preserve">Zero named customer or partner logos.</w:t>
      </w:r>
      <w:r>
        <w:rPr>
          <w:rFonts w:ascii="Arial" w:cs="Arial" w:eastAsia="Arial" w:hAnsi="Arial"/>
          <w:sz w:val="22"/>
          <w:szCs w:val="22"/>
        </w:rPr>
        <w:t xml:space="preserve"> Even “Design partner conversations with teams at [3 named enterprises]” would be more credible than unnamed vertical badges. If NDAs prevent naming, use anonymized case studies: “A Top-10 US Bank reduced MRM audit prep by 83%.”</w:t>
      </w:r>
    </w:p>
    <w:p>
      <w:pPr>
        <w:pStyle w:val="ListParagraph"/>
        <w:numPr>
          <w:ilvl w:val="0"/>
          <w:numId w:val="4"/>
        </w:numPr>
        <w:spacing w:after="80"/>
      </w:pPr>
      <w:r>
        <w:rPr>
          <w:rFonts w:ascii="Arial" w:cs="Arial" w:eastAsia="Arial" w:hAnsi="Arial"/>
          <w:b/>
          <w:bCs/>
          <w:sz w:val="22"/>
          <w:szCs w:val="22"/>
        </w:rPr>
        <w:t xml:space="preserve">Client-side only rendering hurts SEO.</w:t>
      </w:r>
      <w:r>
        <w:rPr>
          <w:rFonts w:ascii="Arial" w:cs="Arial" w:eastAsia="Arial" w:hAnsi="Arial"/>
          <w:sz w:val="22"/>
          <w:szCs w:val="22"/>
        </w:rPr>
        <w:t xml:space="preserve"> The entire landing page is “use client”, meaning search engine crawlers that don’t execute JavaScript won’t see any content. Convert the landing page to server-rendered with client-side hydration for the interactive elements (modal, mobile menu).</w:t>
      </w:r>
    </w:p>
    <w:p>
      <w:pPr>
        <w:pStyle w:val="Heading3"/>
      </w:pPr>
      <w:r>
        <w:rPr>
          <w:b/>
          <w:bCs/>
        </w:rPr>
        <w:t xml:space="preserve">Landing Page: Top 3 Strengths</w:t>
      </w:r>
    </w:p>
    <w:p>
      <w:pPr>
        <w:pStyle w:val="ListParagraph"/>
        <w:numPr>
          <w:ilvl w:val="0"/>
          <w:numId w:val="4"/>
        </w:numPr>
        <w:spacing w:after="80"/>
      </w:pPr>
      <w:r>
        <w:rPr>
          <w:rFonts w:ascii="Arial" w:cs="Arial" w:eastAsia="Arial" w:hAnsi="Arial"/>
          <w:sz w:val="22"/>
          <w:szCs w:val="22"/>
        </w:rPr>
        <w:t xml:space="preserve">Pain-first messaging.</w:t>
      </w:r>
      <w:r>
        <w:rPr>
          <w:rFonts w:ascii="Arial" w:cs="Arial" w:eastAsia="Arial" w:hAnsi="Arial"/>
          <w:sz w:val="22"/>
          <w:szCs w:val="22"/>
        </w:rPr>
        <w:t xml:space="preserve"> Leading with the Governance Gap (before product features) mirrors how the best enterprise sales teams structure conversations.</w:t>
      </w:r>
    </w:p>
    <w:p>
      <w:pPr>
        <w:pStyle w:val="ListParagraph"/>
        <w:numPr>
          <w:ilvl w:val="0"/>
          <w:numId w:val="4"/>
        </w:numPr>
        <w:spacing w:after="80"/>
      </w:pPr>
      <w:r>
        <w:rPr>
          <w:rFonts w:ascii="Arial" w:cs="Arial" w:eastAsia="Arial" w:hAnsi="Arial"/>
          <w:sz w:val="22"/>
          <w:szCs w:val="22"/>
        </w:rPr>
        <w:t xml:space="preserve">Evidence-backed claims.</w:t>
      </w:r>
      <w:r>
        <w:rPr>
          <w:rFonts w:ascii="Arial" w:cs="Arial" w:eastAsia="Arial" w:hAnsi="Arial"/>
          <w:sz w:val="22"/>
          <w:szCs w:val="22"/>
        </w:rPr>
        <w:t xml:space="preserve"> Every statistic cites a specific source (Gartner, IBM, McKinsey, OCC enforcement action). This builds credibility with the skeptical enterprise buyer.</w:t>
      </w:r>
    </w:p>
    <w:p>
      <w:pPr>
        <w:pStyle w:val="ListParagraph"/>
        <w:numPr>
          <w:ilvl w:val="0"/>
          <w:numId w:val="4"/>
        </w:numPr>
        <w:spacing w:after="80"/>
      </w:pPr>
      <w:r>
        <w:rPr>
          <w:rFonts w:ascii="Arial" w:cs="Arial" w:eastAsia="Arial" w:hAnsi="Arial"/>
          <w:sz w:val="22"/>
          <w:szCs w:val="22"/>
        </w:rPr>
        <w:t xml:space="preserve">Architecture diagram.</w:t>
      </w:r>
      <w:r>
        <w:rPr>
          <w:rFonts w:ascii="Arial" w:cs="Arial" w:eastAsia="Arial" w:hAnsi="Arial"/>
          <w:sz w:val="22"/>
          <w:szCs w:val="22"/>
        </w:rPr>
        <w:t xml:space="preserve"> Showing Enterprise Systems → Intellios Control Plane → Runtime Adapter → Cloud Runtimes communicates the positioning instantly: “We sit above your cloud, not beside it.”</w:t>
      </w:r>
    </w:p>
    <w:p>
      <w:r>
        <w:br w:type="page"/>
      </w:r>
    </w:p>
    <w:p>
      <w:pPr>
        <w:pStyle w:val="Heading2"/>
      </w:pPr>
      <w:r>
        <w:rPr>
          <w:b/>
          <w:bCs/>
        </w:rPr>
        <w:t xml:space="preserve">2.2 Login Page (/login)</w:t>
      </w:r>
    </w:p>
    <w:p>
      <w:pPr>
        <w:spacing w:after="120"/>
      </w:pPr>
      <w:r>
        <w:rPr>
          <w:rFonts w:ascii="Arial" w:cs="Arial" w:eastAsia="Arial" w:hAnsi="Arial"/>
          <w:sz w:val="22"/>
          <w:szCs w:val="22"/>
        </w:rPr>
        <w:t xml:space="preserve">The login page is the default entry point for unauthenticated visitors (/ redirects to /login). It features a dark gradient background with glass-morphism card design, dot-grid overlay, ambient glow orbs, and indigo accent colors. Includes SSO domain detection, remember-device checkbox, and links to forgot-password and registration.</w:t>
      </w:r>
    </w:p>
    <w:p>
      <w:pPr>
        <w:pStyle w:val="Heading3"/>
      </w:pPr>
      <w:r>
        <w:rPr>
          <w:b/>
          <w:bCs/>
        </w:rPr>
        <w:t xml:space="preserve">Login Page: Top 3 Issues</w:t>
      </w:r>
    </w:p>
    <w:p>
      <w:pPr>
        <w:pStyle w:val="ListParagraph"/>
        <w:numPr>
          <w:ilvl w:val="0"/>
          <w:numId w:val="4"/>
        </w:numPr>
        <w:spacing w:after="80"/>
      </w:pPr>
      <w:r>
        <w:rPr>
          <w:rFonts w:ascii="Arial" w:cs="Arial" w:eastAsia="Arial" w:hAnsi="Arial"/>
          <w:b/>
          <w:bCs/>
          <w:sz w:val="22"/>
          <w:szCs w:val="22"/>
        </w:rPr>
        <w:t xml:space="preserve">No marketing context.</w:t>
      </w:r>
      <w:r>
        <w:rPr>
          <w:rFonts w:ascii="Arial" w:cs="Arial" w:eastAsia="Arial" w:hAnsi="Arial"/>
          <w:sz w:val="22"/>
          <w:szCs w:val="22"/>
        </w:rPr>
        <w:t xml:space="preserve"> A visitor arriving at / sees only “Sign in to your account” with zero explanation of what Intellios is or does. Add a left-panel marketing message (like Vercel, Linear, or Notion’s login pages) or redirect / to /landing.</w:t>
      </w:r>
    </w:p>
    <w:p>
      <w:pPr>
        <w:pStyle w:val="ListParagraph"/>
        <w:numPr>
          <w:ilvl w:val="0"/>
          <w:numId w:val="4"/>
        </w:numPr>
        <w:spacing w:after="80"/>
      </w:pPr>
      <w:r>
        <w:rPr>
          <w:rFonts w:ascii="Arial" w:cs="Arial" w:eastAsia="Arial" w:hAnsi="Arial"/>
          <w:b/>
          <w:bCs/>
          <w:sz w:val="22"/>
          <w:szCs w:val="22"/>
        </w:rPr>
        <w:t xml:space="preserve">Custom checkbox is not accessible.</w:t>
      </w:r>
      <w:r>
        <w:rPr>
          <w:rFonts w:ascii="Arial" w:cs="Arial" w:eastAsia="Arial" w:hAnsi="Arial"/>
          <w:sz w:val="22"/>
          <w:szCs w:val="22"/>
        </w:rPr>
        <w:t xml:space="preserve"> The “Remember this device” checkbox is a styled div with onClick, not a native &lt;input type=“checkbox”&gt;. It lacks role=“checkbox”, aria-checked, and keyboard activation (Space/Enter). Replace with a native checkbox or add proper ARIA attributes.</w:t>
      </w:r>
    </w:p>
    <w:p>
      <w:pPr>
        <w:pStyle w:val="ListParagraph"/>
        <w:numPr>
          <w:ilvl w:val="0"/>
          <w:numId w:val="4"/>
        </w:numPr>
        <w:spacing w:after="80"/>
      </w:pPr>
      <w:r>
        <w:rPr>
          <w:rFonts w:ascii="Arial" w:cs="Arial" w:eastAsia="Arial" w:hAnsi="Arial"/>
          <w:b/>
          <w:bCs/>
          <w:sz w:val="22"/>
          <w:szCs w:val="22"/>
        </w:rPr>
        <w:t xml:space="preserve">Low-contrast helper text.</w:t>
      </w:r>
      <w:r>
        <w:rPr>
          <w:rFonts w:ascii="Arial" w:cs="Arial" w:eastAsia="Arial" w:hAnsi="Arial"/>
          <w:sz w:val="22"/>
          <w:szCs w:val="22"/>
        </w:rPr>
        <w:t xml:space="preserve"> The “Remember this device” text uses text-white/40, and “Forgot your password?” uses text-white/40. Both fail WCAG AA contrast requirements against the dark background. Increase to text-white/70 minimum.</w:t>
      </w:r>
    </w:p>
    <w:p>
      <w:pPr>
        <w:pStyle w:val="Heading3"/>
      </w:pPr>
      <w:r>
        <w:rPr>
          <w:b/>
          <w:bCs/>
        </w:rPr>
        <w:t xml:space="preserve">Login Page: Top 3 Strengths</w:t>
      </w:r>
    </w:p>
    <w:p>
      <w:pPr>
        <w:pStyle w:val="ListParagraph"/>
        <w:numPr>
          <w:ilvl w:val="0"/>
          <w:numId w:val="4"/>
        </w:numPr>
        <w:spacing w:after="80"/>
      </w:pPr>
      <w:r>
        <w:rPr>
          <w:rFonts w:ascii="Arial" w:cs="Arial" w:eastAsia="Arial" w:hAnsi="Arial"/>
          <w:sz w:val="22"/>
          <w:szCs w:val="22"/>
        </w:rPr>
        <w:t xml:space="preserve">SSO domain detection is enterprise-ready. Automatically detecting SSO capability when a user types their email domain is a best-practice UX pattern that signals enterprise maturity.</w:t>
      </w:r>
    </w:p>
    <w:p>
      <w:pPr>
        <w:pStyle w:val="ListParagraph"/>
        <w:numPr>
          <w:ilvl w:val="0"/>
          <w:numId w:val="4"/>
        </w:numPr>
        <w:spacing w:after="80"/>
      </w:pPr>
      <w:r>
        <w:rPr>
          <w:rFonts w:ascii="Arial" w:cs="Arial" w:eastAsia="Arial" w:hAnsi="Arial"/>
          <w:sz w:val="22"/>
          <w:szCs w:val="22"/>
        </w:rPr>
        <w:t xml:space="preserve">Visual design is polished. The glass-morphism card, ambient orbs, and dot-grid create a premium feel appropriate for enterprise software.</w:t>
      </w:r>
    </w:p>
    <w:p>
      <w:pPr>
        <w:pStyle w:val="ListParagraph"/>
        <w:numPr>
          <w:ilvl w:val="0"/>
          <w:numId w:val="4"/>
        </w:numPr>
        <w:spacing w:after="80"/>
      </w:pPr>
      <w:r>
        <w:rPr>
          <w:rFonts w:ascii="Arial" w:cs="Arial" w:eastAsia="Arial" w:hAnsi="Arial"/>
          <w:sz w:val="22"/>
          <w:szCs w:val="22"/>
        </w:rPr>
        <w:t xml:space="preserve">Open redirect protection. The callbackUrl validation (checking for relative paths, rejecting //) is a good security practice.</w:t>
      </w:r>
    </w:p>
    <w:p>
      <w:r>
        <w:br w:type="page"/>
      </w:r>
    </w:p>
    <w:p>
      <w:pPr>
        <w:pStyle w:val="Heading2"/>
      </w:pPr>
      <w:r>
        <w:rPr>
          <w:b/>
          <w:bCs/>
        </w:rPr>
        <w:t xml:space="preserve">2.3 Registration Page (/register)</w:t>
      </w:r>
    </w:p>
    <w:p>
      <w:pPr>
        <w:spacing w:after="120"/>
      </w:pPr>
      <w:r>
        <w:rPr>
          <w:rFonts w:ascii="Arial" w:cs="Arial" w:eastAsia="Arial" w:hAnsi="Arial"/>
          <w:sz w:val="22"/>
          <w:szCs w:val="22"/>
        </w:rPr>
        <w:t xml:space="preserve">The registration page uses the same dark gradient design as login. Features a 3-step wizard: (1) Organization (Enterprise name), (2) Identity (name, email), (3) Security (password). The step indicator shows progress visually. Each step validates before allowing continuation.</w:t>
      </w:r>
    </w:p>
    <w:p>
      <w:pPr>
        <w:pStyle w:val="Heading3"/>
      </w:pPr>
      <w:r>
        <w:rPr>
          <w:b/>
          <w:bCs/>
        </w:rPr>
        <w:t xml:space="preserve">Registration Page: Top 3 Issues</w:t>
      </w:r>
    </w:p>
    <w:p>
      <w:pPr>
        <w:pStyle w:val="ListParagraph"/>
        <w:numPr>
          <w:ilvl w:val="0"/>
          <w:numId w:val="4"/>
        </w:numPr>
        <w:spacing w:after="80"/>
      </w:pPr>
      <w:r>
        <w:rPr>
          <w:rFonts w:ascii="Arial" w:cs="Arial" w:eastAsia="Arial" w:hAnsi="Arial"/>
          <w:b/>
          <w:bCs/>
          <w:sz w:val="22"/>
          <w:szCs w:val="22"/>
        </w:rPr>
        <w:t xml:space="preserve">No password requirements shown before submission.</w:t>
      </w:r>
      <w:r>
        <w:rPr>
          <w:rFonts w:ascii="Arial" w:cs="Arial" w:eastAsia="Arial" w:hAnsi="Arial"/>
          <w:sz w:val="22"/>
          <w:szCs w:val="22"/>
        </w:rPr>
        <w:t xml:space="preserve"> The password must be 8+ characters (from source code validation), but this requirement is not communicated to the user until they fail validation. Show requirements inline as the user types.</w:t>
      </w:r>
    </w:p>
    <w:p>
      <w:pPr>
        <w:pStyle w:val="ListParagraph"/>
        <w:numPr>
          <w:ilvl w:val="0"/>
          <w:numId w:val="4"/>
        </w:numPr>
        <w:spacing w:after="80"/>
      </w:pPr>
      <w:r>
        <w:rPr>
          <w:rFonts w:ascii="Arial" w:cs="Arial" w:eastAsia="Arial" w:hAnsi="Arial"/>
          <w:b/>
          <w:bCs/>
          <w:sz w:val="22"/>
          <w:szCs w:val="22"/>
        </w:rPr>
        <w:t xml:space="preserve">Self-service registration may not be appropriate.</w:t>
      </w:r>
      <w:r>
        <w:rPr>
          <w:rFonts w:ascii="Arial" w:cs="Arial" w:eastAsia="Arial" w:hAnsi="Arial"/>
          <w:sz w:val="22"/>
          <w:szCs w:val="22"/>
        </w:rPr>
        <w:t xml:space="preserve"> For an enterprise product targeting Fortune 500, self-service account creation is unusual. Most enterprise buyers expect a “Request Demo” → sales call → provisioned account flow. The registration page should at minimum explain what access level self-registration provides.</w:t>
      </w:r>
    </w:p>
    <w:p>
      <w:pPr>
        <w:pStyle w:val="ListParagraph"/>
        <w:numPr>
          <w:ilvl w:val="0"/>
          <w:numId w:val="4"/>
        </w:numPr>
        <w:spacing w:after="80"/>
      </w:pPr>
      <w:r>
        <w:rPr>
          <w:rFonts w:ascii="Arial" w:cs="Arial" w:eastAsia="Arial" w:hAnsi="Arial"/>
          <w:b/>
          <w:bCs/>
          <w:sz w:val="22"/>
          <w:szCs w:val="22"/>
        </w:rPr>
        <w:t xml:space="preserve">No terms of service or privacy policy acceptance.</w:t>
      </w:r>
      <w:r>
        <w:rPr>
          <w:rFonts w:ascii="Arial" w:cs="Arial" w:eastAsia="Arial" w:hAnsi="Arial"/>
          <w:sz w:val="22"/>
          <w:szCs w:val="22"/>
        </w:rPr>
        <w:t xml:space="preserve"> Enterprise compliance teams expect to see “By creating an account, you agree to our Terms of Service and Privacy Policy” with links to both documents. Neither document exists (footer links point to #).</w:t>
      </w:r>
    </w:p>
    <w:p>
      <w:pPr>
        <w:pStyle w:val="Heading3"/>
      </w:pPr>
      <w:r>
        <w:rPr>
          <w:b/>
          <w:bCs/>
        </w:rPr>
        <w:t xml:space="preserve">Registration Page: Top 3 Strengths</w:t>
      </w:r>
    </w:p>
    <w:p>
      <w:pPr>
        <w:pStyle w:val="ListParagraph"/>
        <w:numPr>
          <w:ilvl w:val="0"/>
          <w:numId w:val="4"/>
        </w:numPr>
        <w:spacing w:after="80"/>
      </w:pPr>
      <w:r>
        <w:rPr>
          <w:rFonts w:ascii="Arial" w:cs="Arial" w:eastAsia="Arial" w:hAnsi="Arial"/>
          <w:sz w:val="22"/>
          <w:szCs w:val="22"/>
        </w:rPr>
        <w:t xml:space="preserve">Step wizard reduces cognitive load. Breaking registration into 3 focused steps (Organization → Identity → Security) is better than a single long form, especially for enterprise users who need to provide organization details.</w:t>
      </w:r>
    </w:p>
    <w:p>
      <w:pPr>
        <w:pStyle w:val="ListParagraph"/>
        <w:numPr>
          <w:ilvl w:val="0"/>
          <w:numId w:val="4"/>
        </w:numPr>
        <w:spacing w:after="80"/>
      </w:pPr>
      <w:r>
        <w:rPr>
          <w:rFonts w:ascii="Arial" w:cs="Arial" w:eastAsia="Arial" w:hAnsi="Arial"/>
          <w:sz w:val="22"/>
          <w:szCs w:val="22"/>
        </w:rPr>
        <w:t xml:space="preserve">Good error handling. Specific error messages for 409 (duplicate email), 429 (rate limit), and generic failures. Network errors are handled separately.</w:t>
      </w:r>
    </w:p>
    <w:p>
      <w:pPr>
        <w:pStyle w:val="ListParagraph"/>
        <w:numPr>
          <w:ilvl w:val="0"/>
          <w:numId w:val="4"/>
        </w:numPr>
        <w:spacing w:after="80"/>
      </w:pPr>
      <w:r>
        <w:rPr>
          <w:rFonts w:ascii="Arial" w:cs="Arial" w:eastAsia="Arial" w:hAnsi="Arial"/>
          <w:sz w:val="22"/>
          <w:szCs w:val="22"/>
        </w:rPr>
        <w:t xml:space="preserve">Visual consistency with login. Uses the same dark gradient, glass-morphism card, logo lockup, and color palette. The brand experience is cohesive across these two pages.</w:t>
      </w:r>
    </w:p>
    <w:p>
      <w:pPr>
        <w:pStyle w:val="Heading2"/>
      </w:pPr>
      <w:r>
        <w:rPr>
          <w:b/>
          <w:bCs/>
        </w:rPr>
        <w:t xml:space="preserve">2.4 Forgot Password (/auth/forgot-password)</w:t>
      </w:r>
    </w:p>
    <w:p>
      <w:pPr>
        <w:spacing w:after="120"/>
      </w:pPr>
      <w:r>
        <w:rPr>
          <w:rFonts w:ascii="Arial" w:cs="Arial" w:eastAsia="Arial" w:hAnsi="Arial"/>
          <w:sz w:val="22"/>
          <w:szCs w:val="22"/>
        </w:rPr>
        <w:t xml:space="preserve">The forgot-password page is a minimal form with a single email field. Uses a completely different visual design from the login/register pages: light background (bg-surface-raised), white card with border, dark button. No gradient, no dot-grid, no ambient effects.</w:t>
      </w:r>
    </w:p>
    <w:p>
      <w:pPr>
        <w:pStyle w:val="Heading3"/>
      </w:pPr>
      <w:r>
        <w:rPr>
          <w:b/>
          <w:bCs/>
        </w:rPr>
        <w:t xml:space="preserve">Forgot Password: Top 3 Issues</w:t>
      </w:r>
    </w:p>
    <w:p>
      <w:pPr>
        <w:pStyle w:val="ListParagraph"/>
        <w:numPr>
          <w:ilvl w:val="0"/>
          <w:numId w:val="4"/>
        </w:numPr>
        <w:spacing w:after="80"/>
      </w:pPr>
      <w:r>
        <w:rPr>
          <w:rFonts w:ascii="Arial" w:cs="Arial" w:eastAsia="Arial" w:hAnsi="Arial"/>
          <w:b/>
          <w:bCs/>
          <w:sz w:val="22"/>
          <w:szCs w:val="22"/>
        </w:rPr>
        <w:t xml:space="preserve">Completely different visual design from login/register.</w:t>
      </w:r>
      <w:r>
        <w:rPr>
          <w:rFonts w:ascii="Arial" w:cs="Arial" w:eastAsia="Arial" w:hAnsi="Arial"/>
          <w:sz w:val="22"/>
          <w:szCs w:val="22"/>
        </w:rPr>
        <w:t xml:space="preserve"> This page uses bg-surface-raised (light mode) while login/register use a dark indigo gradient. The button is bg-text (dark/black) instead of indigo. There’s no dot-grid, no ambient orbs, no glass-morphism card. A user clicking “Forgot your password?” from the login page experiences a jarring visual context switch.</w:t>
      </w:r>
    </w:p>
    <w:p>
      <w:pPr>
        <w:pStyle w:val="ListParagraph"/>
        <w:numPr>
          <w:ilvl w:val="0"/>
          <w:numId w:val="4"/>
        </w:numPr>
        <w:spacing w:after="80"/>
      </w:pPr>
      <w:r>
        <w:rPr>
          <w:rFonts w:ascii="Arial" w:cs="Arial" w:eastAsia="Arial" w:hAnsi="Arial"/>
          <w:b/>
          <w:bCs/>
          <w:sz w:val="22"/>
          <w:szCs w:val="22"/>
        </w:rPr>
        <w:t xml:space="preserve">No back-to-login link during form entry.</w:t>
      </w:r>
      <w:r>
        <w:rPr>
          <w:rFonts w:ascii="Arial" w:cs="Arial" w:eastAsia="Arial" w:hAnsi="Arial"/>
          <w:sz w:val="22"/>
          <w:szCs w:val="22"/>
        </w:rPr>
        <w:t xml:space="preserve"> The “← Back to sign in” link is only visible after form submission or at the bottom of the form. It should be prominently visible at the top of the page, especially since users arrive from the login page and may want to return immediately.</w:t>
      </w:r>
    </w:p>
    <w:p>
      <w:pPr>
        <w:pStyle w:val="ListParagraph"/>
        <w:numPr>
          <w:ilvl w:val="0"/>
          <w:numId w:val="4"/>
        </w:numPr>
        <w:spacing w:after="80"/>
      </w:pPr>
      <w:r>
        <w:rPr>
          <w:rFonts w:ascii="Arial" w:cs="Arial" w:eastAsia="Arial" w:hAnsi="Arial"/>
          <w:b/>
          <w:bCs/>
          <w:sz w:val="22"/>
          <w:szCs w:val="22"/>
        </w:rPr>
        <w:t xml:space="preserve">Error messages use light-mode-only styling.</w:t>
      </w:r>
      <w:r>
        <w:rPr>
          <w:rFonts w:ascii="Arial" w:cs="Arial" w:eastAsia="Arial" w:hAnsi="Arial"/>
          <w:sz w:val="22"/>
          <w:szCs w:val="22"/>
        </w:rPr>
        <w:t xml:space="preserve"> Error state uses bg-red-50 and text-red-700, which assume a light background. If dark mode is ever applied to this page, the error styling would need dark: variants.</w:t>
      </w:r>
    </w:p>
    <w:p>
      <w:pPr>
        <w:pStyle w:val="Heading3"/>
      </w:pPr>
      <w:r>
        <w:rPr>
          <w:b/>
          <w:bCs/>
        </w:rPr>
        <w:t xml:space="preserve">Forgot Password: Top 3 Strengths</w:t>
      </w:r>
    </w:p>
    <w:p>
      <w:pPr>
        <w:pStyle w:val="ListParagraph"/>
        <w:numPr>
          <w:ilvl w:val="0"/>
          <w:numId w:val="4"/>
        </w:numPr>
        <w:spacing w:after="80"/>
      </w:pPr>
      <w:r>
        <w:rPr>
          <w:rFonts w:ascii="Arial" w:cs="Arial" w:eastAsia="Arial" w:hAnsi="Arial"/>
          <w:sz w:val="22"/>
          <w:szCs w:val="22"/>
        </w:rPr>
        <w:t xml:space="preserve">Security-conscious success message. The success message says “If an account with that email exists” — correctly avoiding email enumeration. This is a security best practice.</w:t>
      </w:r>
    </w:p>
    <w:p>
      <w:pPr>
        <w:pStyle w:val="ListParagraph"/>
        <w:numPr>
          <w:ilvl w:val="0"/>
          <w:numId w:val="4"/>
        </w:numPr>
        <w:spacing w:after="80"/>
      </w:pPr>
      <w:r>
        <w:rPr>
          <w:rFonts w:ascii="Arial" w:cs="Arial" w:eastAsia="Arial" w:hAnsi="Arial"/>
          <w:sz w:val="22"/>
          <w:szCs w:val="22"/>
        </w:rPr>
        <w:t xml:space="preserve">Minimal and focused. One field, one button, one action. No distractions. The user knows exactly what to do.</w:t>
      </w:r>
    </w:p>
    <w:p>
      <w:pPr>
        <w:pStyle w:val="ListParagraph"/>
        <w:numPr>
          <w:ilvl w:val="0"/>
          <w:numId w:val="4"/>
        </w:numPr>
        <w:spacing w:after="80"/>
      </w:pPr>
      <w:r>
        <w:rPr>
          <w:rFonts w:ascii="Arial" w:cs="Arial" w:eastAsia="Arial" w:hAnsi="Arial"/>
          <w:sz w:val="22"/>
          <w:szCs w:val="22"/>
        </w:rPr>
        <w:t xml:space="preserve">Success state is well-designed. Green checkmark icon, clear instruction to check inbox and spam folder, and a link back to sign in.</w:t>
      </w:r>
    </w:p>
    <w:p>
      <w:pPr>
        <w:pStyle w:val="Heading2"/>
      </w:pPr>
      <w:r>
        <w:rPr>
          <w:b/>
          <w:bCs/>
        </w:rPr>
        <w:t xml:space="preserve">2.5 Templates Page (/templates)</w:t>
      </w:r>
    </w:p>
    <w:p>
      <w:pPr>
        <w:spacing w:after="120"/>
      </w:pPr>
      <w:r>
        <w:rPr>
          <w:rFonts w:ascii="Arial" w:cs="Arial" w:eastAsia="Arial" w:hAnsi="Arial"/>
          <w:sz w:val="22"/>
          <w:szCs w:val="22"/>
        </w:rPr>
        <w:t xml:space="preserve">The templates page is a publicly accessible marketplace showing pre-built agent templates. Features: search, source filters (built-in/community), vertical filters (Financial Services, Healthcare, General), Express Lane for quick customization, governance tier badges (Standard, Enhanced, Critical), and template cards with descriptions. Six templates are visible: Customer Service Agent, Regulatory Q&amp;A Agent, Document Review Agent, Loan Pre-Screening Agent, AML Alert Triage Agent, and HR Policy Agent.</w:t>
      </w:r>
    </w:p>
    <w:p>
      <w:pPr>
        <w:pStyle w:val="Heading3"/>
      </w:pPr>
      <w:r>
        <w:rPr>
          <w:b/>
          <w:bCs/>
        </w:rPr>
        <w:t xml:space="preserve">Templates Page: Top 3 Issues</w:t>
      </w:r>
    </w:p>
    <w:p>
      <w:pPr>
        <w:pStyle w:val="ListParagraph"/>
        <w:numPr>
          <w:ilvl w:val="0"/>
          <w:numId w:val="4"/>
        </w:numPr>
        <w:spacing w:after="80"/>
      </w:pPr>
      <w:r>
        <w:rPr>
          <w:rFonts w:ascii="Arial" w:cs="Arial" w:eastAsia="Arial" w:hAnsi="Arial"/>
          <w:b/>
          <w:bCs/>
          <w:sz w:val="22"/>
          <w:szCs w:val="22"/>
        </w:rPr>
        <w:t xml:space="preserve">Not linked from landing page navigation.</w:t>
      </w:r>
      <w:r>
        <w:rPr>
          <w:rFonts w:ascii="Arial" w:cs="Arial" w:eastAsia="Arial" w:hAnsi="Arial"/>
          <w:sz w:val="22"/>
          <w:szCs w:val="22"/>
        </w:rPr>
        <w:t xml:space="preserve"> This page showcases real product content (agent templates with governance tiers) but is invisible to marketing visitors. Add a “Templates” or “Marketplace” link to the landing page nav.</w:t>
      </w:r>
    </w:p>
    <w:p>
      <w:pPr>
        <w:pStyle w:val="ListParagraph"/>
        <w:numPr>
          <w:ilvl w:val="0"/>
          <w:numId w:val="4"/>
        </w:numPr>
        <w:spacing w:after="80"/>
      </w:pPr>
      <w:r>
        <w:rPr>
          <w:rFonts w:ascii="Arial" w:cs="Arial" w:eastAsia="Arial" w:hAnsi="Arial"/>
          <w:b/>
          <w:bCs/>
          <w:sz w:val="22"/>
          <w:szCs w:val="22"/>
        </w:rPr>
        <w:t xml:space="preserve">No navigation bar or CTA.</w:t>
      </w:r>
      <w:r>
        <w:rPr>
          <w:rFonts w:ascii="Arial" w:cs="Arial" w:eastAsia="Arial" w:hAnsi="Arial"/>
          <w:sz w:val="22"/>
          <w:szCs w:val="22"/>
        </w:rPr>
        <w:t xml:space="preserve"> The page renders without any global navigation, brand header, or call-to-action. A visitor who discovers this page via search has no way to learn about Intellios or navigate to the marketing site.</w:t>
      </w:r>
    </w:p>
    <w:p>
      <w:pPr>
        <w:pStyle w:val="ListParagraph"/>
        <w:numPr>
          <w:ilvl w:val="0"/>
          <w:numId w:val="4"/>
        </w:numPr>
        <w:spacing w:after="80"/>
      </w:pPr>
      <w:r>
        <w:rPr>
          <w:rFonts w:ascii="Arial" w:cs="Arial" w:eastAsia="Arial" w:hAnsi="Arial"/>
          <w:b/>
          <w:bCs/>
          <w:sz w:val="22"/>
          <w:szCs w:val="22"/>
        </w:rPr>
        <w:t xml:space="preserve">Different design language from landing page.</w:t>
      </w:r>
      <w:r>
        <w:rPr>
          <w:rFonts w:ascii="Arial" w:cs="Arial" w:eastAsia="Arial" w:hAnsi="Arial"/>
          <w:sz w:val="22"/>
          <w:szCs w:val="22"/>
        </w:rPr>
        <w:t xml:space="preserve"> Uses the app’s internal design system (light mode, flat cards) rather than the marketing page design. This creates a disconnected experience for visitors browsing multiple pages.</w:t>
      </w:r>
    </w:p>
    <w:p>
      <w:r>
        <w:br w:type="page"/>
      </w:r>
    </w:p>
    <w:p>
      <w:pPr>
        <w:pStyle w:val="Heading1"/>
      </w:pPr>
      <w:r>
        <w:rPr>
          <w:b/>
          <w:bCs/>
        </w:rPr>
        <w:t xml:space="preserve">3. Consolidated Scorecard</w:t>
      </w:r>
    </w:p>
    <w:p>
      <w:pPr>
        <w:pBdr>
          <w:bottom w:val="single" w:color="4F46E5" w:sz="6" w:space="1"/>
        </w:pBdr>
        <w:spacing w:after="200" w:before="200"/>
      </w:pPr>
    </w:p>
    <w:p>
      <w:pPr>
        <w:spacing w:after="120"/>
      </w:pPr>
      <w:r>
        <w:rPr>
          <w:rFonts w:ascii="Arial" w:cs="Arial" w:eastAsia="Arial" w:hAnsi="Arial"/>
          <w:sz w:val="22"/>
          <w:szCs w:val="22"/>
        </w:rPr>
        <w:t xml:space="preserve">Scores represent the average across all audited public-facing pages, weighted by the page’s marketing importance (landing page weighted most heavily as the primary conversion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340"/>
        <w:gridCol w:w="1340"/>
        <w:gridCol w:w="2680"/>
      </w:tblGrid>
      <w:tr>
        <w:tc>
          <w:tcPr>
            <w:tcW w:type="dxa" w:w="4000"/>
            <w:tcBorders>
              <w:top w:val="single" w:color="4F46E5" w:sz="1"/>
              <w:left w:val="single" w:color="4F46E5" w:sz="1"/>
              <w:bottom w:val="single" w:color="4F46E5" w:sz="1"/>
              <w:right w:val="single" w:color="4F46E5" w:sz="1"/>
            </w:tcBorders>
            <w:shd w:fill="4F46E5" w:val="clear"/>
            <w:tcMar>
              <w:top w:type="dxa" w:w="60"/>
              <w:left w:type="dxa" w:w="100"/>
              <w:bottom w:type="dxa" w:w="60"/>
              <w:right w:type="dxa" w:w="100"/>
            </w:tcMar>
          </w:tcPr>
          <w:p>
            <w:r>
              <w:rPr>
                <w:rFonts w:ascii="Arial" w:cs="Arial" w:eastAsia="Arial" w:hAnsi="Arial"/>
                <w:b/>
                <w:bCs/>
                <w:color w:val="FFFFFF"/>
                <w:sz w:val="20"/>
                <w:szCs w:val="20"/>
              </w:rPr>
              <w:t xml:space="preserve">Category</w:t>
            </w:r>
          </w:p>
        </w:tc>
        <w:tc>
          <w:tcPr>
            <w:tcW w:type="dxa" w:w="1340"/>
            <w:tcBorders>
              <w:top w:val="single" w:color="4F46E5" w:sz="1"/>
              <w:left w:val="single" w:color="4F46E5" w:sz="1"/>
              <w:bottom w:val="single" w:color="4F46E5" w:sz="1"/>
              <w:right w:val="single" w:color="4F46E5" w:sz="1"/>
            </w:tcBorders>
            <w:shd w:fill="4F46E5"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Score</w:t>
            </w:r>
          </w:p>
        </w:tc>
        <w:tc>
          <w:tcPr>
            <w:tcW w:type="dxa" w:w="1340"/>
            <w:tcBorders>
              <w:top w:val="single" w:color="4F46E5" w:sz="1"/>
              <w:left w:val="single" w:color="4F46E5" w:sz="1"/>
              <w:bottom w:val="single" w:color="4F46E5" w:sz="1"/>
              <w:right w:val="single" w:color="4F46E5" w:sz="1"/>
            </w:tcBorders>
            <w:shd w:fill="4F46E5"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Weight</w:t>
            </w:r>
          </w:p>
        </w:tc>
        <w:tc>
          <w:tcPr>
            <w:tcW w:type="dxa" w:w="2680"/>
            <w:tcBorders>
              <w:top w:val="single" w:color="4F46E5" w:sz="1"/>
              <w:left w:val="single" w:color="4F46E5" w:sz="1"/>
              <w:bottom w:val="single" w:color="4F46E5" w:sz="1"/>
              <w:right w:val="single" w:color="4F46E5" w:sz="1"/>
            </w:tcBorders>
            <w:shd w:fill="4F46E5"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Weighted Score</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 First Impression &amp; Visual Impact</w:t>
            </w:r>
          </w:p>
        </w:tc>
        <w:tc>
          <w:tcPr>
            <w:tcW w:type="dxa" w:w="1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6.8</w:t>
            </w:r>
          </w:p>
        </w:tc>
        <w:tc>
          <w:tcPr>
            <w:tcW w:type="dxa" w:w="1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High (3x)</w:t>
            </w:r>
          </w:p>
        </w:tc>
        <w:tc>
          <w:tcPr>
            <w:tcW w:type="dxa" w:w="2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20.4 / 30</w:t>
            </w:r>
          </w:p>
        </w:tc>
      </w:tr>
      <w:tr>
        <w:tc>
          <w:tcPr>
            <w:tcW w:type="dxa" w:w="4000"/>
            <w:tcBorders>
              <w:top w:val="single" w:color="CCCCCC" w:sz="1"/>
              <w:left w:val="single" w:color="CCCCCC" w:sz="1"/>
              <w:bottom w:val="single" w:color="CCCCCC" w:sz="1"/>
              <w:right w:val="single" w:color="CCCCCC" w:sz="1"/>
            </w:tcBorders>
            <w:shd w:fill="F9FAFB"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B. Information Architecture &amp; Content</w:t>
            </w:r>
          </w:p>
        </w:tc>
        <w:tc>
          <w:tcPr>
            <w:tcW w:type="dxa" w:w="1340"/>
            <w:tcBorders>
              <w:top w:val="single" w:color="CCCCCC" w:sz="1"/>
              <w:left w:val="single" w:color="CCCCCC" w:sz="1"/>
              <w:bottom w:val="single" w:color="CCCCCC" w:sz="1"/>
              <w:right w:val="single" w:color="CCCCCC" w:sz="1"/>
            </w:tcBorders>
            <w:shd w:fill="F9FAFB"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7.4</w:t>
            </w:r>
          </w:p>
        </w:tc>
        <w:tc>
          <w:tcPr>
            <w:tcW w:type="dxa" w:w="1340"/>
            <w:tcBorders>
              <w:top w:val="single" w:color="CCCCCC" w:sz="1"/>
              <w:left w:val="single" w:color="CCCCCC" w:sz="1"/>
              <w:bottom w:val="single" w:color="CCCCCC" w:sz="1"/>
              <w:right w:val="single" w:color="CCCCCC" w:sz="1"/>
            </w:tcBorders>
            <w:shd w:fill="F9FAFB"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High (3x)</w:t>
            </w:r>
          </w:p>
        </w:tc>
        <w:tc>
          <w:tcPr>
            <w:tcW w:type="dxa" w:w="2680"/>
            <w:tcBorders>
              <w:top w:val="single" w:color="CCCCCC" w:sz="1"/>
              <w:left w:val="single" w:color="CCCCCC" w:sz="1"/>
              <w:bottom w:val="single" w:color="CCCCCC" w:sz="1"/>
              <w:right w:val="single" w:color="CCCCCC" w:sz="1"/>
            </w:tcBorders>
            <w:shd w:fill="F9FAFB"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22.2 / 30</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 Conversion Architecture</w:t>
            </w:r>
          </w:p>
        </w:tc>
        <w:tc>
          <w:tcPr>
            <w:tcW w:type="dxa" w:w="1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5.6</w:t>
            </w:r>
          </w:p>
        </w:tc>
        <w:tc>
          <w:tcPr>
            <w:tcW w:type="dxa" w:w="1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High (3x)</w:t>
            </w:r>
          </w:p>
        </w:tc>
        <w:tc>
          <w:tcPr>
            <w:tcW w:type="dxa" w:w="2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16.8 / 30</w:t>
            </w:r>
          </w:p>
        </w:tc>
      </w:tr>
      <w:tr>
        <w:tc>
          <w:tcPr>
            <w:tcW w:type="dxa" w:w="4000"/>
            <w:tcBorders>
              <w:top w:val="single" w:color="CCCCCC" w:sz="1"/>
              <w:left w:val="single" w:color="CCCCCC" w:sz="1"/>
              <w:bottom w:val="single" w:color="CCCCCC" w:sz="1"/>
              <w:right w:val="single" w:color="CCCCCC" w:sz="1"/>
            </w:tcBorders>
            <w:shd w:fill="F9FAFB"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D. Visual Design Quality</w:t>
            </w:r>
          </w:p>
        </w:tc>
        <w:tc>
          <w:tcPr>
            <w:tcW w:type="dxa" w:w="1340"/>
            <w:tcBorders>
              <w:top w:val="single" w:color="CCCCCC" w:sz="1"/>
              <w:left w:val="single" w:color="CCCCCC" w:sz="1"/>
              <w:bottom w:val="single" w:color="CCCCCC" w:sz="1"/>
              <w:right w:val="single" w:color="CCCCCC" w:sz="1"/>
            </w:tcBorders>
            <w:shd w:fill="F9FAFB"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6.6</w:t>
            </w:r>
          </w:p>
        </w:tc>
        <w:tc>
          <w:tcPr>
            <w:tcW w:type="dxa" w:w="1340"/>
            <w:tcBorders>
              <w:top w:val="single" w:color="CCCCCC" w:sz="1"/>
              <w:left w:val="single" w:color="CCCCCC" w:sz="1"/>
              <w:bottom w:val="single" w:color="CCCCCC" w:sz="1"/>
              <w:right w:val="single" w:color="CCCCCC" w:sz="1"/>
            </w:tcBorders>
            <w:shd w:fill="F9FAFB"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Medium (2x)</w:t>
            </w:r>
          </w:p>
        </w:tc>
        <w:tc>
          <w:tcPr>
            <w:tcW w:type="dxa" w:w="2680"/>
            <w:tcBorders>
              <w:top w:val="single" w:color="CCCCCC" w:sz="1"/>
              <w:left w:val="single" w:color="CCCCCC" w:sz="1"/>
              <w:bottom w:val="single" w:color="CCCCCC" w:sz="1"/>
              <w:right w:val="single" w:color="CCCCCC" w:sz="1"/>
            </w:tcBorders>
            <w:shd w:fill="F9FAFB"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13.2 / 20</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E. Interaction Design &amp; Micro-UX</w:t>
            </w:r>
          </w:p>
        </w:tc>
        <w:tc>
          <w:tcPr>
            <w:tcW w:type="dxa" w:w="1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5.8</w:t>
            </w:r>
          </w:p>
        </w:tc>
        <w:tc>
          <w:tcPr>
            <w:tcW w:type="dxa" w:w="1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Medium (2x)</w:t>
            </w:r>
          </w:p>
        </w:tc>
        <w:tc>
          <w:tcPr>
            <w:tcW w:type="dxa" w:w="2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11.6 / 20</w:t>
            </w:r>
          </w:p>
        </w:tc>
      </w:tr>
      <w:tr>
        <w:tc>
          <w:tcPr>
            <w:tcW w:type="dxa" w:w="4000"/>
            <w:tcBorders>
              <w:top w:val="single" w:color="CCCCCC" w:sz="1"/>
              <w:left w:val="single" w:color="CCCCCC" w:sz="1"/>
              <w:bottom w:val="single" w:color="CCCCCC" w:sz="1"/>
              <w:right w:val="single" w:color="CCCCCC" w:sz="1"/>
            </w:tcBorders>
            <w:shd w:fill="F9FAFB"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F. Responsive Design &amp; Cross-Device</w:t>
            </w:r>
          </w:p>
        </w:tc>
        <w:tc>
          <w:tcPr>
            <w:tcW w:type="dxa" w:w="1340"/>
            <w:tcBorders>
              <w:top w:val="single" w:color="CCCCCC" w:sz="1"/>
              <w:left w:val="single" w:color="CCCCCC" w:sz="1"/>
              <w:bottom w:val="single" w:color="CCCCCC" w:sz="1"/>
              <w:right w:val="single" w:color="CCCCCC" w:sz="1"/>
            </w:tcBorders>
            <w:shd w:fill="F9FAFB"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6.4</w:t>
            </w:r>
          </w:p>
        </w:tc>
        <w:tc>
          <w:tcPr>
            <w:tcW w:type="dxa" w:w="1340"/>
            <w:tcBorders>
              <w:top w:val="single" w:color="CCCCCC" w:sz="1"/>
              <w:left w:val="single" w:color="CCCCCC" w:sz="1"/>
              <w:bottom w:val="single" w:color="CCCCCC" w:sz="1"/>
              <w:right w:val="single" w:color="CCCCCC" w:sz="1"/>
            </w:tcBorders>
            <w:shd w:fill="F9FAFB"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Medium (2x)</w:t>
            </w:r>
          </w:p>
        </w:tc>
        <w:tc>
          <w:tcPr>
            <w:tcW w:type="dxa" w:w="2680"/>
            <w:tcBorders>
              <w:top w:val="single" w:color="CCCCCC" w:sz="1"/>
              <w:left w:val="single" w:color="CCCCCC" w:sz="1"/>
              <w:bottom w:val="single" w:color="CCCCCC" w:sz="1"/>
              <w:right w:val="single" w:color="CCCCCC" w:sz="1"/>
            </w:tcBorders>
            <w:shd w:fill="F9FAFB"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12.8 / 20</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G. Accessibility</w:t>
            </w:r>
          </w:p>
        </w:tc>
        <w:tc>
          <w:tcPr>
            <w:tcW w:type="dxa" w:w="1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5.6</w:t>
            </w:r>
          </w:p>
        </w:tc>
        <w:tc>
          <w:tcPr>
            <w:tcW w:type="dxa" w:w="1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Medium (2x)</w:t>
            </w:r>
          </w:p>
        </w:tc>
        <w:tc>
          <w:tcPr>
            <w:tcW w:type="dxa" w:w="2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11.2 / 20</w:t>
            </w:r>
          </w:p>
        </w:tc>
      </w:tr>
      <w:tr>
        <w:tc>
          <w:tcPr>
            <w:tcW w:type="dxa" w:w="4000"/>
            <w:tcBorders>
              <w:top w:val="single" w:color="CCCCCC" w:sz="1"/>
              <w:left w:val="single" w:color="CCCCCC" w:sz="1"/>
              <w:bottom w:val="single" w:color="CCCCCC" w:sz="1"/>
              <w:right w:val="single" w:color="CCCCCC" w:sz="1"/>
            </w:tcBorders>
            <w:shd w:fill="F9FAFB"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H. Performance &amp; Technical Quality</w:t>
            </w:r>
          </w:p>
        </w:tc>
        <w:tc>
          <w:tcPr>
            <w:tcW w:type="dxa" w:w="1340"/>
            <w:tcBorders>
              <w:top w:val="single" w:color="CCCCCC" w:sz="1"/>
              <w:left w:val="single" w:color="CCCCCC" w:sz="1"/>
              <w:bottom w:val="single" w:color="CCCCCC" w:sz="1"/>
              <w:right w:val="single" w:color="CCCCCC" w:sz="1"/>
            </w:tcBorders>
            <w:shd w:fill="F9FAFB"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6.4</w:t>
            </w:r>
          </w:p>
        </w:tc>
        <w:tc>
          <w:tcPr>
            <w:tcW w:type="dxa" w:w="1340"/>
            <w:tcBorders>
              <w:top w:val="single" w:color="CCCCCC" w:sz="1"/>
              <w:left w:val="single" w:color="CCCCCC" w:sz="1"/>
              <w:bottom w:val="single" w:color="CCCCCC" w:sz="1"/>
              <w:right w:val="single" w:color="CCCCCC" w:sz="1"/>
            </w:tcBorders>
            <w:shd w:fill="F9FAFB"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Low-Med (1x)</w:t>
            </w:r>
          </w:p>
        </w:tc>
        <w:tc>
          <w:tcPr>
            <w:tcW w:type="dxa" w:w="2680"/>
            <w:tcBorders>
              <w:top w:val="single" w:color="CCCCCC" w:sz="1"/>
              <w:left w:val="single" w:color="CCCCCC" w:sz="1"/>
              <w:bottom w:val="single" w:color="CCCCCC" w:sz="1"/>
              <w:right w:val="single" w:color="CCCCCC" w:sz="1"/>
            </w:tcBorders>
            <w:shd w:fill="F9FAFB"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6.4 / 10</w:t>
            </w:r>
          </w:p>
        </w:tc>
      </w:tr>
      <w:tr>
        <w:tc>
          <w:tcPr>
            <w:tcW w:type="dxa" w:w="6680"/>
            <w:gridSpan w:val="3"/>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tcPr>
          <w:p>
            <w:r>
              <w:rPr>
                <w:rFonts w:ascii="Arial" w:cs="Arial" w:eastAsia="Arial" w:hAnsi="Arial"/>
                <w:b/>
                <w:bCs/>
                <w:color w:val="4F46E5"/>
                <w:sz w:val="22"/>
                <w:szCs w:val="22"/>
              </w:rPr>
              <w:t xml:space="preserve">WEIGHTED TOTAL</w:t>
            </w:r>
          </w:p>
        </w:tc>
        <w:tc>
          <w:tcPr>
            <w:tcW w:type="dxa" w:w="2680"/>
            <w:tcBorders>
              <w:top w:val="single" w:color="CCCCCC" w:sz="1"/>
              <w:left w:val="single" w:color="CCCCCC" w:sz="1"/>
              <w:bottom w:val="single" w:color="CCCCCC" w:sz="1"/>
              <w:right w:val="single" w:color="CCCCCC" w:sz="1"/>
            </w:tcBorders>
            <w:shd w:fill="EEF2FF" w:val="clear"/>
            <w:tcMar>
              <w:top w:type="dxa" w:w="60"/>
              <w:left w:type="dxa" w:w="100"/>
              <w:bottom w:type="dxa" w:w="60"/>
              <w:right w:type="dxa" w:w="100"/>
            </w:tcMar>
          </w:tcPr>
          <w:p>
            <w:pPr>
              <w:jc w:val="center"/>
            </w:pPr>
            <w:r>
              <w:rPr>
                <w:rFonts w:ascii="Arial" w:cs="Arial" w:eastAsia="Arial" w:hAnsi="Arial"/>
                <w:b/>
                <w:bCs/>
                <w:color w:val="4F46E5"/>
                <w:sz w:val="24"/>
                <w:szCs w:val="24"/>
              </w:rPr>
              <w:t xml:space="preserve">114.6 / 180 (63.7%)</w:t>
            </w:r>
          </w:p>
        </w:tc>
      </w:tr>
    </w:tbl>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Interpretation: 63.7% indicates a site that has strong content foundations but significant gaps in conversion infrastructure, trust signals, and consistency. The content quality (B category, 7.4) exceeds the presentation quality (D–E categories, 5.8–6.6). This is characteristic of a product-led team that has invested deeply in the actual platform but underinvested in the marketing wrapper.</w:t>
      </w:r>
    </w:p>
    <w:p>
      <w:r>
        <w:br w:type="page"/>
      </w:r>
    </w:p>
    <w:p>
      <w:pPr>
        <w:pStyle w:val="Heading1"/>
      </w:pPr>
      <w:r>
        <w:rPr>
          <w:b/>
          <w:bCs/>
        </w:rPr>
        <w:t xml:space="preserve">4. Prioritized Recommendations</w:t>
      </w:r>
    </w:p>
    <w:p>
      <w:pPr>
        <w:pBdr>
          <w:bottom w:val="single" w:color="4F46E5" w:sz="6" w:space="1"/>
        </w:pBdr>
        <w:spacing w:after="200" w:before="200"/>
      </w:pPr>
    </w:p>
    <w:p>
      <w:pPr>
        <w:pStyle w:val="Heading2"/>
      </w:pPr>
      <w:r>
        <w:rPr>
          <w:b/>
          <w:bCs/>
        </w:rPr>
        <w:t xml:space="preserve">P0 — Launch Blockers</w:t>
      </w:r>
    </w:p>
    <w:p>
      <w:pPr>
        <w:spacing w:after="120"/>
      </w:pPr>
      <w:r>
        <w:rPr>
          <w:rFonts w:ascii="Arial" w:cs="Arial" w:eastAsia="Arial" w:hAnsi="Arial"/>
          <w:sz w:val="22"/>
          <w:szCs w:val="22"/>
        </w:rPr>
        <w:t xml:space="preserve">Must fix before showing the site to any investor, enterprise prospect, or industry analyst.</w:t>
      </w:r>
    </w:p>
    <w:p>
      <w:pPr>
        <w:pStyle w:val="ListParagraph"/>
        <w:numPr>
          <w:ilvl w:val="0"/>
          <w:numId w:val="3"/>
        </w:numPr>
        <w:spacing w:after="60"/>
      </w:pPr>
      <w:r>
        <w:rPr>
          <w:rFonts w:ascii="Arial" w:cs="Arial" w:eastAsia="Arial" w:hAnsi="Arial"/>
          <w:b/>
          <w:bCs/>
          <w:sz w:val="22"/>
          <w:szCs w:val="22"/>
        </w:rPr>
        <w:t xml:space="preserve">Make / redirect to /landing instead of /login.</w:t>
      </w:r>
    </w:p>
    <w:p>
      <w:pPr>
        <w:spacing w:after="120"/>
      </w:pPr>
      <w:r>
        <w:rPr>
          <w:rFonts w:ascii="Arial" w:cs="Arial" w:eastAsia="Arial" w:hAnsi="Arial"/>
          <w:sz w:val="22"/>
          <w:szCs w:val="22"/>
        </w:rPr>
        <w:t xml:space="preserve">Problem: 100% of direct/organic traffic sees a login page with zero product context. Fix: Update middleware to redirect unauthenticated visitors from / to /landing. Keep /login accessible via nav link and direct URL. Effort: S. Impact: Converts the entire site from an “app login wall” to a marketing destination. This is the single highest-ROI change possible.</w:t>
      </w:r>
    </w:p>
    <w:p>
      <w:pPr>
        <w:pStyle w:val="ListParagraph"/>
        <w:numPr>
          <w:ilvl w:val="0"/>
          <w:numId w:val="3"/>
        </w:numPr>
        <w:spacing w:after="60"/>
      </w:pPr>
      <w:r>
        <w:rPr>
          <w:rFonts w:ascii="Arial" w:cs="Arial" w:eastAsia="Arial" w:hAnsi="Arial"/>
          <w:b/>
          <w:bCs/>
          <w:sz w:val="22"/>
          <w:szCs w:val="22"/>
        </w:rPr>
        <w:t xml:space="preserve">Unify auth page design (fix forgot-password page).</w:t>
      </w:r>
    </w:p>
    <w:p>
      <w:pPr>
        <w:spacing w:after="120"/>
      </w:pPr>
      <w:r>
        <w:rPr>
          <w:rFonts w:ascii="Arial" w:cs="Arial" w:eastAsia="Arial" w:hAnsi="Arial"/>
          <w:sz w:val="22"/>
          <w:szCs w:val="22"/>
        </w:rPr>
        <w:t xml:space="preserve">Problem: Forgot-password uses light-mode card design while login/register use dark gradient glass-morphism. Fix: Apply the login page’s dark gradient, dot-grid, and glass-morphism card to forgot-password (and reset-password). Copy the visual wrapper from login/page.tsx. Effort: S. Impact: Eliminates the most visible “unfinished product” signal in the auth flow.</w:t>
      </w:r>
    </w:p>
    <w:p>
      <w:pPr>
        <w:pStyle w:val="ListParagraph"/>
        <w:numPr>
          <w:ilvl w:val="0"/>
          <w:numId w:val="3"/>
        </w:numPr>
        <w:spacing w:after="60"/>
      </w:pPr>
      <w:r>
        <w:rPr>
          <w:rFonts w:ascii="Arial" w:cs="Arial" w:eastAsia="Arial" w:hAnsi="Arial"/>
          <w:b/>
          <w:bCs/>
          <w:sz w:val="22"/>
          <w:szCs w:val="22"/>
        </w:rPr>
        <w:t xml:space="preserve">Fix dead footer links (Privacy, Terms, Security, About, Careers).</w:t>
      </w:r>
    </w:p>
    <w:p>
      <w:pPr>
        <w:spacing w:after="120"/>
      </w:pPr>
      <w:r>
        <w:rPr>
          <w:rFonts w:ascii="Arial" w:cs="Arial" w:eastAsia="Arial" w:hAnsi="Arial"/>
          <w:sz w:val="22"/>
          <w:szCs w:val="22"/>
        </w:rPr>
        <w:t xml:space="preserve">Problem: All footer links under Legal and Company sections point to #. An enterprise legal/procurement team will check these links. Fix: Create minimal placeholder pages for Privacy Policy and Terms of Service at minimum. The Security page should exist even if brief. Effort: M. Impact: Prevents immediate credibility loss during enterprise due diligence.</w:t>
      </w:r>
    </w:p>
    <w:p>
      <w:pPr>
        <w:pStyle w:val="ListParagraph"/>
        <w:numPr>
          <w:ilvl w:val="0"/>
          <w:numId w:val="3"/>
        </w:numPr>
        <w:spacing w:after="60"/>
      </w:pPr>
      <w:r>
        <w:rPr>
          <w:rFonts w:ascii="Arial" w:cs="Arial" w:eastAsia="Arial" w:hAnsi="Arial"/>
          <w:b/>
          <w:bCs/>
          <w:sz w:val="22"/>
          <w:szCs w:val="22"/>
        </w:rPr>
        <w:t xml:space="preserve">Add registration Terms/Privacy acceptance.</w:t>
      </w:r>
    </w:p>
    <w:p>
      <w:pPr>
        <w:spacing w:after="120"/>
      </w:pPr>
      <w:r>
        <w:rPr>
          <w:rFonts w:ascii="Arial" w:cs="Arial" w:eastAsia="Arial" w:hAnsi="Arial"/>
          <w:sz w:val="22"/>
          <w:szCs w:val="22"/>
        </w:rPr>
        <w:t xml:space="preserve">Problem: Users can create accounts without agreeing to any terms. This is a legal liability. Fix: Add a checkbox or text link stating “By creating an account, you agree to our Terms of Service and Privacy Policy” on step 3 of registration. Effort: S. Impact: Legal compliance baseline for any SaaS product.</w:t>
      </w:r>
    </w:p>
    <w:p>
      <w:pPr>
        <w:pStyle w:val="Heading2"/>
      </w:pPr>
      <w:r>
        <w:rPr>
          <w:b/>
          <w:bCs/>
        </w:rPr>
        <w:t xml:space="preserve">P1 — High Impact (Fix Within 1 Sprint)</w:t>
      </w:r>
    </w:p>
    <w:p>
      <w:pPr>
        <w:pStyle w:val="ListParagraph"/>
        <w:numPr>
          <w:ilvl w:val="0"/>
          <w:numId w:val="5"/>
        </w:numPr>
        <w:spacing w:after="60"/>
      </w:pPr>
      <w:r>
        <w:rPr>
          <w:rFonts w:ascii="Arial" w:cs="Arial" w:eastAsia="Arial" w:hAnsi="Arial"/>
          <w:b/>
          <w:bCs/>
          <w:sz w:val="22"/>
          <w:szCs w:val="22"/>
        </w:rPr>
        <w:t xml:space="preserve">Add social proof section with named references.</w:t>
      </w:r>
    </w:p>
    <w:p>
      <w:pPr>
        <w:spacing w:after="120"/>
      </w:pPr>
      <w:r>
        <w:rPr>
          <w:rFonts w:ascii="Arial" w:cs="Arial" w:eastAsia="Arial" w:hAnsi="Arial"/>
          <w:sz w:val="22"/>
          <w:szCs w:val="22"/>
        </w:rPr>
        <w:t xml:space="preserve">Problem: Zero customer logos, testimonials, or case studies. Fix: Add a “Trusted by” section. If NDA-bound, use anonymized case studies (“A Top-10 US Bank”), design partner quotes, or advisory board member names. Even 3 logos dramatically increase credibility. Effort: M (requires business development coordination). Impact: High — social proof is the #1 trust signal for enterprise buyers.</w:t>
      </w:r>
    </w:p>
    <w:p>
      <w:pPr>
        <w:pStyle w:val="ListParagraph"/>
        <w:numPr>
          <w:ilvl w:val="0"/>
          <w:numId w:val="5"/>
        </w:numPr>
        <w:spacing w:after="60"/>
      </w:pPr>
      <w:r>
        <w:rPr>
          <w:rFonts w:ascii="Arial" w:cs="Arial" w:eastAsia="Arial" w:hAnsi="Arial"/>
          <w:b/>
          <w:bCs/>
          <w:sz w:val="22"/>
          <w:szCs w:val="22"/>
        </w:rPr>
        <w:t xml:space="preserve">Create a dedicated Security &amp; Compliance page.</w:t>
      </w:r>
    </w:p>
    <w:p>
      <w:pPr>
        <w:spacing w:after="120"/>
      </w:pPr>
      <w:r>
        <w:rPr>
          <w:rFonts w:ascii="Arial" w:cs="Arial" w:eastAsia="Arial" w:hAnsi="Arial"/>
          <w:sz w:val="22"/>
          <w:szCs w:val="22"/>
        </w:rPr>
        <w:t xml:space="preserve">Problem: Enterprise security teams expect a /security page with encryption standards, data residency, SOC 2 status, penetration testing cadence, and incident response policy. Fix: Create /landing/security with the security posture, compliance certifications (achieved and in-progress), and data handling practices. Effort: M. Impact: Unblocks enterprise procurement evaluation.</w:t>
      </w:r>
    </w:p>
    <w:p>
      <w:pPr>
        <w:pStyle w:val="ListParagraph"/>
        <w:numPr>
          <w:ilvl w:val="0"/>
          <w:numId w:val="5"/>
        </w:numPr>
        <w:spacing w:after="60"/>
      </w:pPr>
      <w:r>
        <w:rPr>
          <w:rFonts w:ascii="Arial" w:cs="Arial" w:eastAsia="Arial" w:hAnsi="Arial"/>
          <w:b/>
          <w:bCs/>
          <w:sz w:val="22"/>
          <w:szCs w:val="22"/>
        </w:rPr>
        <w:t xml:space="preserve">Add real product screenshots or interactive demo.</w:t>
      </w:r>
    </w:p>
    <w:p>
      <w:pPr>
        <w:spacing w:after="120"/>
      </w:pPr>
      <w:r>
        <w:rPr>
          <w:rFonts w:ascii="Arial" w:cs="Arial" w:eastAsia="Arial" w:hAnsi="Arial"/>
          <w:sz w:val="22"/>
          <w:szCs w:val="22"/>
        </w:rPr>
        <w:t xml:space="preserve">Problem: The only product visual is an HTML/CSS mockup. Fix: Add 3–5 annotated screenshots of the actual product (governance dashboard, blueprint review, audit trail). Consider an embedded Loom video or interactive demo (e.g., Navattic, Storylane). Effort: M. Impact: Converts the landing page from “claims” to “evidence.”</w:t>
      </w:r>
    </w:p>
    <w:p>
      <w:pPr>
        <w:pStyle w:val="ListParagraph"/>
        <w:numPr>
          <w:ilvl w:val="0"/>
          <w:numId w:val="5"/>
        </w:numPr>
        <w:spacing w:after="60"/>
      </w:pPr>
      <w:r>
        <w:rPr>
          <w:rFonts w:ascii="Arial" w:cs="Arial" w:eastAsia="Arial" w:hAnsi="Arial"/>
          <w:b/>
          <w:bCs/>
          <w:sz w:val="22"/>
          <w:szCs w:val="22"/>
        </w:rPr>
        <w:t xml:space="preserve">Link templates page from landing navigation.</w:t>
      </w:r>
    </w:p>
    <w:p>
      <w:pPr>
        <w:spacing w:after="120"/>
      </w:pPr>
      <w:r>
        <w:rPr>
          <w:rFonts w:ascii="Arial" w:cs="Arial" w:eastAsia="Arial" w:hAnsi="Arial"/>
          <w:sz w:val="22"/>
          <w:szCs w:val="22"/>
        </w:rPr>
        <w:t xml:space="preserve">Problem: The /templates page is the strongest “show don’t tell” asset but is invisible to marketing visitors. Fix: Add a “Templates” link to the landing nav. Add a global nav bar to the templates page. Add a CTA banner: “Like what you see? Request access to customize these agents.” Effort: S. Impact: Provides tangible product evidence and an alternative conversion path.</w:t>
      </w:r>
    </w:p>
    <w:p>
      <w:pPr>
        <w:pStyle w:val="ListParagraph"/>
        <w:numPr>
          <w:ilvl w:val="0"/>
          <w:numId w:val="5"/>
        </w:numPr>
        <w:spacing w:after="60"/>
      </w:pPr>
      <w:r>
        <w:rPr>
          <w:rFonts w:ascii="Arial" w:cs="Arial" w:eastAsia="Arial" w:hAnsi="Arial"/>
          <w:b/>
          <w:bCs/>
          <w:sz w:val="22"/>
          <w:szCs w:val="22"/>
        </w:rPr>
        <w:t xml:space="preserve">Convert landing page to server-rendered.</w:t>
      </w:r>
    </w:p>
    <w:p>
      <w:pPr>
        <w:spacing w:after="120"/>
      </w:pPr>
      <w:r>
        <w:rPr>
          <w:rFonts w:ascii="Arial" w:cs="Arial" w:eastAsia="Arial" w:hAnsi="Arial"/>
          <w:sz w:val="22"/>
          <w:szCs w:val="22"/>
        </w:rPr>
        <w:t xml:space="preserve">Problem: The entire landing page is client-rendered (“use client”), hurting SEO. Fix: Refactor to server component with client islands for interactive elements (RequestAccessModal, mobile menu, scroll animations). Effort: M. Impact: Enables Google to index full page content; improves Core Web Vitals.</w:t>
      </w:r>
    </w:p>
    <w:p>
      <w:pPr>
        <w:pStyle w:val="Heading2"/>
      </w:pPr>
      <w:r>
        <w:rPr>
          <w:b/>
          <w:bCs/>
        </w:rPr>
        <w:t xml:space="preserve">P2 — Medium Impact (Fix Within 1 Month)</w:t>
      </w:r>
    </w:p>
    <w:p>
      <w:pPr>
        <w:pStyle w:val="ListParagraph"/>
        <w:numPr>
          <w:ilvl w:val="0"/>
          <w:numId w:val="6"/>
        </w:numPr>
        <w:spacing w:after="60"/>
      </w:pPr>
      <w:r>
        <w:rPr>
          <w:rFonts w:ascii="Arial" w:cs="Arial" w:eastAsia="Arial" w:hAnsi="Arial"/>
          <w:b/>
          <w:bCs/>
          <w:sz w:val="22"/>
          <w:szCs w:val="22"/>
        </w:rPr>
        <w:t xml:space="preserve">Fix accessibility issues on auth pages.</w:t>
      </w:r>
    </w:p>
    <w:p>
      <w:pPr>
        <w:spacing w:after="120"/>
      </w:pPr>
      <w:r>
        <w:rPr>
          <w:rFonts w:ascii="Arial" w:cs="Arial" w:eastAsia="Arial" w:hAnsi="Arial"/>
          <w:sz w:val="22"/>
          <w:szCs w:val="22"/>
        </w:rPr>
        <w:t xml:space="preserve">Replace custom checkbox div with native &lt;input type=“checkbox”&gt; or add role/aria-checked/keyboard handlers. Add aria-describedby linking error messages to form fields. Add aria-live=“polite” to error message containers. Increase contrast on text-white/40 elements to text-white/70. Effort: S. Impact: WCAG AA compliance; prevents accessibility-related objections during enterprise procurement.</w:t>
      </w:r>
    </w:p>
    <w:p>
      <w:pPr>
        <w:pStyle w:val="ListParagraph"/>
        <w:numPr>
          <w:ilvl w:val="0"/>
          <w:numId w:val="6"/>
        </w:numPr>
        <w:spacing w:after="60"/>
      </w:pPr>
      <w:r>
        <w:rPr>
          <w:rFonts w:ascii="Arial" w:cs="Arial" w:eastAsia="Arial" w:hAnsi="Arial"/>
          <w:b/>
          <w:bCs/>
          <w:sz w:val="22"/>
          <w:szCs w:val="22"/>
        </w:rPr>
        <w:t xml:space="preserve">Add inline password validation on registration.</w:t>
      </w:r>
    </w:p>
    <w:p>
      <w:pPr>
        <w:spacing w:after="120"/>
      </w:pPr>
      <w:r>
        <w:rPr>
          <w:rFonts w:ascii="Arial" w:cs="Arial" w:eastAsia="Arial" w:hAnsi="Arial"/>
          <w:sz w:val="22"/>
          <w:szCs w:val="22"/>
        </w:rPr>
        <w:t xml:space="preserve">Show password requirements (8+ characters, etc.) as a checklist below the password field. Validate in real-time as the user types. Show a strength indicator. Effort: S. Impact: Reduces registration abandonment; communicates security consciousness.</w:t>
      </w:r>
    </w:p>
    <w:p>
      <w:pPr>
        <w:pStyle w:val="ListParagraph"/>
        <w:numPr>
          <w:ilvl w:val="0"/>
          <w:numId w:val="6"/>
        </w:numPr>
        <w:spacing w:after="60"/>
      </w:pPr>
      <w:r>
        <w:rPr>
          <w:rFonts w:ascii="Arial" w:cs="Arial" w:eastAsia="Arial" w:hAnsi="Arial"/>
          <w:b/>
          <w:bCs/>
          <w:sz w:val="22"/>
          <w:szCs w:val="22"/>
        </w:rPr>
        <w:t xml:space="preserve">Add pricing or contact-sales page.</w:t>
      </w:r>
    </w:p>
    <w:p>
      <w:pPr>
        <w:spacing w:after="120"/>
      </w:pPr>
      <w:r>
        <w:rPr>
          <w:rFonts w:ascii="Arial" w:cs="Arial" w:eastAsia="Arial" w:hAnsi="Arial"/>
          <w:sz w:val="22"/>
          <w:szCs w:val="22"/>
        </w:rPr>
        <w:t xml:space="preserve">Enterprise buyers need to understand packaging before engaging sales. Even a simple “Contact Sales for Pricing” page with packaging tiers (e.g., Starter, Enterprise, White-Label) helps qualify leads. The current “Request Early Access” CTA is appropriate for early stage but should be supplemented with a pricing anchor. Effort: M. Impact: Helps buyers self-qualify and gives the sales team warmer leads.</w:t>
      </w:r>
    </w:p>
    <w:p>
      <w:pPr>
        <w:pStyle w:val="Heading2"/>
      </w:pPr>
      <w:r>
        <w:rPr>
          <w:b/>
          <w:bCs/>
        </w:rPr>
        <w:t xml:space="preserve">P3 — Polish (Nice to Have)</w:t>
      </w:r>
    </w:p>
    <w:p>
      <w:pPr>
        <w:pStyle w:val="ListParagraph"/>
        <w:numPr>
          <w:ilvl w:val="0"/>
          <w:numId w:val="7"/>
        </w:numPr>
        <w:spacing w:after="60"/>
      </w:pPr>
      <w:r>
        <w:rPr>
          <w:rFonts w:ascii="Arial" w:cs="Arial" w:eastAsia="Arial" w:hAnsi="Arial"/>
          <w:b/>
          <w:bCs/>
          <w:sz w:val="22"/>
          <w:szCs w:val="22"/>
        </w:rPr>
        <w:t xml:space="preserve">Add custom illustrations or brand imagery.</w:t>
      </w:r>
    </w:p>
    <w:p>
      <w:pPr>
        <w:spacing w:after="120"/>
      </w:pPr>
      <w:r>
        <w:rPr>
          <w:rFonts w:ascii="Arial" w:cs="Arial" w:eastAsia="Arial" w:hAnsi="Arial"/>
          <w:sz w:val="22"/>
          <w:szCs w:val="22"/>
        </w:rPr>
        <w:t xml:space="preserve">Replace generic Lucide icons with custom illustrations for the governance pillars, architecture diagram, and persona cards. Consider commissioning a brand illustration style (like Datadog’s dog mascot or Linear’s gradient style). Effort: L. Impact: Elevates brand perception from “well-executed template” to “distinctive enterprise brand.”</w:t>
      </w:r>
    </w:p>
    <w:p>
      <w:pPr>
        <w:pStyle w:val="ListParagraph"/>
        <w:numPr>
          <w:ilvl w:val="0"/>
          <w:numId w:val="7"/>
        </w:numPr>
        <w:spacing w:after="60"/>
      </w:pPr>
      <w:r>
        <w:rPr>
          <w:rFonts w:ascii="Arial" w:cs="Arial" w:eastAsia="Arial" w:hAnsi="Arial"/>
          <w:b/>
          <w:bCs/>
          <w:sz w:val="22"/>
          <w:szCs w:val="22"/>
        </w:rPr>
        <w:t xml:space="preserve">Add FAQ section to landing page.</w:t>
      </w:r>
    </w:p>
    <w:p>
      <w:pPr>
        <w:spacing w:after="120"/>
      </w:pPr>
      <w:r>
        <w:rPr>
          <w:rFonts w:ascii="Arial" w:cs="Arial" w:eastAsia="Arial" w:hAnsi="Arial"/>
          <w:sz w:val="22"/>
          <w:szCs w:val="22"/>
        </w:rPr>
        <w:t xml:space="preserve">Cover: data residency options, integration requirements, implementation timeline, SOC 2/HIPAA certification status, white-label customization scope. An FAQ section preemptively addresses buyer objections and reduces sales cycle friction. Effort: S. Impact: Reduces repetitive sales questions; addresses long-tail search queries.</w:t>
      </w:r>
    </w:p>
    <w:p>
      <w:pPr>
        <w:pStyle w:val="ListParagraph"/>
        <w:numPr>
          <w:ilvl w:val="0"/>
          <w:numId w:val="7"/>
        </w:numPr>
        <w:spacing w:after="60"/>
      </w:pPr>
      <w:r>
        <w:rPr>
          <w:rFonts w:ascii="Arial" w:cs="Arial" w:eastAsia="Arial" w:hAnsi="Arial"/>
          <w:b/>
          <w:bCs/>
          <w:sz w:val="22"/>
          <w:szCs w:val="22"/>
        </w:rPr>
        <w:t xml:space="preserve">Add subtle loading/transition states.</w:t>
      </w:r>
    </w:p>
    <w:p>
      <w:pPr>
        <w:spacing w:after="120"/>
      </w:pPr>
      <w:r>
        <w:rPr>
          <w:rFonts w:ascii="Arial" w:cs="Arial" w:eastAsia="Arial" w:hAnsi="Arial"/>
          <w:sz w:val="22"/>
          <w:szCs w:val="22"/>
        </w:rPr>
        <w:t xml:space="preserve">The “Sign in” button shows “Signing in...” text but no spinner. The “Send reset link” shows “Sending...” similarly. Add subtle spinner icons or progress indicators to match the polish level of the rest of the UI. Effort: S. Impact: Small polish improvement; signals attention to detail.</w:t>
      </w:r>
    </w:p>
    <w:p>
      <w:r>
        <w:br w:type="page"/>
      </w:r>
    </w:p>
    <w:p>
      <w:pPr>
        <w:pStyle w:val="Heading1"/>
      </w:pPr>
      <w:r>
        <w:rPr>
          <w:b/>
          <w:bCs/>
        </w:rPr>
        <w:t xml:space="preserve">5. Competitor Benchmark</w:t>
      </w:r>
    </w:p>
    <w:p>
      <w:pPr>
        <w:pBdr>
          <w:bottom w:val="single" w:color="4F46E5" w:sz="6" w:space="1"/>
        </w:pBdr>
        <w:spacing w:after="200" w:before="200"/>
      </w:pPr>
    </w:p>
    <w:p>
      <w:pPr>
        <w:spacing w:after="120"/>
      </w:pPr>
      <w:r>
        <w:rPr>
          <w:rFonts w:ascii="Arial" w:cs="Arial" w:eastAsia="Arial" w:hAnsi="Arial"/>
          <w:sz w:val="22"/>
          <w:szCs w:val="22"/>
        </w:rPr>
        <w:t xml:space="preserve">Five things best-in-class enterprise AI/SaaS marketing pages do well that Intellios should emulate:</w:t>
      </w:r>
    </w:p>
    <w:p>
      <w:pPr>
        <w:pStyle w:val="Heading3"/>
      </w:pPr>
      <w:r>
        <w:rPr>
          <w:b/>
          <w:bCs/>
        </w:rPr>
        <w:t xml:space="preserve">5.1 Datadog — Product-Led Visual Storytelling</w:t>
      </w:r>
    </w:p>
    <w:p>
      <w:pPr>
        <w:spacing w:after="120"/>
      </w:pPr>
      <w:r>
        <w:rPr>
          <w:rFonts w:ascii="Arial" w:cs="Arial" w:eastAsia="Arial" w:hAnsi="Arial"/>
          <w:sz w:val="22"/>
          <w:szCs w:val="22"/>
        </w:rPr>
        <w:t xml:space="preserve">Datadog’s landing page features animated product screenshots, interactive dashboards, and real-time data visualizations. Every feature claim is accompanied by a product screenshot. Intellios takeaway: Replace the HTML mockup with 3–5 real, annotated product screenshots. Show the governance dashboard, audit trail, and blueprint review in action.</w:t>
      </w:r>
    </w:p>
    <w:p>
      <w:pPr>
        <w:pStyle w:val="Heading3"/>
      </w:pPr>
      <w:r>
        <w:rPr>
          <w:b/>
          <w:bCs/>
        </w:rPr>
        <w:t xml:space="preserve">5.2 Snowflake — Trust Infrastructure</w:t>
      </w:r>
    </w:p>
    <w:p>
      <w:pPr>
        <w:spacing w:after="120"/>
      </w:pPr>
      <w:r>
        <w:rPr>
          <w:rFonts w:ascii="Arial" w:cs="Arial" w:eastAsia="Arial" w:hAnsi="Arial"/>
          <w:sz w:val="22"/>
          <w:szCs w:val="22"/>
        </w:rPr>
        <w:t xml:space="preserve">Snowflake’s marketing site has a dedicated Trust Center (/trust) with real-time status, security certifications, compliance reports, and incident history. Every enterprise buyer evaluates this page. Intellios takeaway: Create a /security or /trust page, even if the initial version is brief. SOC 2 status, data encryption standards, and a contact for security inquiries are the minimum viable trust page.</w:t>
      </w:r>
    </w:p>
    <w:p>
      <w:pPr>
        <w:pStyle w:val="Heading3"/>
      </w:pPr>
      <w:r>
        <w:rPr>
          <w:b/>
          <w:bCs/>
        </w:rPr>
        <w:t xml:space="preserve">5.3 Scale AI — Named Customer Proof</w:t>
      </w:r>
    </w:p>
    <w:p>
      <w:pPr>
        <w:spacing w:after="120"/>
      </w:pPr>
      <w:r>
        <w:rPr>
          <w:rFonts w:ascii="Arial" w:cs="Arial" w:eastAsia="Arial" w:hAnsi="Arial"/>
          <w:sz w:val="22"/>
          <w:szCs w:val="22"/>
        </w:rPr>
        <w:t xml:space="preserve">Scale AI’s homepage features logos of Microsoft, Meta, OpenAI, and the US Army prominently above the fold. Each logo links to a detailed case study. Intellios takeaway: If you have design partners, get permission to use their logos. If NDA-bound, use anonymized case studies with enough specificity to be credible (“A Fortune 100 financial institution,” not “A large company”).</w:t>
      </w:r>
    </w:p>
    <w:p>
      <w:pPr>
        <w:pStyle w:val="Heading3"/>
      </w:pPr>
      <w:r>
        <w:rPr>
          <w:b/>
          <w:bCs/>
        </w:rPr>
        <w:t xml:space="preserve">5.4 Anthropic — Clear Information Architecture</w:t>
      </w:r>
    </w:p>
    <w:p>
      <w:pPr>
        <w:spacing w:after="120"/>
      </w:pPr>
      <w:r>
        <w:rPr>
          <w:rFonts w:ascii="Arial" w:cs="Arial" w:eastAsia="Arial" w:hAnsi="Arial"/>
          <w:sz w:val="22"/>
          <w:szCs w:val="22"/>
        </w:rPr>
        <w:t xml:space="preserve">Anthropic’s site has distinct pages for Research, Products, Company, and News. Each persona finds their content without wading through irrelevant sections. Intellios takeaway: As the product matures, break the single landing page into persona-specific pages: /for/compliance-officers, /for/platform-teams, /for/ciso. Each page should speak directly to one buyer’s pain and workflow.</w:t>
      </w:r>
    </w:p>
    <w:p>
      <w:pPr>
        <w:pStyle w:val="Heading3"/>
      </w:pPr>
      <w:r>
        <w:rPr>
          <w:b/>
          <w:bCs/>
        </w:rPr>
        <w:t xml:space="preserve">5.5 Linear — Auth Page as Brand Moment</w:t>
      </w:r>
    </w:p>
    <w:p>
      <w:pPr>
        <w:spacing w:after="120"/>
      </w:pPr>
      <w:r>
        <w:rPr>
          <w:rFonts w:ascii="Arial" w:cs="Arial" w:eastAsia="Arial" w:hAnsi="Arial"/>
          <w:sz w:val="22"/>
          <w:szCs w:val="22"/>
        </w:rPr>
        <w:t xml:space="preserve">Linear’s login page features a left panel with a product visualization and tagline alongside the auth form. The login page IS a marketing surface. Intellios takeaway: Add a left panel to the login page with a product tagline, key differentiator, or rotating customer quote. Convert the “dead end” login page into a brand touchpoint.</w:t>
      </w:r>
    </w:p>
    <w:p>
      <w:pPr>
        <w:spacing w:after="120"/>
      </w:pPr>
      <w:r>
        <w:rPr>
          <w:rFonts w:ascii="Arial" w:cs="Arial" w:eastAsia="Arial" w:hAnsi="Arial"/>
          <w:sz w:val="22"/>
          <w:szCs w:val="22"/>
        </w:rPr>
        <w:t xml:space="preserve"/>
      </w:r>
    </w:p>
    <w:p>
      <w:pPr>
        <w:pBdr>
          <w:bottom w:val="single" w:color="4F46E5" w:sz="6" w:space="1"/>
        </w:pBdr>
        <w:spacing w:after="200" w:before="200"/>
      </w:pPr>
    </w:p>
    <w:p>
      <w:pPr>
        <w:spacing w:before="400"/>
        <w:jc w:val="center"/>
      </w:pPr>
      <w:r>
        <w:rPr>
          <w:rFonts w:ascii="Arial" w:cs="Arial" w:eastAsia="Arial" w:hAnsi="Arial"/>
          <w:i/>
          <w:iCs/>
          <w:color w:val="9CA3AF"/>
          <w:sz w:val="20"/>
          <w:szCs w:val="20"/>
        </w:rPr>
        <w:t xml:space="preserve">End of Audit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CA3AF"/>
        <w:sz w:val="16"/>
        <w:szCs w:val="16"/>
      </w:rPr>
      <w:t xml:space="preserve">Page </w:t>
    </w:r>
    <w:r>
      <w:rPr>
        <w:rFonts w:ascii="Arial" w:cs="Arial" w:eastAsia="Arial" w:hAnsi="Arial"/>
        <w:color w:val="9CA3A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Arial" w:cs="Arial" w:eastAsia="Arial" w:hAnsi="Arial"/>
        <w:color w:val="9CA3AF"/>
        <w:sz w:val="16"/>
        <w:szCs w:val="16"/>
      </w:rPr>
      <w:t xml:space="preserve">Intellios Marketing UX Audit</w:t>
    </w:r>
    <w:r>
      <w:rPr>
        <w:rFonts w:ascii="Arial" w:cs="Arial" w:eastAsia="Arial" w:hAnsi="Arial"/>
        <w:color w:val="9CA3AF"/>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E1B4B"/>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312E81"/>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338C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2026-04-06T17:25:23.367Z</dcterms:created>
  <dcterms:modified xsi:type="dcterms:W3CDTF">2026-04-06T17:25:23.367Z</dcterms:modified>
</cp:coreProperties>
</file>

<file path=docProps/custom.xml><?xml version="1.0" encoding="utf-8"?>
<Properties xmlns="http://schemas.openxmlformats.org/officeDocument/2006/custom-properties" xmlns:vt="http://schemas.openxmlformats.org/officeDocument/2006/docPropsVTypes"/>
</file>