
<file path=[Content_Types].xml><?xml version="1.0" encoding="utf-8"?>
<Types xmlns="http://schemas.openxmlformats.org/package/2006/content-types">
  <Default Extension="png" ContentType="image/png"/>
  <Default Extension="xlsx" ContentType="application/vnd.openxmlformats-officedocument.spreadsheetml.shee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6421" w14:textId="77777777" w:rsidR="00C859DE" w:rsidRDefault="00000000">
      <w:pPr>
        <w:spacing w:before="240" w:after="240" w:line="360" w:lineRule="auto"/>
        <w:ind w:left="720" w:firstLine="720"/>
        <w:rPr>
          <w:rFonts w:ascii="PMingLiU" w:eastAsia="PMingLiU" w:hAnsi="PMingLiU" w:cs="PMingLiU"/>
          <w:sz w:val="70"/>
          <w:szCs w:val="70"/>
        </w:rPr>
      </w:pPr>
      <w:r>
        <w:rPr>
          <w:rFonts w:ascii="PMingLiU" w:eastAsia="PMingLiU" w:hAnsi="PMingLiU" w:cs="PMingLiU"/>
          <w:sz w:val="70"/>
          <w:szCs w:val="70"/>
        </w:rPr>
        <w:t xml:space="preserve">  2022 至 2023 年度</w:t>
      </w:r>
      <w:commentRangeStart w:id="0"/>
      <w:r>
        <w:t>Comment here</w:t>
      </w:r>
      <w:commentRangeEnd w:id="0"/>
      <w:r>
        <w:commentReference w:id="0"/>
      </w:r>
    </w:p>
    <w:p w14:paraId="23E74299" w14:textId="77777777" w:rsidR="00C859DE" w:rsidRDefault="00000000">
      <w:pPr>
        <w:spacing w:before="240" w:after="240" w:line="360" w:lineRule="auto"/>
        <w:jc w:val="center"/>
        <w:rPr>
          <w:rFonts w:ascii="PMingLiU" w:eastAsia="PMingLiU" w:hAnsi="PMingLiU" w:cs="PMingLiU"/>
          <w:sz w:val="70"/>
          <w:szCs w:val="70"/>
        </w:rPr>
      </w:pPr>
      <w:r>
        <w:rPr>
          <w:rFonts w:ascii="PMingLiU" w:eastAsia="PMingLiU" w:hAnsi="PMingLiU" w:cs="PMingLiU"/>
          <w:sz w:val="70"/>
          <w:szCs w:val="70"/>
        </w:rPr>
        <w:t xml:space="preserve">香港大學工程學院 </w:t>
      </w:r>
    </w:p>
    <w:p w14:paraId="79F29DC1" w14:textId="77777777" w:rsidR="00C859DE" w:rsidRDefault="00000000">
      <w:pPr>
        <w:spacing w:before="240" w:after="240" w:line="360" w:lineRule="auto"/>
        <w:jc w:val="center"/>
        <w:rPr>
          <w:rFonts w:ascii="PMingLiU" w:eastAsia="PMingLiU" w:hAnsi="PMingLiU" w:cs="PMingLiU"/>
          <w:sz w:val="70"/>
          <w:szCs w:val="70"/>
        </w:rPr>
      </w:pPr>
      <w:r>
        <w:rPr>
          <w:rFonts w:ascii="PMingLiU" w:eastAsia="PMingLiU" w:hAnsi="PMingLiU" w:cs="PMingLiU"/>
          <w:sz w:val="70"/>
          <w:szCs w:val="70"/>
        </w:rPr>
        <w:t>交流學習團活動計劃書</w:t>
      </w:r>
    </w:p>
    <w:p w14:paraId="6B9ADB77" w14:textId="77777777" w:rsidR="00C859DE" w:rsidRDefault="00C859DE">
      <w:pPr>
        <w:spacing w:before="240" w:after="240" w:line="360" w:lineRule="auto"/>
        <w:jc w:val="center"/>
        <w:rPr>
          <w:rFonts w:ascii="PMingLiU" w:eastAsia="PMingLiU" w:hAnsi="PMingLiU" w:cs="PMingLiU"/>
          <w:sz w:val="60"/>
          <w:szCs w:val="60"/>
        </w:rPr>
      </w:pPr>
    </w:p>
    <w:p w14:paraId="4CD2350D" w14:textId="10101A5C" w:rsidR="00C859DE" w:rsidRPr="00FE3656" w:rsidRDefault="00000000">
      <w:pPr>
        <w:spacing w:before="240" w:after="240" w:line="360" w:lineRule="auto"/>
        <w:rPr>
          <w:rFonts w:ascii="PMingLiU" w:eastAsia="PMingLiU" w:hAnsi="PMingLiU" w:cs="PMingLiU"/>
          <w:sz w:val="24"/>
          <w:szCs w:val="24"/>
        </w:rPr>
      </w:pPr>
      <w:r>
        <w:rPr>
          <w:rFonts w:ascii="PMingLiU" w:eastAsia="PMingLiU" w:hAnsi="PMingLiU" w:cs="PMingLiU"/>
          <w:sz w:val="24"/>
          <w:szCs w:val="24"/>
        </w:rPr>
        <w:t>籌委會籌備小組</w:t>
      </w:r>
    </w:p>
    <w:p w14:paraId="374A04CC" w14:textId="77777777" w:rsidR="00C859DE" w:rsidRDefault="00000000">
      <w:pPr>
        <w:spacing w:before="240" w:after="240" w:line="360" w:lineRule="auto"/>
        <w:jc w:val="center"/>
        <w:rPr>
          <w:rFonts w:ascii="PMingLiU" w:eastAsia="PMingLiU" w:hAnsi="PMingLiU" w:cs="PMingLiU"/>
          <w:b/>
          <w:bCs/>
          <w:sz w:val="44"/>
          <w:szCs w:val="44"/>
        </w:rPr>
      </w:pPr>
      <w:r>
        <w:br w:type="page"/>
      </w:r>
    </w:p>
    <w:p w14:paraId="2DA6CE1E" w14:textId="77777777" w:rsidR="00C859DE" w:rsidRDefault="00000000">
      <w:pPr>
        <w:spacing w:before="240" w:after="240" w:line="360" w:lineRule="auto"/>
        <w:jc w:val="center"/>
        <w:rPr>
          <w:rFonts w:ascii="PMingLiU" w:eastAsia="PMingLiU" w:hAnsi="PMingLiU" w:cs="PMingLiU"/>
          <w:b/>
          <w:bCs/>
          <w:sz w:val="44"/>
          <w:szCs w:val="44"/>
        </w:rPr>
      </w:pPr>
      <w:r>
        <w:rPr>
          <w:rFonts w:ascii="PMingLiU" w:eastAsia="PMingLiU" w:hAnsi="PMingLiU" w:cs="PMingLiU"/>
          <w:b/>
          <w:bCs/>
          <w:sz w:val="44"/>
          <w:szCs w:val="44"/>
        </w:rPr>
        <w:lastRenderedPageBreak/>
        <w:t>目錄</w:t>
      </w:r>
    </w:p>
    <w:p w14:paraId="733E1DBA"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1.       引言</w:t>
      </w:r>
    </w:p>
    <w:p w14:paraId="310757B1" w14:textId="77777777" w:rsidR="00C859DE" w:rsidRDefault="00000000">
      <w:pPr>
        <w:ind w:left="720"/>
        <w:rPr>
          <w:rFonts w:ascii="PMingLiU" w:eastAsia="PMingLiU" w:hAnsi="PMingLiU" w:cs="PMingLiU"/>
          <w:sz w:val="20"/>
          <w:szCs w:val="20"/>
        </w:rPr>
      </w:pPr>
      <w:r>
        <w:rPr>
          <w:rFonts w:ascii="PMingLiU" w:eastAsia="PMingLiU" w:hAnsi="PMingLiU" w:cs="PMingLiU"/>
          <w:sz w:val="20"/>
          <w:szCs w:val="20"/>
        </w:rPr>
        <w:t>1.1      活動背景</w:t>
      </w:r>
    </w:p>
    <w:p w14:paraId="01BBE32B" w14:textId="77777777" w:rsidR="00C859DE" w:rsidRDefault="00000000">
      <w:pPr>
        <w:ind w:left="720"/>
        <w:rPr>
          <w:rFonts w:ascii="PMingLiU" w:eastAsia="PMingLiU" w:hAnsi="PMingLiU" w:cs="PMingLiU"/>
          <w:sz w:val="20"/>
          <w:szCs w:val="20"/>
        </w:rPr>
      </w:pPr>
      <w:r>
        <w:rPr>
          <w:rFonts w:ascii="PMingLiU" w:eastAsia="PMingLiU" w:hAnsi="PMingLiU" w:cs="PMingLiU"/>
          <w:sz w:val="20"/>
          <w:szCs w:val="20"/>
        </w:rPr>
        <w:t>1.2      活動目的</w:t>
      </w:r>
    </w:p>
    <w:p w14:paraId="20068F23" w14:textId="77777777" w:rsidR="00C859DE" w:rsidRDefault="00000000">
      <w:pPr>
        <w:ind w:left="720"/>
        <w:rPr>
          <w:rFonts w:ascii="PMingLiU" w:eastAsia="PMingLiU" w:hAnsi="PMingLiU" w:cs="PMingLiU"/>
          <w:sz w:val="20"/>
          <w:szCs w:val="20"/>
        </w:rPr>
      </w:pPr>
      <w:r>
        <w:rPr>
          <w:rFonts w:ascii="PMingLiU" w:eastAsia="PMingLiU" w:hAnsi="PMingLiU" w:cs="PMingLiU"/>
          <w:sz w:val="20"/>
          <w:szCs w:val="20"/>
        </w:rPr>
        <w:t>1.3      活動目標</w:t>
      </w:r>
    </w:p>
    <w:p w14:paraId="36ADF321"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2.       活動概要（名稱，機構，日期地點，團費，支出，收入）</w:t>
      </w:r>
    </w:p>
    <w:p w14:paraId="4A55196C"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3.       活動流程</w:t>
      </w:r>
    </w:p>
    <w:p w14:paraId="3DBD154F" w14:textId="77777777" w:rsidR="00C859DE" w:rsidRDefault="00000000">
      <w:pPr>
        <w:ind w:firstLine="720"/>
        <w:rPr>
          <w:rFonts w:ascii="PMingLiU" w:eastAsia="PMingLiU" w:hAnsi="PMingLiU" w:cs="PMingLiU"/>
          <w:sz w:val="20"/>
          <w:szCs w:val="20"/>
        </w:rPr>
      </w:pPr>
      <w:proofErr w:type="gramStart"/>
      <w:r>
        <w:rPr>
          <w:rFonts w:ascii="PMingLiU" w:eastAsia="PMingLiU" w:hAnsi="PMingLiU" w:cs="PMingLiU"/>
          <w:sz w:val="20"/>
          <w:szCs w:val="20"/>
        </w:rPr>
        <w:t>3.1  第一天</w:t>
      </w:r>
      <w:proofErr w:type="gramEnd"/>
      <w:r>
        <w:rPr>
          <w:rFonts w:ascii="PMingLiU" w:eastAsia="PMingLiU" w:hAnsi="PMingLiU" w:cs="PMingLiU"/>
          <w:sz w:val="20"/>
          <w:szCs w:val="20"/>
        </w:rPr>
        <w:t xml:space="preserve"> </w:t>
      </w:r>
    </w:p>
    <w:p w14:paraId="19E73FB5"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 xml:space="preserve">  怪奇飯店羽田和午餐</w:t>
      </w:r>
    </w:p>
    <w:p w14:paraId="5783CB95"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 xml:space="preserve">  日本航空「JAL SKY MUSEUM」飛航博物館</w:t>
      </w:r>
    </w:p>
    <w:p w14:paraId="7626023F" w14:textId="77777777" w:rsidR="00C859DE" w:rsidRDefault="00000000">
      <w:pPr>
        <w:ind w:left="720" w:firstLine="720"/>
        <w:rPr>
          <w:rFonts w:ascii="PMingLiU" w:eastAsia="PMingLiU" w:hAnsi="PMingLiU" w:cs="PMingLiU"/>
          <w:sz w:val="24"/>
          <w:szCs w:val="24"/>
        </w:rPr>
      </w:pPr>
      <w:r>
        <w:rPr>
          <w:rFonts w:ascii="PMingLiU" w:eastAsia="PMingLiU" w:hAnsi="PMingLiU" w:cs="PMingLiU"/>
          <w:sz w:val="20"/>
          <w:szCs w:val="20"/>
        </w:rPr>
        <w:t xml:space="preserve">    大眾澡堂- 幸之湯</w:t>
      </w:r>
    </w:p>
    <w:p w14:paraId="2B31130A" w14:textId="77777777" w:rsidR="00C859DE" w:rsidRDefault="00000000">
      <w:pPr>
        <w:ind w:firstLine="720"/>
        <w:rPr>
          <w:rFonts w:ascii="PMingLiU" w:eastAsia="PMingLiU" w:hAnsi="PMingLiU" w:cs="PMingLiU"/>
          <w:sz w:val="20"/>
          <w:szCs w:val="20"/>
        </w:rPr>
      </w:pPr>
      <w:r>
        <w:rPr>
          <w:rFonts w:ascii="PMingLiU" w:eastAsia="PMingLiU" w:hAnsi="PMingLiU" w:cs="PMingLiU"/>
          <w:sz w:val="20"/>
          <w:szCs w:val="20"/>
        </w:rPr>
        <w:t>3.2     第二天</w:t>
      </w:r>
    </w:p>
    <w:p w14:paraId="14B42CB2"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 xml:space="preserve"> 東京工業大學進行交流活動</w:t>
      </w:r>
    </w:p>
    <w:p w14:paraId="5F2355C5" w14:textId="77777777" w:rsidR="00C859DE" w:rsidRDefault="00000000">
      <w:pPr>
        <w:ind w:left="720" w:firstLine="720"/>
        <w:rPr>
          <w:rFonts w:ascii="PMingLiU" w:eastAsia="PMingLiU" w:hAnsi="PMingLiU" w:cs="PMingLiU"/>
          <w:sz w:val="20"/>
          <w:szCs w:val="20"/>
          <w:lang w:eastAsia="ja-JP"/>
        </w:rPr>
      </w:pPr>
      <w:r>
        <w:rPr>
          <w:rFonts w:ascii="PMingLiU" w:eastAsia="PMingLiU" w:hAnsi="PMingLiU" w:cs="PMingLiU"/>
          <w:sz w:val="20"/>
          <w:szCs w:val="20"/>
          <w:lang w:eastAsia="ja-JP"/>
        </w:rPr>
        <w:t>校園內午餐</w:t>
      </w:r>
    </w:p>
    <w:p w14:paraId="699E4DBE" w14:textId="77777777" w:rsidR="00C859DE" w:rsidRDefault="00000000">
      <w:pPr>
        <w:ind w:left="720" w:firstLine="720"/>
        <w:rPr>
          <w:rFonts w:ascii="PMingLiU" w:eastAsia="PMingLiU" w:hAnsi="PMingLiU" w:cs="PMingLiU"/>
          <w:sz w:val="24"/>
          <w:szCs w:val="24"/>
          <w:lang w:eastAsia="ja-JP"/>
        </w:rPr>
      </w:pPr>
      <w:r>
        <w:rPr>
          <w:rFonts w:ascii="PMingLiU" w:eastAsia="PMingLiU" w:hAnsi="PMingLiU" w:cs="PMingLiU"/>
          <w:sz w:val="20"/>
          <w:szCs w:val="20"/>
          <w:lang w:eastAsia="ja-JP"/>
        </w:rPr>
        <w:t>博物館・百年記念館</w:t>
      </w:r>
    </w:p>
    <w:p w14:paraId="7919506E" w14:textId="77777777" w:rsidR="00C859DE" w:rsidRDefault="00000000">
      <w:pPr>
        <w:ind w:firstLine="720"/>
        <w:rPr>
          <w:rFonts w:ascii="PMingLiU" w:eastAsia="PMingLiU" w:hAnsi="PMingLiU" w:cs="PMingLiU"/>
          <w:sz w:val="24"/>
          <w:szCs w:val="24"/>
        </w:rPr>
      </w:pPr>
      <w:r>
        <w:rPr>
          <w:rFonts w:ascii="PMingLiU" w:eastAsia="PMingLiU" w:hAnsi="PMingLiU" w:cs="PMingLiU"/>
          <w:sz w:val="20"/>
          <w:szCs w:val="20"/>
        </w:rPr>
        <w:t>3.3     第三天</w:t>
      </w:r>
    </w:p>
    <w:p w14:paraId="5B2F8711"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森永乳業工場</w:t>
      </w:r>
    </w:p>
    <w:p w14:paraId="495D81CC"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大田市場 三洋食堂午餐</w:t>
      </w:r>
    </w:p>
    <w:p w14:paraId="23495B28"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 xml:space="preserve"> 首都圈外郭放水路防洪設施</w:t>
      </w:r>
    </w:p>
    <w:p w14:paraId="503AE486" w14:textId="77777777" w:rsidR="00C859DE" w:rsidRDefault="00000000">
      <w:pPr>
        <w:ind w:left="720" w:firstLine="720"/>
        <w:rPr>
          <w:rFonts w:ascii="PMingLiU" w:eastAsia="PMingLiU" w:hAnsi="PMingLiU" w:cs="PMingLiU"/>
          <w:sz w:val="24"/>
          <w:szCs w:val="24"/>
        </w:rPr>
      </w:pPr>
      <w:r>
        <w:rPr>
          <w:rFonts w:ascii="PMingLiU" w:eastAsia="PMingLiU" w:hAnsi="PMingLiU" w:cs="PMingLiU"/>
          <w:sz w:val="20"/>
          <w:szCs w:val="20"/>
        </w:rPr>
        <w:t>居酒屋晚餐</w:t>
      </w:r>
    </w:p>
    <w:p w14:paraId="7E5DBE18" w14:textId="77777777" w:rsidR="00C859DE" w:rsidRDefault="00000000">
      <w:pPr>
        <w:ind w:firstLine="720"/>
        <w:rPr>
          <w:rFonts w:ascii="PMingLiU" w:eastAsia="PMingLiU" w:hAnsi="PMingLiU" w:cs="PMingLiU"/>
          <w:sz w:val="20"/>
          <w:szCs w:val="20"/>
        </w:rPr>
      </w:pPr>
      <w:r>
        <w:rPr>
          <w:rFonts w:ascii="PMingLiU" w:eastAsia="PMingLiU" w:hAnsi="PMingLiU" w:cs="PMingLiU"/>
          <w:sz w:val="20"/>
          <w:szCs w:val="20"/>
        </w:rPr>
        <w:t>3.4     第四天</w:t>
      </w:r>
    </w:p>
    <w:p w14:paraId="6D52A19E"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東京迪士尼樂園</w:t>
      </w:r>
    </w:p>
    <w:p w14:paraId="160F10D4"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回港</w:t>
      </w:r>
    </w:p>
    <w:p w14:paraId="5B05542E"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4        活動重點</w:t>
      </w:r>
    </w:p>
    <w:p w14:paraId="767B4744"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ab/>
      </w:r>
      <w:r>
        <w:rPr>
          <w:rFonts w:ascii="PMingLiU" w:eastAsia="PMingLiU" w:hAnsi="PMingLiU" w:cs="PMingLiU"/>
          <w:sz w:val="20"/>
          <w:szCs w:val="20"/>
        </w:rPr>
        <w:t>4.1    東京工業大學進行交流活動</w:t>
      </w:r>
    </w:p>
    <w:p w14:paraId="726A04BF" w14:textId="77777777" w:rsidR="00C859DE" w:rsidRDefault="00000000">
      <w:pPr>
        <w:ind w:firstLine="720"/>
        <w:rPr>
          <w:rFonts w:ascii="PMingLiU" w:eastAsia="PMingLiU" w:hAnsi="PMingLiU" w:cs="PMingLiU"/>
          <w:sz w:val="20"/>
          <w:szCs w:val="20"/>
        </w:rPr>
      </w:pPr>
      <w:r>
        <w:rPr>
          <w:rFonts w:ascii="PMingLiU" w:eastAsia="PMingLiU" w:hAnsi="PMingLiU" w:cs="PMingLiU"/>
          <w:sz w:val="20"/>
          <w:szCs w:val="20"/>
        </w:rPr>
        <w:t>4.2    首都圈外郭放水路防洪設施</w:t>
      </w:r>
    </w:p>
    <w:p w14:paraId="6844F5C4"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5.       工作計劃</w:t>
      </w:r>
    </w:p>
    <w:p w14:paraId="38954D13"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6.       交流團時間表</w:t>
      </w:r>
    </w:p>
    <w:p w14:paraId="52BAA8D1"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7.       宣傳計劃</w:t>
      </w:r>
    </w:p>
    <w:p w14:paraId="5DEB4EBD"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8.       財務計劃</w:t>
      </w:r>
    </w:p>
    <w:p w14:paraId="27388952"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 xml:space="preserve">9.       保險及意外   </w:t>
      </w:r>
    </w:p>
    <w:p w14:paraId="3EF8CE67"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10.     預期困難及應變措施</w:t>
      </w:r>
    </w:p>
    <w:p w14:paraId="6A13276C"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11.     參考資料</w:t>
      </w:r>
    </w:p>
    <w:p w14:paraId="7BDC4A8C" w14:textId="77777777" w:rsidR="00C859DE" w:rsidRDefault="00C859DE">
      <w:pPr>
        <w:spacing w:before="240" w:after="240" w:line="360" w:lineRule="auto"/>
        <w:rPr>
          <w:rFonts w:ascii="PMingLiU" w:eastAsia="PMingLiU" w:hAnsi="PMingLiU" w:cs="PMingLiU"/>
          <w:b/>
          <w:bCs/>
          <w:sz w:val="24"/>
          <w:szCs w:val="24"/>
        </w:rPr>
      </w:pPr>
    </w:p>
    <w:p w14:paraId="4D24E7C7" w14:textId="77777777" w:rsidR="00C859DE" w:rsidRDefault="00000000">
      <w:pPr>
        <w:spacing w:before="240" w:after="240" w:line="360" w:lineRule="auto"/>
        <w:rPr>
          <w:rFonts w:ascii="PMingLiU" w:eastAsia="PMingLiU" w:hAnsi="PMingLiU" w:cs="PMingLiU"/>
          <w:b/>
          <w:bCs/>
          <w:sz w:val="24"/>
          <w:szCs w:val="24"/>
        </w:rPr>
      </w:pPr>
      <w:r>
        <w:br w:type="page"/>
      </w:r>
    </w:p>
    <w:p w14:paraId="1BDC8E25" w14:textId="77777777" w:rsidR="00C859DE" w:rsidRDefault="00000000">
      <w:pPr>
        <w:spacing w:before="240" w:after="240" w:line="360" w:lineRule="auto"/>
        <w:rPr>
          <w:rFonts w:ascii="PMingLiU" w:eastAsia="PMingLiU" w:hAnsi="PMingLiU" w:cs="PMingLiU"/>
          <w:b/>
          <w:bCs/>
          <w:sz w:val="24"/>
          <w:szCs w:val="24"/>
        </w:rPr>
      </w:pPr>
      <w:r>
        <w:rPr>
          <w:rFonts w:ascii="PMingLiU" w:eastAsia="PMingLiU" w:hAnsi="PMingLiU" w:cs="PMingLiU"/>
          <w:b/>
          <w:bCs/>
          <w:sz w:val="24"/>
          <w:szCs w:val="24"/>
        </w:rPr>
        <w:lastRenderedPageBreak/>
        <w:t>1. 引言</w:t>
      </w:r>
    </w:p>
    <w:p w14:paraId="7745D48A"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1.1.  活動背景</w:t>
      </w:r>
    </w:p>
    <w:p w14:paraId="4CF7ADB0"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自2020年初，新冠病毒蔓延全球。香港政府為了保障市民的健康，頒佈了一系列禁令，包括控制市民進出邊境的活動。工程學會亦因此已經三年沒有舉辦交流學習團。工程學會在疫情前一直積極推行交流學習團。所謂“</w:t>
      </w:r>
      <w:proofErr w:type="gramStart"/>
      <w:r>
        <w:rPr>
          <w:rFonts w:ascii="PMingLiU" w:eastAsia="PMingLiU" w:hAnsi="PMingLiU" w:cs="PMingLiU"/>
          <w:sz w:val="24"/>
          <w:szCs w:val="24"/>
        </w:rPr>
        <w:t>讀萬卷書不如行萬里路”，</w:t>
      </w:r>
      <w:proofErr w:type="gramEnd"/>
      <w:r>
        <w:rPr>
          <w:rFonts w:ascii="PMingLiU" w:eastAsia="PMingLiU" w:hAnsi="PMingLiU" w:cs="PMingLiU"/>
          <w:sz w:val="24"/>
          <w:szCs w:val="24"/>
        </w:rPr>
        <w:t>本會認為交流學習團有助學生全面的成長及發展。過往多屆交流學習團一直備受好評，很多同學認為是一世難忘的經歷，非常值得參與。隨着疫情慢慢好轉，政府亦放鬆了一系列的防疫措施。今年本會舉辦交流學習團的計劃也終於獲得工程學院批准舉行。</w:t>
      </w:r>
    </w:p>
    <w:p w14:paraId="54CF2702"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u w:val="single"/>
        </w:rPr>
        <w:t>1.2.  活動目的</w:t>
      </w:r>
    </w:p>
    <w:p w14:paraId="2A184B0C"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 xml:space="preserve">本會舉辦是次交流學習團有四大目的。第一，本會希望參加者能深入了解日本當地文化。日本文化與香港文化差別甚大，有很多方面都值得學習。無論是日本人在工作上如何的敬業，抑或日本人對服務質素的執着，都十分值得我們敬佩。第二，本會希望參加者能加深了解日本工程行業的運作及應用的技術。日本工程一直明列世界前茅，也產生出很多世界級的建設及工程公司。透過參觀當地的工廠和建設。參加者可以探索日本工程是如何發展到這個地步，比較和香港工程的優缺點。在這些參觀中，參加者也可以了解日本正在運用什麼創新的工程技術，擴闊工程知識。第三，本會希望是次交流學習團能促進香港大學學生與當地學生及彼此的聯繫。認識其他國家的學生是一個難得的機會，參加者可以觀察在日本頂級大學的學生在學習，生活，或未來規劃上有什麼分別。參加者認識到有相同目標或興趣的學生，也可在將來保持聯繫，一起在學習上或職場中奮鬥。最後，本會希望參加者能應用所學到的工程知識。活學活用是一個鞏固知識的好辦法。在不同的參觀中，。本會給予了同學足夠機會去將所學的知識應用。無論在實驗室或工廠中，同學都有機會測試自己的工程知識，不讓其浪費。      </w:t>
      </w:r>
    </w:p>
    <w:p w14:paraId="0103E49A"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b/>
          <w:bCs/>
          <w:sz w:val="24"/>
          <w:szCs w:val="24"/>
        </w:rPr>
        <w:lastRenderedPageBreak/>
        <w:t>2. 活動概要</w:t>
      </w:r>
    </w:p>
    <w:p w14:paraId="0D65A83D"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以下為本會此次活動的概要。</w:t>
      </w:r>
    </w:p>
    <w:p w14:paraId="0FF3D9CC"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名稱：東京四天工程交流團</w:t>
      </w:r>
    </w:p>
    <w:p w14:paraId="18F7177A"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機構：香港大學工程學院屬下之工程學會</w:t>
      </w:r>
    </w:p>
    <w:p w14:paraId="5A4C7388"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日期：二零二三年四月七日至四月十日（四日三夜）</w:t>
      </w:r>
    </w:p>
    <w:p w14:paraId="41F9002F"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目的地：日本東京</w:t>
      </w:r>
    </w:p>
    <w:p w14:paraId="0888F015"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主題：智能科技，精湛技術</w:t>
      </w:r>
    </w:p>
    <w:p w14:paraId="086F036A"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人數：20人</w:t>
      </w:r>
    </w:p>
    <w:p w14:paraId="25E2AC50"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費用：$4000</w:t>
      </w:r>
    </w:p>
    <w:p w14:paraId="03F93263"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報名日期：二零二三年二月六日至二月二十四日（先到先得）</w:t>
      </w:r>
    </w:p>
    <w:p w14:paraId="0A0EB1B9"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此次活動的預期支出為港幣6000元，當中機票約佔一半，而收入約為港幣5300元，當中報名費佔約7成5，之後財務計劃會再作補充。</w:t>
      </w:r>
    </w:p>
    <w:p w14:paraId="70C4AAB2" w14:textId="77777777" w:rsidR="00C859DE" w:rsidRDefault="00C859DE">
      <w:pPr>
        <w:spacing w:line="360" w:lineRule="auto"/>
        <w:rPr>
          <w:rFonts w:ascii="PMingLiU" w:eastAsia="PMingLiU" w:hAnsi="PMingLiU" w:cs="PMingLiU"/>
          <w:sz w:val="24"/>
          <w:szCs w:val="24"/>
        </w:rPr>
      </w:pPr>
    </w:p>
    <w:p w14:paraId="43D55A1D" w14:textId="77777777" w:rsidR="00C859DE" w:rsidRDefault="00000000">
      <w:pPr>
        <w:spacing w:line="360" w:lineRule="auto"/>
        <w:rPr>
          <w:rFonts w:ascii="PMingLiU" w:eastAsia="PMingLiU" w:hAnsi="PMingLiU" w:cs="PMingLiU"/>
          <w:sz w:val="24"/>
          <w:szCs w:val="24"/>
        </w:rPr>
      </w:pPr>
      <w:r>
        <w:rPr>
          <w:rFonts w:ascii="PMingLiU" w:eastAsia="PMingLiU" w:hAnsi="PMingLiU" w:cs="PMingLiU"/>
          <w:b/>
          <w:bCs/>
          <w:sz w:val="24"/>
          <w:szCs w:val="24"/>
        </w:rPr>
        <w:t>3. 活動流程</w:t>
      </w:r>
    </w:p>
    <w:p w14:paraId="6AEED04B" w14:textId="77777777" w:rsidR="00C859DE" w:rsidRDefault="00C859DE">
      <w:pPr>
        <w:spacing w:line="360" w:lineRule="auto"/>
        <w:rPr>
          <w:rFonts w:ascii="PMingLiU" w:eastAsia="PMingLiU" w:hAnsi="PMingLiU" w:cs="PMingLiU"/>
          <w:sz w:val="24"/>
          <w:szCs w:val="24"/>
        </w:rPr>
      </w:pPr>
    </w:p>
    <w:p w14:paraId="66B9AB34"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以下會簡介活動各天的流程：</w:t>
      </w:r>
    </w:p>
    <w:p w14:paraId="7BE9E1B3"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第一天：首先早上6時於香港機場集合，並乘坐香港快運航空前往日本東京，預計12時抵達東京羽田機場，然後入住怪奇飯店羽田和午餐，約下午2時前往日本航空「JAL SKY MUSEUM」飛航博物館，5時半前往大眾澡堂- 幸之湯，7時後晚餐和自由活動。</w:t>
      </w:r>
    </w:p>
    <w:p w14:paraId="56847AE0" w14:textId="77777777" w:rsidR="00C859DE" w:rsidRDefault="00000000">
      <w:pPr>
        <w:spacing w:line="360" w:lineRule="auto"/>
        <w:ind w:firstLine="720"/>
        <w:rPr>
          <w:rFonts w:ascii="PMingLiU" w:eastAsia="PMingLiU" w:hAnsi="PMingLiU" w:cs="PMingLiU"/>
          <w:sz w:val="24"/>
          <w:szCs w:val="24"/>
          <w:lang w:eastAsia="ja-JP"/>
        </w:rPr>
      </w:pPr>
      <w:r>
        <w:rPr>
          <w:rFonts w:ascii="PMingLiU" w:eastAsia="PMingLiU" w:hAnsi="PMingLiU" w:cs="PMingLiU"/>
          <w:sz w:val="24"/>
          <w:szCs w:val="24"/>
          <w:lang w:eastAsia="ja-JP"/>
        </w:rPr>
        <w:t>第二天：首先早上7時會在酒店早餐，然後8時前往東京工業大學進行交流活動，此交流為本活動的重點項目，12時於校園內午餐，下午1時至3時會參觀精密與智能實驗室，然後3時至5時半會參觀博物館・百年記念館，之後是晚餐和自由活動的時間。</w:t>
      </w:r>
    </w:p>
    <w:p w14:paraId="336ABE1D"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lastRenderedPageBreak/>
        <w:t>第三天：同樣早上7時會在酒店早餐，然後8時前往參觀參觀森永乳業工場，11時半會參觀大田市場並於市場內的三洋食堂進食午餐，下午1時至6時會有另一個重點項目：參觀首都圈外郭放水路，6時至7時半會於居酒屋晚餐，之後自由活動。</w:t>
      </w:r>
    </w:p>
    <w:p w14:paraId="210C371A"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第四天：早上7時於酒店早餐後，8時至12時前往東京迪士尼樂園，然後回酒店收拾行李，下午1時半前往東京羽田機場，並於2時半前往機場，預期7時半到達香港機場，然後原地解散。</w:t>
      </w:r>
    </w:p>
    <w:p w14:paraId="6CAAAEBE" w14:textId="77777777" w:rsidR="00C859DE" w:rsidRDefault="00C859DE">
      <w:pPr>
        <w:spacing w:line="360" w:lineRule="auto"/>
        <w:rPr>
          <w:rFonts w:ascii="PMingLiU" w:eastAsia="PMingLiU" w:hAnsi="PMingLiU" w:cs="PMingLiU"/>
          <w:sz w:val="24"/>
          <w:szCs w:val="24"/>
        </w:rPr>
      </w:pPr>
    </w:p>
    <w:p w14:paraId="6AFEA81B" w14:textId="77777777" w:rsidR="00C859DE" w:rsidRDefault="00000000">
      <w:pPr>
        <w:spacing w:line="360" w:lineRule="auto"/>
        <w:rPr>
          <w:rFonts w:ascii="PMingLiU" w:eastAsia="PMingLiU" w:hAnsi="PMingLiU" w:cs="PMingLiU"/>
          <w:sz w:val="24"/>
          <w:szCs w:val="24"/>
        </w:rPr>
      </w:pPr>
      <w:r>
        <w:rPr>
          <w:rFonts w:ascii="PMingLiU" w:eastAsia="PMingLiU" w:hAnsi="PMingLiU" w:cs="PMingLiU"/>
          <w:b/>
          <w:bCs/>
          <w:sz w:val="24"/>
          <w:szCs w:val="24"/>
        </w:rPr>
        <w:t>4 重點活動</w:t>
      </w:r>
    </w:p>
    <w:p w14:paraId="46840207"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以下將會詳細介紹本次交流團的重點活動:</w:t>
      </w:r>
    </w:p>
    <w:p w14:paraId="514EA7E0" w14:textId="77777777" w:rsidR="00C859DE" w:rsidRDefault="00000000">
      <w:pPr>
        <w:spacing w:line="360" w:lineRule="auto"/>
        <w:ind w:left="720"/>
        <w:rPr>
          <w:rFonts w:ascii="PMingLiU" w:eastAsia="PMingLiU" w:hAnsi="PMingLiU" w:cs="PMingLiU"/>
          <w:sz w:val="24"/>
          <w:szCs w:val="24"/>
          <w:u w:val="single"/>
        </w:rPr>
      </w:pPr>
      <w:r>
        <w:rPr>
          <w:rFonts w:ascii="PMingLiU" w:eastAsia="PMingLiU" w:hAnsi="PMingLiU" w:cs="PMingLiU"/>
          <w:sz w:val="24"/>
          <w:szCs w:val="24"/>
          <w:u w:val="single"/>
        </w:rPr>
        <w:t xml:space="preserve"> 4.1東京工業大學交流活動</w:t>
      </w:r>
    </w:p>
    <w:p w14:paraId="518B1457"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本團最大的特色之一就是前往東京工業大學進行交流活動。這項交流活動除了能讓成員參觀大學內設施和環境，和學習些少與工程相關的知識外，最主要能讓成員和當地學生互動，並體驗日本大學的教學模式。</w:t>
      </w:r>
    </w:p>
    <w:p w14:paraId="5F9830E2"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當天8時至10時將會先乘坐旅遊巴前往大學，然後由大學方面事先安排的同學帶領參觀校園。目前還未確定對方會派誰來接待，但已確定會是一位2年級或3年級的學生，並能以流利英文溝通，所以不用擔心會有語言障礙。大致會參觀校園各設施，例如教室，圖書館，工程大樓等，同時也會簡單介紹學校歷史以及有趣的事蹟。然後10時至12時將會與2年級生共上一堂工程講課，主題大約是關於基礎的工程理論和發展，大家不用擔心講課的難度會太大。講課將由東京工業大學的工程教授以英文向大家講解，同時也會有一些互動活動讓大家參與和體驗。此講課最大的目的不是學習深奧的工程知識，而是藉此和日本學生交流和瞭解當地的文化，拓寬視野。</w:t>
      </w:r>
    </w:p>
    <w:p w14:paraId="6C9841CA" w14:textId="77777777" w:rsidR="00C859DE" w:rsidRDefault="00C859DE">
      <w:pPr>
        <w:spacing w:line="360" w:lineRule="auto"/>
        <w:rPr>
          <w:rFonts w:ascii="PMingLiU" w:eastAsia="PMingLiU" w:hAnsi="PMingLiU" w:cs="PMingLiU"/>
          <w:sz w:val="24"/>
          <w:szCs w:val="24"/>
        </w:rPr>
      </w:pPr>
    </w:p>
    <w:p w14:paraId="2820CD9B" w14:textId="77777777" w:rsidR="00C859DE" w:rsidRDefault="00000000">
      <w:pPr>
        <w:spacing w:line="360" w:lineRule="auto"/>
        <w:rPr>
          <w:rFonts w:ascii="PMingLiU" w:eastAsia="PMingLiU" w:hAnsi="PMingLiU" w:cs="PMingLiU"/>
          <w:sz w:val="24"/>
          <w:szCs w:val="24"/>
        </w:rPr>
      </w:pPr>
      <w:r>
        <w:br w:type="page"/>
      </w:r>
    </w:p>
    <w:p w14:paraId="0D7C8A74" w14:textId="77777777" w:rsidR="00C859DE" w:rsidRDefault="00000000">
      <w:pPr>
        <w:spacing w:line="360" w:lineRule="auto"/>
        <w:ind w:left="720"/>
        <w:rPr>
          <w:rFonts w:ascii="PMingLiU" w:eastAsia="PMingLiU" w:hAnsi="PMingLiU" w:cs="PMingLiU"/>
          <w:sz w:val="24"/>
          <w:szCs w:val="24"/>
        </w:rPr>
      </w:pPr>
      <w:r>
        <w:rPr>
          <w:rFonts w:ascii="PMingLiU" w:eastAsia="PMingLiU" w:hAnsi="PMingLiU" w:cs="PMingLiU"/>
          <w:sz w:val="24"/>
          <w:szCs w:val="24"/>
          <w:u w:val="single"/>
        </w:rPr>
        <w:lastRenderedPageBreak/>
        <w:t>4.2首都圈外郭放水路防洪設施</w:t>
      </w:r>
    </w:p>
    <w:p w14:paraId="7DD84121"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首都圈外郭放水路位於日本埼玉縣春日部市國道16號，主要由排水隧道、豎井、調壓水槽等設施組成，是世界上最大的地下防洪設施。由於東京地勢較低，在雨季和颱風季節容易遭受洪水的破壞，所以東京政府決定於1992年建造此防洪設施，以疏導洪水和作儲水池。運作原理是當颱風或大雨引致中川和大落古利根川等周邊河流漲水時，水庫能儲存一定容量的雨水，當超出容量時，雨水將會流向江戶川，從而疏導洪水。團員當天會由一名事先安排好的日本導遊帶領參觀，首先會參觀隧道前的地底探險博物館龍 Q 館，瞭解防洪設施的結構以及預防災害的方式，之後會參觀防洪設施的內部結構，例如隧道、豎井等宏偉的建築，也會介紹一些比較專業的工程知識，例如工程的過程，建造方法等。團員要注意參觀隧道時必須佩戴安全帽和跟緊導遊，否則有機會在龐大的空間內迷路。</w:t>
      </w:r>
    </w:p>
    <w:p w14:paraId="6C4789A5" w14:textId="77777777" w:rsidR="00C859DE" w:rsidRDefault="00000000">
      <w:pPr>
        <w:spacing w:line="360" w:lineRule="auto"/>
        <w:jc w:val="center"/>
        <w:rPr>
          <w:rFonts w:ascii="PMingLiU" w:eastAsia="PMingLiU" w:hAnsi="PMingLiU" w:cs="PMingLiU"/>
          <w:sz w:val="24"/>
          <w:szCs w:val="24"/>
        </w:rPr>
      </w:pPr>
      <w:r>
        <w:rPr>
          <w:rFonts w:ascii="PMingLiU" w:eastAsia="PMingLiU" w:hAnsi="PMingLiU" w:cs="PMingLiU"/>
          <w:noProof/>
          <w:sz w:val="24"/>
          <w:szCs w:val="24"/>
        </w:rPr>
        <w:drawing>
          <wp:inline distT="114300" distB="114300" distL="114300" distR="114300" wp14:anchorId="3ACC1E61" wp14:editId="43B6464E">
            <wp:extent cx="3624263" cy="277047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624263" cy="2770470"/>
                    </a:xfrm>
                    <a:prstGeom prst="rect">
                      <a:avLst/>
                    </a:prstGeom>
                    <a:ln/>
                  </pic:spPr>
                </pic:pic>
              </a:graphicData>
            </a:graphic>
          </wp:inline>
        </w:drawing>
      </w:r>
    </w:p>
    <w:p w14:paraId="0F78661F" w14:textId="77777777" w:rsidR="00C859DE" w:rsidRDefault="00C859DE">
      <w:pPr>
        <w:spacing w:line="360" w:lineRule="auto"/>
        <w:jc w:val="center"/>
        <w:rPr>
          <w:rFonts w:ascii="PMingLiU" w:eastAsia="PMingLiU" w:hAnsi="PMingLiU" w:cs="PMingLiU"/>
          <w:sz w:val="24"/>
          <w:szCs w:val="24"/>
        </w:rPr>
      </w:pPr>
    </w:p>
    <w:p w14:paraId="18F26B63" w14:textId="77777777" w:rsidR="00C859DE" w:rsidRDefault="00000000">
      <w:pPr>
        <w:spacing w:line="360" w:lineRule="auto"/>
        <w:jc w:val="center"/>
        <w:rPr>
          <w:rFonts w:ascii="PMingLiU" w:eastAsia="PMingLiU" w:hAnsi="PMingLiU" w:cs="PMingLiU"/>
          <w:sz w:val="24"/>
          <w:szCs w:val="24"/>
        </w:rPr>
      </w:pPr>
      <w:r>
        <w:rPr>
          <w:rFonts w:ascii="PMingLiU" w:eastAsia="PMingLiU" w:hAnsi="PMingLiU" w:cs="PMingLiU"/>
          <w:sz w:val="24"/>
          <w:szCs w:val="24"/>
        </w:rPr>
        <w:t>圖片一：首都圈外郭放水路防洪設施。</w:t>
      </w:r>
    </w:p>
    <w:p w14:paraId="270E6A51" w14:textId="77777777" w:rsidR="00C859DE" w:rsidRDefault="00000000">
      <w:pPr>
        <w:spacing w:before="240" w:after="240" w:line="360" w:lineRule="auto"/>
        <w:rPr>
          <w:rFonts w:ascii="PMingLiU" w:eastAsia="PMingLiU" w:hAnsi="PMingLiU" w:cs="PMingLiU"/>
          <w:b/>
          <w:bCs/>
          <w:sz w:val="20"/>
          <w:szCs w:val="20"/>
        </w:rPr>
      </w:pPr>
      <w:r>
        <w:br w:type="page"/>
      </w:r>
      <w:r>
        <w:rPr>
          <w:rFonts w:ascii="PMingLiU" w:eastAsia="PMingLiU" w:hAnsi="PMingLiU" w:cs="PMingLiU"/>
          <w:b/>
          <w:bCs/>
          <w:sz w:val="20"/>
          <w:szCs w:val="20"/>
        </w:rPr>
        <w:lastRenderedPageBreak/>
        <w:t>5.       工作計劃</w:t>
      </w:r>
    </w:p>
    <w:tbl>
      <w:tblPr>
        <w:tblStyle w:val="a"/>
        <w:tblW w:w="8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230"/>
        <w:gridCol w:w="1875"/>
        <w:gridCol w:w="1740"/>
        <w:gridCol w:w="2055"/>
      </w:tblGrid>
      <w:tr w:rsidR="00C859DE" w14:paraId="33A32F7E" w14:textId="77777777">
        <w:tc>
          <w:tcPr>
            <w:tcW w:w="1725" w:type="dxa"/>
            <w:tcMar>
              <w:top w:w="100" w:type="dxa"/>
              <w:left w:w="100" w:type="dxa"/>
              <w:bottom w:w="100" w:type="dxa"/>
              <w:right w:w="100" w:type="dxa"/>
            </w:tcMar>
          </w:tcPr>
          <w:p w14:paraId="6F11657D" w14:textId="77777777" w:rsidR="00C859DE" w:rsidRDefault="00C859DE">
            <w:pPr>
              <w:widowControl w:val="0"/>
              <w:pBdr>
                <w:top w:val="nil"/>
                <w:left w:val="nil"/>
                <w:bottom w:val="nil"/>
                <w:right w:val="nil"/>
                <w:between w:val="nil"/>
              </w:pBdr>
              <w:spacing w:line="240" w:lineRule="auto"/>
              <w:rPr>
                <w:rFonts w:ascii="PMingLiU" w:eastAsia="PMingLiU" w:hAnsi="PMingLiU" w:cs="PMingLiU"/>
                <w:sz w:val="20"/>
                <w:szCs w:val="20"/>
              </w:rPr>
            </w:pPr>
          </w:p>
        </w:tc>
        <w:tc>
          <w:tcPr>
            <w:tcW w:w="1230" w:type="dxa"/>
            <w:tcMar>
              <w:top w:w="100" w:type="dxa"/>
              <w:left w:w="100" w:type="dxa"/>
              <w:bottom w:w="100" w:type="dxa"/>
              <w:right w:w="100" w:type="dxa"/>
            </w:tcMar>
          </w:tcPr>
          <w:p w14:paraId="096F51DE" w14:textId="77777777" w:rsidR="00C859DE" w:rsidRDefault="00000000">
            <w:pPr>
              <w:spacing w:before="240" w:after="240" w:line="360" w:lineRule="auto"/>
              <w:rPr>
                <w:rFonts w:ascii="PMingLiU" w:eastAsia="PMingLiU" w:hAnsi="PMingLiU" w:cs="PMingLiU"/>
                <w:sz w:val="20"/>
                <w:szCs w:val="20"/>
              </w:rPr>
            </w:pPr>
            <w:r>
              <w:rPr>
                <w:rFonts w:ascii="PMingLiU" w:eastAsia="PMingLiU" w:hAnsi="PMingLiU" w:cs="PMingLiU"/>
                <w:sz w:val="20"/>
                <w:szCs w:val="20"/>
              </w:rPr>
              <w:t>陳大文主席</w:t>
            </w:r>
          </w:p>
        </w:tc>
        <w:tc>
          <w:tcPr>
            <w:tcW w:w="1875" w:type="dxa"/>
            <w:tcMar>
              <w:top w:w="100" w:type="dxa"/>
              <w:left w:w="100" w:type="dxa"/>
              <w:bottom w:w="100" w:type="dxa"/>
              <w:right w:w="100" w:type="dxa"/>
            </w:tcMar>
          </w:tcPr>
          <w:p w14:paraId="0EA46308" w14:textId="77777777" w:rsidR="00C859DE" w:rsidRDefault="00000000">
            <w:pPr>
              <w:spacing w:before="240" w:after="240" w:line="360" w:lineRule="auto"/>
              <w:rPr>
                <w:rFonts w:ascii="PMingLiU" w:eastAsia="PMingLiU" w:hAnsi="PMingLiU" w:cs="PMingLiU"/>
                <w:sz w:val="20"/>
                <w:szCs w:val="20"/>
              </w:rPr>
            </w:pPr>
            <w:r>
              <w:rPr>
                <w:rFonts w:ascii="PMingLiU" w:eastAsia="PMingLiU" w:hAnsi="PMingLiU" w:cs="PMingLiU"/>
                <w:sz w:val="20"/>
                <w:szCs w:val="20"/>
              </w:rPr>
              <w:t>李小明外務副主席</w:t>
            </w:r>
          </w:p>
          <w:p w14:paraId="5377D1EB" w14:textId="77777777" w:rsidR="00C859DE" w:rsidRDefault="00C859DE">
            <w:pPr>
              <w:widowControl w:val="0"/>
              <w:pBdr>
                <w:top w:val="nil"/>
                <w:left w:val="nil"/>
                <w:bottom w:val="nil"/>
                <w:right w:val="nil"/>
                <w:between w:val="nil"/>
              </w:pBdr>
              <w:spacing w:line="240" w:lineRule="auto"/>
              <w:rPr>
                <w:rFonts w:ascii="PMingLiU" w:eastAsia="PMingLiU" w:hAnsi="PMingLiU" w:cs="PMingLiU"/>
                <w:sz w:val="20"/>
                <w:szCs w:val="20"/>
              </w:rPr>
            </w:pPr>
          </w:p>
        </w:tc>
        <w:tc>
          <w:tcPr>
            <w:tcW w:w="1740" w:type="dxa"/>
            <w:tcMar>
              <w:top w:w="100" w:type="dxa"/>
              <w:left w:w="100" w:type="dxa"/>
              <w:bottom w:w="100" w:type="dxa"/>
              <w:right w:w="100" w:type="dxa"/>
            </w:tcMar>
          </w:tcPr>
          <w:p w14:paraId="36BCFE10" w14:textId="77777777" w:rsidR="00C859DE" w:rsidRDefault="00000000">
            <w:pPr>
              <w:spacing w:before="240" w:after="240" w:line="360" w:lineRule="auto"/>
              <w:rPr>
                <w:rFonts w:ascii="PMingLiU" w:eastAsia="PMingLiU" w:hAnsi="PMingLiU" w:cs="PMingLiU"/>
                <w:sz w:val="20"/>
                <w:szCs w:val="20"/>
              </w:rPr>
            </w:pPr>
            <w:r>
              <w:rPr>
                <w:rFonts w:ascii="PMingLiU" w:eastAsia="PMingLiU" w:hAnsi="PMingLiU" w:cs="PMingLiU"/>
                <w:sz w:val="20"/>
                <w:szCs w:val="20"/>
              </w:rPr>
              <w:t>何晴內務副主席</w:t>
            </w:r>
          </w:p>
        </w:tc>
        <w:tc>
          <w:tcPr>
            <w:tcW w:w="2055" w:type="dxa"/>
            <w:tcMar>
              <w:top w:w="100" w:type="dxa"/>
              <w:left w:w="100" w:type="dxa"/>
              <w:bottom w:w="100" w:type="dxa"/>
              <w:right w:w="100" w:type="dxa"/>
            </w:tcMar>
          </w:tcPr>
          <w:p w14:paraId="0B6B6F8D" w14:textId="77777777" w:rsidR="00C859DE" w:rsidRDefault="00000000">
            <w:pPr>
              <w:spacing w:before="240" w:after="240" w:line="360" w:lineRule="auto"/>
              <w:rPr>
                <w:rFonts w:ascii="PMingLiU" w:eastAsia="PMingLiU" w:hAnsi="PMingLiU" w:cs="PMingLiU"/>
                <w:sz w:val="20"/>
                <w:szCs w:val="20"/>
              </w:rPr>
            </w:pPr>
            <w:r>
              <w:rPr>
                <w:rFonts w:ascii="PMingLiU" w:eastAsia="PMingLiU" w:hAnsi="PMingLiU" w:cs="PMingLiU"/>
                <w:sz w:val="20"/>
                <w:szCs w:val="20"/>
              </w:rPr>
              <w:t>張志強宣傳幹事</w:t>
            </w:r>
          </w:p>
        </w:tc>
      </w:tr>
      <w:tr w:rsidR="00C859DE" w14:paraId="0B7068CB" w14:textId="77777777">
        <w:tc>
          <w:tcPr>
            <w:tcW w:w="1725" w:type="dxa"/>
            <w:tcMar>
              <w:top w:w="100" w:type="dxa"/>
              <w:left w:w="100" w:type="dxa"/>
              <w:bottom w:w="100" w:type="dxa"/>
              <w:right w:w="100" w:type="dxa"/>
            </w:tcMar>
          </w:tcPr>
          <w:p w14:paraId="1661C241" w14:textId="77777777" w:rsidR="00C859DE" w:rsidRDefault="00000000">
            <w:pPr>
              <w:widowControl w:val="0"/>
              <w:pBdr>
                <w:top w:val="nil"/>
                <w:left w:val="nil"/>
                <w:bottom w:val="nil"/>
                <w:right w:val="nil"/>
                <w:between w:val="nil"/>
              </w:pBdr>
              <w:spacing w:line="240" w:lineRule="auto"/>
              <w:rPr>
                <w:rFonts w:ascii="PMingLiU" w:eastAsia="PMingLiU" w:hAnsi="PMingLiU" w:cs="PMingLiU"/>
                <w:b/>
                <w:bCs/>
                <w:sz w:val="20"/>
                <w:szCs w:val="20"/>
              </w:rPr>
            </w:pPr>
            <w:r>
              <w:rPr>
                <w:rFonts w:ascii="PMingLiU" w:eastAsia="PMingLiU" w:hAnsi="PMingLiU" w:cs="PMingLiU"/>
                <w:sz w:val="20"/>
                <w:szCs w:val="20"/>
              </w:rPr>
              <w:t>工作</w:t>
            </w:r>
          </w:p>
        </w:tc>
        <w:tc>
          <w:tcPr>
            <w:tcW w:w="1230" w:type="dxa"/>
            <w:tcMar>
              <w:top w:w="100" w:type="dxa"/>
              <w:left w:w="100" w:type="dxa"/>
              <w:bottom w:w="100" w:type="dxa"/>
              <w:right w:w="100" w:type="dxa"/>
            </w:tcMar>
          </w:tcPr>
          <w:p w14:paraId="3F65E40C" w14:textId="77777777" w:rsidR="00C859DE" w:rsidRDefault="00000000">
            <w:pPr>
              <w:widowControl w:val="0"/>
              <w:pBdr>
                <w:top w:val="nil"/>
                <w:left w:val="nil"/>
                <w:bottom w:val="nil"/>
                <w:right w:val="nil"/>
                <w:between w:val="nil"/>
              </w:pBdr>
              <w:spacing w:line="240" w:lineRule="auto"/>
              <w:rPr>
                <w:rFonts w:ascii="PMingLiU" w:eastAsia="PMingLiU" w:hAnsi="PMingLiU" w:cs="PMingLiU"/>
                <w:b/>
                <w:bCs/>
                <w:sz w:val="20"/>
                <w:szCs w:val="20"/>
              </w:rPr>
            </w:pPr>
            <w:r>
              <w:rPr>
                <w:rFonts w:ascii="PMingLiU" w:eastAsia="PMingLiU" w:hAnsi="PMingLiU" w:cs="PMingLiU"/>
                <w:sz w:val="20"/>
                <w:szCs w:val="20"/>
              </w:rPr>
              <w:t>統籌</w:t>
            </w:r>
          </w:p>
        </w:tc>
        <w:tc>
          <w:tcPr>
            <w:tcW w:w="1875" w:type="dxa"/>
            <w:tcMar>
              <w:top w:w="100" w:type="dxa"/>
              <w:left w:w="100" w:type="dxa"/>
              <w:bottom w:w="100" w:type="dxa"/>
              <w:right w:w="100" w:type="dxa"/>
            </w:tcMar>
          </w:tcPr>
          <w:p w14:paraId="42EA6F2F" w14:textId="77777777" w:rsidR="00C859DE" w:rsidRDefault="00000000">
            <w:pPr>
              <w:widowControl w:val="0"/>
              <w:spacing w:line="240" w:lineRule="auto"/>
              <w:rPr>
                <w:rFonts w:ascii="PMingLiU" w:eastAsia="PMingLiU" w:hAnsi="PMingLiU" w:cs="PMingLiU"/>
                <w:b/>
                <w:bCs/>
                <w:sz w:val="20"/>
                <w:szCs w:val="20"/>
              </w:rPr>
            </w:pPr>
            <w:r>
              <w:rPr>
                <w:rFonts w:ascii="PMingLiU" w:eastAsia="PMingLiU" w:hAnsi="PMingLiU" w:cs="PMingLiU"/>
                <w:sz w:val="20"/>
                <w:szCs w:val="20"/>
              </w:rPr>
              <w:t>計劃設計</w:t>
            </w:r>
          </w:p>
        </w:tc>
        <w:tc>
          <w:tcPr>
            <w:tcW w:w="1740" w:type="dxa"/>
            <w:tcMar>
              <w:top w:w="100" w:type="dxa"/>
              <w:left w:w="100" w:type="dxa"/>
              <w:bottom w:w="100" w:type="dxa"/>
              <w:right w:w="100" w:type="dxa"/>
            </w:tcMar>
          </w:tcPr>
          <w:p w14:paraId="36B83B36" w14:textId="77777777" w:rsidR="00C859DE" w:rsidRDefault="00000000">
            <w:pPr>
              <w:widowControl w:val="0"/>
              <w:spacing w:line="240" w:lineRule="auto"/>
              <w:rPr>
                <w:rFonts w:ascii="PMingLiU" w:eastAsia="PMingLiU" w:hAnsi="PMingLiU" w:cs="PMingLiU"/>
                <w:b/>
                <w:bCs/>
                <w:sz w:val="20"/>
                <w:szCs w:val="20"/>
              </w:rPr>
            </w:pPr>
            <w:r>
              <w:rPr>
                <w:rFonts w:ascii="PMingLiU" w:eastAsia="PMingLiU" w:hAnsi="PMingLiU" w:cs="PMingLiU"/>
                <w:sz w:val="20"/>
                <w:szCs w:val="20"/>
              </w:rPr>
              <w:t>聯絡機構</w:t>
            </w:r>
          </w:p>
        </w:tc>
        <w:tc>
          <w:tcPr>
            <w:tcW w:w="2055" w:type="dxa"/>
            <w:tcMar>
              <w:top w:w="100" w:type="dxa"/>
              <w:left w:w="100" w:type="dxa"/>
              <w:bottom w:w="100" w:type="dxa"/>
              <w:right w:w="100" w:type="dxa"/>
            </w:tcMar>
          </w:tcPr>
          <w:p w14:paraId="54C457FD" w14:textId="77777777" w:rsidR="00C859DE" w:rsidRDefault="00000000">
            <w:pPr>
              <w:widowControl w:val="0"/>
              <w:spacing w:line="240" w:lineRule="auto"/>
              <w:rPr>
                <w:rFonts w:ascii="PMingLiU" w:eastAsia="PMingLiU" w:hAnsi="PMingLiU" w:cs="PMingLiU"/>
                <w:b/>
                <w:bCs/>
                <w:sz w:val="20"/>
                <w:szCs w:val="20"/>
              </w:rPr>
            </w:pPr>
            <w:r>
              <w:rPr>
                <w:rFonts w:ascii="PMingLiU" w:eastAsia="PMingLiU" w:hAnsi="PMingLiU" w:cs="PMingLiU"/>
                <w:sz w:val="20"/>
                <w:szCs w:val="20"/>
              </w:rPr>
              <w:t>宣傳工作</w:t>
            </w:r>
          </w:p>
        </w:tc>
      </w:tr>
    </w:tbl>
    <w:p w14:paraId="7270EC17" w14:textId="77777777" w:rsidR="00C859DE" w:rsidRDefault="00C859DE">
      <w:pPr>
        <w:spacing w:before="240" w:after="240" w:line="360" w:lineRule="auto"/>
        <w:rPr>
          <w:rFonts w:ascii="PMingLiU" w:eastAsia="PMingLiU" w:hAnsi="PMingLiU" w:cs="PMingLiU"/>
          <w:b/>
          <w:bCs/>
          <w:sz w:val="20"/>
          <w:szCs w:val="20"/>
        </w:rPr>
      </w:pPr>
    </w:p>
    <w:p w14:paraId="711E1EF8"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6.       時間表</w:t>
      </w:r>
    </w:p>
    <w:p w14:paraId="2B971099" w14:textId="77777777" w:rsidR="00C859DE" w:rsidRDefault="00C859DE">
      <w:pPr>
        <w:pStyle w:val="Heading2"/>
        <w:widowControl w:val="0"/>
        <w:spacing w:before="0" w:after="0" w:line="360" w:lineRule="auto"/>
        <w:jc w:val="both"/>
        <w:rPr>
          <w:rFonts w:ascii="PMingLiU" w:eastAsia="PMingLiU" w:hAnsi="PMingLiU" w:cs="PMingLiU"/>
          <w:b/>
          <w:bCs/>
          <w:sz w:val="22"/>
          <w:szCs w:val="22"/>
          <w:u w:val="single"/>
        </w:rPr>
      </w:pPr>
      <w:bookmarkStart w:id="0" w:name="_z76zw63k98p5" w:colFirst="0" w:colLast="0"/>
      <w:bookmarkEnd w:id="0"/>
    </w:p>
    <w:tbl>
      <w:tblPr>
        <w:tblStyle w:val="a0"/>
        <w:tblW w:w="8685" w:type="dxa"/>
        <w:tblInd w:w="-3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425"/>
        <w:gridCol w:w="1845"/>
        <w:gridCol w:w="1695"/>
        <w:gridCol w:w="1860"/>
        <w:gridCol w:w="1860"/>
      </w:tblGrid>
      <w:tr w:rsidR="00C859DE" w14:paraId="554D0D15" w14:textId="77777777">
        <w:trPr>
          <w:trHeight w:val="540"/>
        </w:trPr>
        <w:tc>
          <w:tcPr>
            <w:tcW w:w="1425" w:type="dxa"/>
            <w:tcMar>
              <w:top w:w="140" w:type="dxa"/>
              <w:left w:w="140" w:type="dxa"/>
              <w:bottom w:w="140" w:type="dxa"/>
              <w:right w:w="140" w:type="dxa"/>
            </w:tcMar>
          </w:tcPr>
          <w:p w14:paraId="5D6484D6" w14:textId="77777777" w:rsidR="00C859DE" w:rsidRDefault="00C859DE">
            <w:pPr>
              <w:widowControl w:val="0"/>
              <w:spacing w:line="360" w:lineRule="auto"/>
              <w:rPr>
                <w:rFonts w:ascii="PMingLiU" w:eastAsia="PMingLiU" w:hAnsi="PMingLiU" w:cs="PMingLiU"/>
                <w:sz w:val="24"/>
                <w:szCs w:val="24"/>
              </w:rPr>
            </w:pPr>
          </w:p>
        </w:tc>
        <w:tc>
          <w:tcPr>
            <w:tcW w:w="1845" w:type="dxa"/>
            <w:tcMar>
              <w:top w:w="140" w:type="dxa"/>
              <w:left w:w="140" w:type="dxa"/>
              <w:bottom w:w="140" w:type="dxa"/>
              <w:right w:w="140" w:type="dxa"/>
            </w:tcMar>
          </w:tcPr>
          <w:p w14:paraId="7448FBFA" w14:textId="77777777" w:rsidR="00C859DE" w:rsidRDefault="00000000">
            <w:pPr>
              <w:widowControl w:val="0"/>
              <w:pBdr>
                <w:top w:val="nil"/>
                <w:left w:val="nil"/>
                <w:bottom w:val="nil"/>
                <w:right w:val="nil"/>
                <w:between w:val="nil"/>
              </w:pBdr>
              <w:spacing w:line="360" w:lineRule="auto"/>
              <w:rPr>
                <w:rFonts w:ascii="PMingLiU" w:eastAsia="PMingLiU" w:hAnsi="PMingLiU" w:cs="PMingLiU"/>
                <w:sz w:val="20"/>
                <w:szCs w:val="20"/>
              </w:rPr>
            </w:pPr>
            <w:r>
              <w:rPr>
                <w:rFonts w:ascii="PMingLiU" w:eastAsia="PMingLiU" w:hAnsi="PMingLiU" w:cs="PMingLiU"/>
                <w:sz w:val="20"/>
                <w:szCs w:val="20"/>
              </w:rPr>
              <w:t>第一天 07/04/2023</w:t>
            </w:r>
          </w:p>
        </w:tc>
        <w:tc>
          <w:tcPr>
            <w:tcW w:w="1695" w:type="dxa"/>
            <w:tcMar>
              <w:top w:w="140" w:type="dxa"/>
              <w:left w:w="140" w:type="dxa"/>
              <w:bottom w:w="140" w:type="dxa"/>
              <w:right w:w="140" w:type="dxa"/>
            </w:tcMar>
          </w:tcPr>
          <w:p w14:paraId="2EF797CA" w14:textId="77777777" w:rsidR="00C859DE" w:rsidRDefault="00000000">
            <w:pPr>
              <w:widowControl w:val="0"/>
              <w:pBdr>
                <w:top w:val="nil"/>
                <w:left w:val="nil"/>
                <w:bottom w:val="nil"/>
                <w:right w:val="nil"/>
                <w:between w:val="nil"/>
              </w:pBdr>
              <w:spacing w:line="360" w:lineRule="auto"/>
              <w:rPr>
                <w:rFonts w:ascii="PMingLiU" w:eastAsia="PMingLiU" w:hAnsi="PMingLiU" w:cs="PMingLiU"/>
                <w:sz w:val="20"/>
                <w:szCs w:val="20"/>
              </w:rPr>
            </w:pPr>
            <w:r>
              <w:rPr>
                <w:rFonts w:ascii="PMingLiU" w:eastAsia="PMingLiU" w:hAnsi="PMingLiU" w:cs="PMingLiU"/>
                <w:sz w:val="20"/>
                <w:szCs w:val="20"/>
              </w:rPr>
              <w:t>第二天 08/04/2023</w:t>
            </w:r>
          </w:p>
        </w:tc>
        <w:tc>
          <w:tcPr>
            <w:tcW w:w="1860" w:type="dxa"/>
            <w:tcMar>
              <w:top w:w="140" w:type="dxa"/>
              <w:left w:w="140" w:type="dxa"/>
              <w:bottom w:w="140" w:type="dxa"/>
              <w:right w:w="140" w:type="dxa"/>
            </w:tcMar>
          </w:tcPr>
          <w:p w14:paraId="6B86DE7F" w14:textId="77777777" w:rsidR="00C859DE" w:rsidRDefault="00000000">
            <w:pPr>
              <w:widowControl w:val="0"/>
              <w:pBdr>
                <w:top w:val="nil"/>
                <w:left w:val="nil"/>
                <w:bottom w:val="nil"/>
                <w:right w:val="nil"/>
                <w:between w:val="nil"/>
              </w:pBdr>
              <w:spacing w:line="360" w:lineRule="auto"/>
              <w:rPr>
                <w:rFonts w:ascii="PMingLiU" w:eastAsia="PMingLiU" w:hAnsi="PMingLiU" w:cs="PMingLiU"/>
                <w:sz w:val="20"/>
                <w:szCs w:val="20"/>
              </w:rPr>
            </w:pPr>
            <w:r>
              <w:rPr>
                <w:rFonts w:ascii="PMingLiU" w:eastAsia="PMingLiU" w:hAnsi="PMingLiU" w:cs="PMingLiU"/>
                <w:sz w:val="20"/>
                <w:szCs w:val="20"/>
              </w:rPr>
              <w:t>第三天 09/04/2023</w:t>
            </w:r>
          </w:p>
        </w:tc>
        <w:tc>
          <w:tcPr>
            <w:tcW w:w="1860" w:type="dxa"/>
            <w:tcMar>
              <w:top w:w="140" w:type="dxa"/>
              <w:left w:w="140" w:type="dxa"/>
              <w:bottom w:w="140" w:type="dxa"/>
              <w:right w:w="140" w:type="dxa"/>
            </w:tcMar>
          </w:tcPr>
          <w:p w14:paraId="30129E3B" w14:textId="77777777" w:rsidR="00C859DE" w:rsidRDefault="00000000">
            <w:pPr>
              <w:widowControl w:val="0"/>
              <w:pBdr>
                <w:top w:val="nil"/>
                <w:left w:val="nil"/>
                <w:bottom w:val="nil"/>
                <w:right w:val="nil"/>
                <w:between w:val="nil"/>
              </w:pBdr>
              <w:spacing w:line="360" w:lineRule="auto"/>
              <w:rPr>
                <w:rFonts w:ascii="PMingLiU" w:eastAsia="PMingLiU" w:hAnsi="PMingLiU" w:cs="PMingLiU"/>
                <w:sz w:val="20"/>
                <w:szCs w:val="20"/>
              </w:rPr>
            </w:pPr>
            <w:r>
              <w:rPr>
                <w:rFonts w:ascii="PMingLiU" w:eastAsia="PMingLiU" w:hAnsi="PMingLiU" w:cs="PMingLiU"/>
                <w:sz w:val="20"/>
                <w:szCs w:val="20"/>
              </w:rPr>
              <w:t>第四天 10/04/2023</w:t>
            </w:r>
          </w:p>
        </w:tc>
      </w:tr>
      <w:tr w:rsidR="00C859DE" w14:paraId="5EEF0EA9" w14:textId="77777777">
        <w:trPr>
          <w:trHeight w:val="510"/>
        </w:trPr>
        <w:tc>
          <w:tcPr>
            <w:tcW w:w="1425" w:type="dxa"/>
            <w:tcMar>
              <w:top w:w="140" w:type="dxa"/>
              <w:left w:w="140" w:type="dxa"/>
              <w:bottom w:w="140" w:type="dxa"/>
              <w:right w:w="140" w:type="dxa"/>
            </w:tcMar>
          </w:tcPr>
          <w:p w14:paraId="07FBBBB2" w14:textId="77777777" w:rsidR="00C859DE" w:rsidRDefault="00000000">
            <w:pPr>
              <w:widowControl w:val="0"/>
              <w:spacing w:line="360" w:lineRule="auto"/>
              <w:rPr>
                <w:rFonts w:ascii="PMingLiU" w:eastAsia="PMingLiU" w:hAnsi="PMingLiU" w:cs="PMingLiU"/>
                <w:sz w:val="24"/>
                <w:szCs w:val="24"/>
              </w:rPr>
            </w:pPr>
            <w:r>
              <w:rPr>
                <w:rFonts w:ascii="PMingLiU" w:eastAsia="PMingLiU" w:hAnsi="PMingLiU" w:cs="PMingLiU"/>
                <w:sz w:val="24"/>
                <w:szCs w:val="24"/>
              </w:rPr>
              <w:t>06:00</w:t>
            </w:r>
          </w:p>
        </w:tc>
        <w:tc>
          <w:tcPr>
            <w:tcW w:w="1845" w:type="dxa"/>
            <w:tcMar>
              <w:top w:w="140" w:type="dxa"/>
              <w:left w:w="140" w:type="dxa"/>
              <w:bottom w:w="140" w:type="dxa"/>
              <w:right w:w="140" w:type="dxa"/>
            </w:tcMar>
          </w:tcPr>
          <w:p w14:paraId="5F5C3FB4" w14:textId="77777777" w:rsidR="00C859DE" w:rsidRDefault="00000000">
            <w:pPr>
              <w:widowControl w:val="0"/>
              <w:spacing w:line="360" w:lineRule="auto"/>
              <w:jc w:val="center"/>
              <w:rPr>
                <w:rFonts w:ascii="PMingLiU" w:eastAsia="PMingLiU" w:hAnsi="PMingLiU" w:cs="PMingLiU"/>
                <w:sz w:val="20"/>
                <w:szCs w:val="20"/>
              </w:rPr>
            </w:pPr>
            <w:r>
              <w:rPr>
                <w:rFonts w:ascii="PMingLiU" w:eastAsia="PMingLiU" w:hAnsi="PMingLiU" w:cs="PMingLiU"/>
                <w:sz w:val="20"/>
                <w:szCs w:val="20"/>
              </w:rPr>
              <w:t>機場集合</w:t>
            </w:r>
          </w:p>
        </w:tc>
        <w:tc>
          <w:tcPr>
            <w:tcW w:w="5415" w:type="dxa"/>
            <w:gridSpan w:val="3"/>
            <w:tcMar>
              <w:top w:w="140" w:type="dxa"/>
              <w:left w:w="140" w:type="dxa"/>
              <w:bottom w:w="140" w:type="dxa"/>
              <w:right w:w="140" w:type="dxa"/>
            </w:tcMar>
          </w:tcPr>
          <w:p w14:paraId="7104C463" w14:textId="77777777" w:rsidR="00C859DE" w:rsidRDefault="00000000">
            <w:pPr>
              <w:widowControl w:val="0"/>
              <w:spacing w:line="360" w:lineRule="auto"/>
              <w:jc w:val="center"/>
              <w:rPr>
                <w:rFonts w:ascii="PMingLiU" w:eastAsia="PMingLiU" w:hAnsi="PMingLiU" w:cs="PMingLiU"/>
                <w:sz w:val="18"/>
                <w:szCs w:val="18"/>
              </w:rPr>
            </w:pPr>
            <w:r>
              <w:rPr>
                <w:rFonts w:ascii="PMingLiU" w:eastAsia="PMingLiU" w:hAnsi="PMingLiU" w:cs="PMingLiU"/>
                <w:sz w:val="20"/>
                <w:szCs w:val="20"/>
              </w:rPr>
              <w:t>集合</w:t>
            </w:r>
          </w:p>
        </w:tc>
      </w:tr>
      <w:tr w:rsidR="00C859DE" w14:paraId="5708429E" w14:textId="77777777">
        <w:trPr>
          <w:trHeight w:val="960"/>
        </w:trPr>
        <w:tc>
          <w:tcPr>
            <w:tcW w:w="1425" w:type="dxa"/>
            <w:tcMar>
              <w:top w:w="140" w:type="dxa"/>
              <w:left w:w="140" w:type="dxa"/>
              <w:bottom w:w="140" w:type="dxa"/>
              <w:right w:w="140" w:type="dxa"/>
            </w:tcMar>
          </w:tcPr>
          <w:p w14:paraId="14125D9C" w14:textId="77777777" w:rsidR="00C859DE" w:rsidRDefault="00000000">
            <w:pPr>
              <w:widowControl w:val="0"/>
              <w:spacing w:line="360" w:lineRule="auto"/>
              <w:rPr>
                <w:rFonts w:ascii="PMingLiU" w:eastAsia="PMingLiU" w:hAnsi="PMingLiU" w:cs="PMingLiU"/>
                <w:sz w:val="24"/>
                <w:szCs w:val="24"/>
              </w:rPr>
            </w:pPr>
            <w:r>
              <w:rPr>
                <w:rFonts w:ascii="PMingLiU" w:eastAsia="PMingLiU" w:hAnsi="PMingLiU" w:cs="PMingLiU"/>
                <w:sz w:val="24"/>
                <w:szCs w:val="24"/>
              </w:rPr>
              <w:t>7:00-8:00</w:t>
            </w:r>
          </w:p>
        </w:tc>
        <w:tc>
          <w:tcPr>
            <w:tcW w:w="1845" w:type="dxa"/>
            <w:vMerge w:val="restart"/>
            <w:tcMar>
              <w:top w:w="140" w:type="dxa"/>
              <w:left w:w="140" w:type="dxa"/>
              <w:bottom w:w="140" w:type="dxa"/>
              <w:right w:w="140" w:type="dxa"/>
            </w:tcMar>
          </w:tcPr>
          <w:p w14:paraId="1F9DF8F3"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香港快運航空</w:t>
            </w:r>
          </w:p>
        </w:tc>
        <w:tc>
          <w:tcPr>
            <w:tcW w:w="1695" w:type="dxa"/>
            <w:tcBorders>
              <w:right w:val="single" w:sz="8" w:space="0" w:color="9E9E9E"/>
            </w:tcBorders>
            <w:tcMar>
              <w:top w:w="140" w:type="dxa"/>
              <w:left w:w="140" w:type="dxa"/>
              <w:bottom w:w="140" w:type="dxa"/>
              <w:right w:w="140" w:type="dxa"/>
            </w:tcMar>
          </w:tcPr>
          <w:p w14:paraId="0A643C80"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酒店早餐</w:t>
            </w:r>
          </w:p>
        </w:tc>
        <w:tc>
          <w:tcPr>
            <w:tcW w:w="1860" w:type="dxa"/>
            <w:tcBorders>
              <w:right w:val="single" w:sz="8" w:space="0" w:color="9E9E9E"/>
            </w:tcBorders>
            <w:tcMar>
              <w:top w:w="140" w:type="dxa"/>
              <w:left w:w="140" w:type="dxa"/>
              <w:bottom w:w="140" w:type="dxa"/>
              <w:right w:w="140" w:type="dxa"/>
            </w:tcMar>
          </w:tcPr>
          <w:p w14:paraId="4271B325"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酒店早餐</w:t>
            </w:r>
          </w:p>
        </w:tc>
        <w:tc>
          <w:tcPr>
            <w:tcW w:w="1860" w:type="dxa"/>
            <w:tcBorders>
              <w:right w:val="single" w:sz="8" w:space="0" w:color="9E9E9E"/>
            </w:tcBorders>
            <w:tcMar>
              <w:top w:w="140" w:type="dxa"/>
              <w:left w:w="140" w:type="dxa"/>
              <w:bottom w:w="140" w:type="dxa"/>
              <w:right w:w="140" w:type="dxa"/>
            </w:tcMar>
          </w:tcPr>
          <w:p w14:paraId="1EF27892"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酒店早餐</w:t>
            </w:r>
          </w:p>
        </w:tc>
      </w:tr>
      <w:tr w:rsidR="00C859DE" w14:paraId="75480EB3" w14:textId="77777777">
        <w:trPr>
          <w:trHeight w:val="960"/>
        </w:trPr>
        <w:tc>
          <w:tcPr>
            <w:tcW w:w="1425" w:type="dxa"/>
            <w:tcMar>
              <w:top w:w="140" w:type="dxa"/>
              <w:left w:w="140" w:type="dxa"/>
              <w:bottom w:w="140" w:type="dxa"/>
              <w:right w:w="140" w:type="dxa"/>
            </w:tcMar>
          </w:tcPr>
          <w:p w14:paraId="72F08F79" w14:textId="77777777" w:rsidR="00C859DE" w:rsidRDefault="00000000">
            <w:pPr>
              <w:widowControl w:val="0"/>
              <w:spacing w:line="360" w:lineRule="auto"/>
              <w:rPr>
                <w:rFonts w:ascii="PMingLiU" w:eastAsia="PMingLiU" w:hAnsi="PMingLiU" w:cs="PMingLiU"/>
                <w:sz w:val="24"/>
                <w:szCs w:val="24"/>
              </w:rPr>
            </w:pPr>
            <w:r>
              <w:rPr>
                <w:rFonts w:ascii="PMingLiU" w:eastAsia="PMingLiU" w:hAnsi="PMingLiU" w:cs="PMingLiU"/>
                <w:sz w:val="24"/>
                <w:szCs w:val="24"/>
              </w:rPr>
              <w:t>8:00-11:59</w:t>
            </w:r>
          </w:p>
        </w:tc>
        <w:tc>
          <w:tcPr>
            <w:tcW w:w="1845" w:type="dxa"/>
            <w:vMerge/>
            <w:tcMar>
              <w:top w:w="140" w:type="dxa"/>
              <w:left w:w="140" w:type="dxa"/>
              <w:bottom w:w="140" w:type="dxa"/>
              <w:right w:w="140" w:type="dxa"/>
            </w:tcMar>
          </w:tcPr>
          <w:p w14:paraId="11BCFA43" w14:textId="77777777" w:rsidR="00C859DE" w:rsidRDefault="00C859DE">
            <w:pPr>
              <w:widowControl w:val="0"/>
              <w:spacing w:line="240" w:lineRule="auto"/>
              <w:rPr>
                <w:rFonts w:ascii="PMingLiU" w:eastAsia="PMingLiU" w:hAnsi="PMingLiU" w:cs="PMingLiU"/>
                <w:sz w:val="20"/>
                <w:szCs w:val="20"/>
              </w:rPr>
            </w:pPr>
          </w:p>
        </w:tc>
        <w:tc>
          <w:tcPr>
            <w:tcW w:w="1695" w:type="dxa"/>
            <w:tcBorders>
              <w:right w:val="single" w:sz="8" w:space="0" w:color="9E9E9E"/>
            </w:tcBorders>
            <w:tcMar>
              <w:top w:w="140" w:type="dxa"/>
              <w:left w:w="140" w:type="dxa"/>
              <w:bottom w:w="140" w:type="dxa"/>
              <w:right w:w="140" w:type="dxa"/>
            </w:tcMar>
          </w:tcPr>
          <w:p w14:paraId="19D9A5FF"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東京工業大學交流活動</w:t>
            </w:r>
          </w:p>
        </w:tc>
        <w:tc>
          <w:tcPr>
            <w:tcW w:w="1860" w:type="dxa"/>
            <w:tcBorders>
              <w:right w:val="single" w:sz="8" w:space="0" w:color="9E9E9E"/>
            </w:tcBorders>
            <w:tcMar>
              <w:top w:w="140" w:type="dxa"/>
              <w:left w:w="140" w:type="dxa"/>
              <w:bottom w:w="140" w:type="dxa"/>
              <w:right w:w="140" w:type="dxa"/>
            </w:tcMar>
          </w:tcPr>
          <w:p w14:paraId="4DC1F051"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參觀森永乳業工場</w:t>
            </w:r>
          </w:p>
        </w:tc>
        <w:tc>
          <w:tcPr>
            <w:tcW w:w="1860" w:type="dxa"/>
            <w:tcBorders>
              <w:right w:val="single" w:sz="8" w:space="0" w:color="9E9E9E"/>
            </w:tcBorders>
            <w:tcMar>
              <w:top w:w="140" w:type="dxa"/>
              <w:left w:w="140" w:type="dxa"/>
              <w:bottom w:w="140" w:type="dxa"/>
              <w:right w:w="140" w:type="dxa"/>
            </w:tcMar>
          </w:tcPr>
          <w:p w14:paraId="242D349C"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東京迪士尼樂園</w:t>
            </w:r>
          </w:p>
        </w:tc>
      </w:tr>
      <w:tr w:rsidR="00C859DE" w14:paraId="0B3DE9D2" w14:textId="77777777">
        <w:trPr>
          <w:trHeight w:val="960"/>
        </w:trPr>
        <w:tc>
          <w:tcPr>
            <w:tcW w:w="1425" w:type="dxa"/>
            <w:tcBorders>
              <w:bottom w:val="single" w:sz="8" w:space="0" w:color="9E9E9E"/>
            </w:tcBorders>
            <w:tcMar>
              <w:top w:w="140" w:type="dxa"/>
              <w:left w:w="140" w:type="dxa"/>
              <w:bottom w:w="140" w:type="dxa"/>
              <w:right w:w="140" w:type="dxa"/>
            </w:tcMar>
          </w:tcPr>
          <w:p w14:paraId="6868D48C"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12:00-12:59</w:t>
            </w:r>
          </w:p>
        </w:tc>
        <w:tc>
          <w:tcPr>
            <w:tcW w:w="1845" w:type="dxa"/>
            <w:vMerge w:val="restart"/>
            <w:tcBorders>
              <w:bottom w:val="single" w:sz="8" w:space="0" w:color="9E9E9E"/>
            </w:tcBorders>
            <w:tcMar>
              <w:top w:w="140" w:type="dxa"/>
              <w:left w:w="140" w:type="dxa"/>
              <w:bottom w:w="140" w:type="dxa"/>
              <w:right w:w="140" w:type="dxa"/>
            </w:tcMar>
          </w:tcPr>
          <w:p w14:paraId="18AEF1E1"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入住酒店 （怪奇飯店羽田）</w:t>
            </w:r>
          </w:p>
        </w:tc>
        <w:tc>
          <w:tcPr>
            <w:tcW w:w="1695" w:type="dxa"/>
            <w:tcBorders>
              <w:bottom w:val="single" w:sz="8" w:space="0" w:color="9E9E9E"/>
              <w:right w:val="single" w:sz="8" w:space="0" w:color="9E9E9E"/>
            </w:tcBorders>
            <w:tcMar>
              <w:top w:w="140" w:type="dxa"/>
              <w:left w:w="140" w:type="dxa"/>
              <w:bottom w:w="140" w:type="dxa"/>
              <w:right w:w="140" w:type="dxa"/>
            </w:tcMar>
          </w:tcPr>
          <w:p w14:paraId="0A81F140"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校園內午餐</w:t>
            </w:r>
          </w:p>
        </w:tc>
        <w:tc>
          <w:tcPr>
            <w:tcW w:w="1860" w:type="dxa"/>
            <w:tcBorders>
              <w:bottom w:val="single" w:sz="8" w:space="0" w:color="9E9E9E"/>
              <w:right w:val="single" w:sz="8" w:space="0" w:color="9E9E9E"/>
            </w:tcBorders>
            <w:tcMar>
              <w:top w:w="140" w:type="dxa"/>
              <w:left w:w="140" w:type="dxa"/>
              <w:bottom w:w="140" w:type="dxa"/>
              <w:right w:w="140" w:type="dxa"/>
            </w:tcMar>
          </w:tcPr>
          <w:p w14:paraId="3610D3AE"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大田市場三洋食堂午餐</w:t>
            </w:r>
          </w:p>
        </w:tc>
        <w:tc>
          <w:tcPr>
            <w:tcW w:w="1860" w:type="dxa"/>
            <w:tcBorders>
              <w:bottom w:val="single" w:sz="8" w:space="0" w:color="9E9E9E"/>
              <w:right w:val="single" w:sz="8" w:space="0" w:color="9E9E9E"/>
            </w:tcBorders>
            <w:tcMar>
              <w:top w:w="140" w:type="dxa"/>
              <w:left w:w="140" w:type="dxa"/>
              <w:bottom w:w="140" w:type="dxa"/>
              <w:right w:w="140" w:type="dxa"/>
            </w:tcMar>
          </w:tcPr>
          <w:p w14:paraId="3E95933A"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收拾行李</w:t>
            </w:r>
          </w:p>
        </w:tc>
      </w:tr>
      <w:tr w:rsidR="00C859DE" w14:paraId="06B8E779" w14:textId="77777777">
        <w:trPr>
          <w:trHeight w:val="960"/>
        </w:trPr>
        <w:tc>
          <w:tcPr>
            <w:tcW w:w="1425" w:type="dxa"/>
            <w:tcBorders>
              <w:bottom w:val="single" w:sz="8" w:space="0" w:color="9E9E9E"/>
            </w:tcBorders>
            <w:tcMar>
              <w:top w:w="140" w:type="dxa"/>
              <w:left w:w="140" w:type="dxa"/>
              <w:bottom w:w="140" w:type="dxa"/>
              <w:right w:w="140" w:type="dxa"/>
            </w:tcMar>
          </w:tcPr>
          <w:p w14:paraId="613FD748"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13:00-13:59</w:t>
            </w:r>
          </w:p>
        </w:tc>
        <w:tc>
          <w:tcPr>
            <w:tcW w:w="1845" w:type="dxa"/>
            <w:vMerge/>
            <w:tcBorders>
              <w:bottom w:val="single" w:sz="8" w:space="0" w:color="9E9E9E"/>
            </w:tcBorders>
            <w:tcMar>
              <w:top w:w="140" w:type="dxa"/>
              <w:left w:w="140" w:type="dxa"/>
              <w:bottom w:w="140" w:type="dxa"/>
              <w:right w:w="140" w:type="dxa"/>
            </w:tcMar>
          </w:tcPr>
          <w:p w14:paraId="6932D59F" w14:textId="77777777" w:rsidR="00C859DE" w:rsidRDefault="00C859DE">
            <w:pPr>
              <w:widowControl w:val="0"/>
              <w:spacing w:line="240" w:lineRule="auto"/>
              <w:rPr>
                <w:rFonts w:ascii="PMingLiU" w:eastAsia="PMingLiU" w:hAnsi="PMingLiU" w:cs="PMingLiU"/>
                <w:sz w:val="20"/>
                <w:szCs w:val="20"/>
              </w:rPr>
            </w:pPr>
          </w:p>
        </w:tc>
        <w:tc>
          <w:tcPr>
            <w:tcW w:w="1695" w:type="dxa"/>
            <w:vMerge w:val="restart"/>
            <w:tcBorders>
              <w:bottom w:val="single" w:sz="8" w:space="0" w:color="9E9E9E"/>
              <w:right w:val="single" w:sz="8" w:space="0" w:color="9E9E9E"/>
            </w:tcBorders>
            <w:tcMar>
              <w:top w:w="140" w:type="dxa"/>
              <w:left w:w="140" w:type="dxa"/>
              <w:bottom w:w="140" w:type="dxa"/>
              <w:right w:w="140" w:type="dxa"/>
            </w:tcMar>
          </w:tcPr>
          <w:p w14:paraId="5E3A2740"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參觀精密與智能實驗室</w:t>
            </w:r>
          </w:p>
        </w:tc>
        <w:tc>
          <w:tcPr>
            <w:tcW w:w="1860" w:type="dxa"/>
            <w:vMerge w:val="restart"/>
            <w:tcBorders>
              <w:bottom w:val="single" w:sz="8" w:space="0" w:color="9E9E9E"/>
              <w:right w:val="single" w:sz="8" w:space="0" w:color="9E9E9E"/>
            </w:tcBorders>
            <w:tcMar>
              <w:top w:w="140" w:type="dxa"/>
              <w:left w:w="140" w:type="dxa"/>
              <w:bottom w:w="140" w:type="dxa"/>
              <w:right w:w="140" w:type="dxa"/>
            </w:tcMar>
          </w:tcPr>
          <w:p w14:paraId="7800B111"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參觀首都圈外郭放水路</w:t>
            </w:r>
            <w:r>
              <w:rPr>
                <w:rFonts w:ascii="PMingLiU" w:eastAsia="PMingLiU" w:hAnsi="PMingLiU" w:cs="PMingLiU"/>
              </w:rPr>
              <w:t>防洪設施</w:t>
            </w:r>
          </w:p>
        </w:tc>
        <w:tc>
          <w:tcPr>
            <w:tcW w:w="1860" w:type="dxa"/>
            <w:tcBorders>
              <w:right w:val="single" w:sz="8" w:space="0" w:color="9E9E9E"/>
            </w:tcBorders>
            <w:tcMar>
              <w:top w:w="140" w:type="dxa"/>
              <w:left w:w="140" w:type="dxa"/>
              <w:bottom w:w="140" w:type="dxa"/>
              <w:right w:w="140" w:type="dxa"/>
            </w:tcMar>
          </w:tcPr>
          <w:p w14:paraId="4D95CBD1"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前往機場</w:t>
            </w:r>
          </w:p>
        </w:tc>
      </w:tr>
      <w:tr w:rsidR="00C859DE" w14:paraId="5D7FEA1B" w14:textId="77777777">
        <w:trPr>
          <w:trHeight w:val="503"/>
        </w:trPr>
        <w:tc>
          <w:tcPr>
            <w:tcW w:w="142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7E94B890"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14:00-17:30</w:t>
            </w:r>
          </w:p>
        </w:tc>
        <w:tc>
          <w:tcPr>
            <w:tcW w:w="1845" w:type="dxa"/>
            <w:tcBorders>
              <w:top w:val="single" w:sz="8" w:space="0" w:color="9E9E9E"/>
              <w:left w:val="single" w:sz="8" w:space="0" w:color="9E9E9E"/>
              <w:bottom w:val="single" w:sz="8" w:space="0" w:color="9E9E9E"/>
            </w:tcBorders>
            <w:tcMar>
              <w:top w:w="140" w:type="dxa"/>
              <w:left w:w="140" w:type="dxa"/>
              <w:bottom w:w="140" w:type="dxa"/>
              <w:right w:w="140" w:type="dxa"/>
            </w:tcMar>
          </w:tcPr>
          <w:p w14:paraId="2A796194"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日本航空「JAL SKY MUSEUM」飛航博物館</w:t>
            </w:r>
          </w:p>
        </w:tc>
        <w:tc>
          <w:tcPr>
            <w:tcW w:w="1695" w:type="dxa"/>
            <w:vMerge/>
            <w:tcBorders>
              <w:top w:val="single" w:sz="8" w:space="0" w:color="9E9E9E"/>
              <w:bottom w:val="single" w:sz="8" w:space="0" w:color="9E9E9E"/>
            </w:tcBorders>
            <w:tcMar>
              <w:top w:w="140" w:type="dxa"/>
              <w:left w:w="140" w:type="dxa"/>
              <w:bottom w:w="140" w:type="dxa"/>
              <w:right w:w="140" w:type="dxa"/>
            </w:tcMar>
          </w:tcPr>
          <w:p w14:paraId="0DA12896" w14:textId="77777777" w:rsidR="00C859DE" w:rsidRDefault="00C859DE">
            <w:pPr>
              <w:widowControl w:val="0"/>
              <w:spacing w:line="240" w:lineRule="auto"/>
              <w:rPr>
                <w:rFonts w:ascii="PMingLiU" w:eastAsia="PMingLiU" w:hAnsi="PMingLiU" w:cs="PMingLiU"/>
              </w:rPr>
            </w:pPr>
          </w:p>
        </w:tc>
        <w:tc>
          <w:tcPr>
            <w:tcW w:w="1860" w:type="dxa"/>
            <w:vMerge/>
            <w:tcBorders>
              <w:top w:val="single" w:sz="8" w:space="0" w:color="9E9E9E"/>
              <w:bottom w:val="single" w:sz="8" w:space="0" w:color="9E9E9E"/>
            </w:tcBorders>
            <w:tcMar>
              <w:top w:w="140" w:type="dxa"/>
              <w:left w:w="140" w:type="dxa"/>
              <w:bottom w:w="140" w:type="dxa"/>
              <w:right w:w="140" w:type="dxa"/>
            </w:tcMar>
          </w:tcPr>
          <w:p w14:paraId="7A9EB058" w14:textId="77777777" w:rsidR="00C859DE" w:rsidRDefault="00C859DE">
            <w:pPr>
              <w:widowControl w:val="0"/>
              <w:spacing w:line="360" w:lineRule="auto"/>
              <w:rPr>
                <w:rFonts w:ascii="PMingLiU" w:eastAsia="PMingLiU" w:hAnsi="PMingLiU" w:cs="PMingLiU"/>
              </w:rPr>
            </w:pPr>
          </w:p>
        </w:tc>
        <w:tc>
          <w:tcPr>
            <w:tcW w:w="1860" w:type="dxa"/>
            <w:vMerge w:val="restart"/>
            <w:tcBorders>
              <w:top w:val="single" w:sz="8" w:space="0" w:color="9E9E9E"/>
              <w:bottom w:val="single" w:sz="8" w:space="0" w:color="9E9E9E"/>
            </w:tcBorders>
            <w:tcMar>
              <w:top w:w="140" w:type="dxa"/>
              <w:left w:w="140" w:type="dxa"/>
              <w:bottom w:w="140" w:type="dxa"/>
              <w:right w:w="140" w:type="dxa"/>
            </w:tcMar>
          </w:tcPr>
          <w:p w14:paraId="34E02677" w14:textId="77777777" w:rsidR="00C859DE" w:rsidRDefault="00C859DE">
            <w:pPr>
              <w:widowControl w:val="0"/>
              <w:spacing w:line="360" w:lineRule="auto"/>
              <w:jc w:val="center"/>
              <w:rPr>
                <w:rFonts w:ascii="PMingLiU" w:eastAsia="PMingLiU" w:hAnsi="PMingLiU" w:cs="PMingLiU"/>
              </w:rPr>
            </w:pPr>
          </w:p>
          <w:p w14:paraId="16307EDF"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香港快運航空</w:t>
            </w:r>
          </w:p>
        </w:tc>
      </w:tr>
      <w:tr w:rsidR="00C859DE" w14:paraId="16FB340A" w14:textId="77777777">
        <w:trPr>
          <w:trHeight w:val="480"/>
        </w:trPr>
        <w:tc>
          <w:tcPr>
            <w:tcW w:w="1425" w:type="dxa"/>
            <w:vMerge w:val="restart"/>
            <w:tcBorders>
              <w:top w:val="single" w:sz="8" w:space="0" w:color="9E9E9E"/>
              <w:left w:val="single" w:sz="8" w:space="0" w:color="9E9E9E"/>
              <w:right w:val="single" w:sz="8" w:space="0" w:color="9E9E9E"/>
            </w:tcBorders>
            <w:tcMar>
              <w:top w:w="140" w:type="dxa"/>
              <w:left w:w="140" w:type="dxa"/>
              <w:bottom w:w="140" w:type="dxa"/>
              <w:right w:w="140" w:type="dxa"/>
            </w:tcMar>
          </w:tcPr>
          <w:p w14:paraId="0F44F763"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lastRenderedPageBreak/>
              <w:t>17:30-18:59</w:t>
            </w:r>
          </w:p>
        </w:tc>
        <w:tc>
          <w:tcPr>
            <w:tcW w:w="1845" w:type="dxa"/>
            <w:vMerge w:val="restart"/>
            <w:tcBorders>
              <w:top w:val="single" w:sz="8" w:space="0" w:color="9E9E9E"/>
              <w:left w:val="single" w:sz="8" w:space="0" w:color="9E9E9E"/>
              <w:right w:val="single" w:sz="8" w:space="0" w:color="9E9E9E"/>
            </w:tcBorders>
            <w:tcMar>
              <w:top w:w="140" w:type="dxa"/>
              <w:left w:w="140" w:type="dxa"/>
              <w:bottom w:w="140" w:type="dxa"/>
              <w:right w:w="140" w:type="dxa"/>
            </w:tcMar>
          </w:tcPr>
          <w:p w14:paraId="63D341D1"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大眾澡堂- 幸之湯</w:t>
            </w:r>
          </w:p>
        </w:tc>
        <w:tc>
          <w:tcPr>
            <w:tcW w:w="1695" w:type="dxa"/>
            <w:vMerge w:val="restart"/>
            <w:tcBorders>
              <w:top w:val="single" w:sz="8" w:space="0" w:color="9E9E9E"/>
              <w:left w:val="single" w:sz="8" w:space="0" w:color="9E9E9E"/>
              <w:right w:val="single" w:sz="8" w:space="0" w:color="9E9E9E"/>
            </w:tcBorders>
            <w:tcMar>
              <w:top w:w="140" w:type="dxa"/>
              <w:left w:w="140" w:type="dxa"/>
              <w:bottom w:w="140" w:type="dxa"/>
              <w:right w:w="140" w:type="dxa"/>
            </w:tcMar>
          </w:tcPr>
          <w:p w14:paraId="3A90D940"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晚餐</w:t>
            </w:r>
          </w:p>
        </w:tc>
        <w:tc>
          <w:tcPr>
            <w:tcW w:w="1860" w:type="dxa"/>
            <w:vMerge w:val="restart"/>
            <w:tcBorders>
              <w:top w:val="single" w:sz="8" w:space="0" w:color="9E9E9E"/>
              <w:left w:val="single" w:sz="8" w:space="0" w:color="9E9E9E"/>
              <w:right w:val="single" w:sz="8" w:space="0" w:color="9E9E9E"/>
            </w:tcBorders>
            <w:tcMar>
              <w:top w:w="140" w:type="dxa"/>
              <w:left w:w="140" w:type="dxa"/>
              <w:bottom w:w="140" w:type="dxa"/>
              <w:right w:w="140" w:type="dxa"/>
            </w:tcMar>
          </w:tcPr>
          <w:p w14:paraId="61EB3C6C"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居酒屋晚餐</w:t>
            </w:r>
          </w:p>
        </w:tc>
        <w:tc>
          <w:tcPr>
            <w:tcW w:w="1860" w:type="dxa"/>
            <w:vMerge/>
            <w:tcMar>
              <w:top w:w="140" w:type="dxa"/>
              <w:left w:w="140" w:type="dxa"/>
              <w:bottom w:w="140" w:type="dxa"/>
              <w:right w:w="140" w:type="dxa"/>
            </w:tcMar>
          </w:tcPr>
          <w:p w14:paraId="1879E2B7" w14:textId="77777777" w:rsidR="00C859DE" w:rsidRDefault="00C859DE">
            <w:pPr>
              <w:widowControl w:val="0"/>
              <w:spacing w:line="240" w:lineRule="auto"/>
              <w:rPr>
                <w:rFonts w:ascii="PMingLiU" w:eastAsia="PMingLiU" w:hAnsi="PMingLiU" w:cs="PMingLiU"/>
                <w:sz w:val="20"/>
                <w:szCs w:val="20"/>
              </w:rPr>
            </w:pPr>
          </w:p>
        </w:tc>
      </w:tr>
      <w:tr w:rsidR="00C859DE" w14:paraId="665474F8" w14:textId="77777777">
        <w:trPr>
          <w:trHeight w:val="500"/>
        </w:trPr>
        <w:tc>
          <w:tcPr>
            <w:tcW w:w="1425" w:type="dxa"/>
            <w:vMerge/>
            <w:tcBorders>
              <w:left w:val="single" w:sz="8" w:space="0" w:color="9E9E9E"/>
              <w:right w:val="single" w:sz="8" w:space="0" w:color="9E9E9E"/>
            </w:tcBorders>
            <w:tcMar>
              <w:top w:w="140" w:type="dxa"/>
              <w:left w:w="140" w:type="dxa"/>
              <w:bottom w:w="140" w:type="dxa"/>
              <w:right w:w="140" w:type="dxa"/>
            </w:tcMar>
          </w:tcPr>
          <w:p w14:paraId="3E0827E5" w14:textId="77777777" w:rsidR="00C859DE" w:rsidRDefault="00C859DE">
            <w:pPr>
              <w:widowControl w:val="0"/>
              <w:spacing w:line="360" w:lineRule="auto"/>
              <w:rPr>
                <w:rFonts w:ascii="PMingLiU" w:eastAsia="PMingLiU" w:hAnsi="PMingLiU" w:cs="PMingLiU"/>
              </w:rPr>
            </w:pPr>
          </w:p>
        </w:tc>
        <w:tc>
          <w:tcPr>
            <w:tcW w:w="1845" w:type="dxa"/>
            <w:vMerge/>
            <w:tcBorders>
              <w:left w:val="single" w:sz="8" w:space="0" w:color="9E9E9E"/>
              <w:right w:val="single" w:sz="8" w:space="0" w:color="9E9E9E"/>
            </w:tcBorders>
            <w:tcMar>
              <w:top w:w="140" w:type="dxa"/>
              <w:left w:w="140" w:type="dxa"/>
              <w:bottom w:w="140" w:type="dxa"/>
              <w:right w:w="140" w:type="dxa"/>
            </w:tcMar>
          </w:tcPr>
          <w:p w14:paraId="59EF41E0" w14:textId="77777777" w:rsidR="00C859DE" w:rsidRDefault="00C859DE">
            <w:pPr>
              <w:widowControl w:val="0"/>
              <w:spacing w:line="360" w:lineRule="auto"/>
              <w:rPr>
                <w:rFonts w:ascii="PMingLiU" w:eastAsia="PMingLiU" w:hAnsi="PMingLiU" w:cs="PMingLiU"/>
              </w:rPr>
            </w:pPr>
          </w:p>
        </w:tc>
        <w:tc>
          <w:tcPr>
            <w:tcW w:w="1695" w:type="dxa"/>
            <w:vMerge/>
            <w:tcBorders>
              <w:left w:val="single" w:sz="8" w:space="0" w:color="9E9E9E"/>
              <w:right w:val="single" w:sz="8" w:space="0" w:color="9E9E9E"/>
            </w:tcBorders>
            <w:tcMar>
              <w:top w:w="140" w:type="dxa"/>
              <w:left w:w="140" w:type="dxa"/>
              <w:bottom w:w="140" w:type="dxa"/>
              <w:right w:w="140" w:type="dxa"/>
            </w:tcMar>
          </w:tcPr>
          <w:p w14:paraId="4ABF055E" w14:textId="77777777" w:rsidR="00C859DE" w:rsidRDefault="00C859DE">
            <w:pPr>
              <w:widowControl w:val="0"/>
              <w:spacing w:line="360" w:lineRule="auto"/>
              <w:rPr>
                <w:rFonts w:ascii="PMingLiU" w:eastAsia="PMingLiU" w:hAnsi="PMingLiU" w:cs="PMingLiU"/>
              </w:rPr>
            </w:pPr>
          </w:p>
        </w:tc>
        <w:tc>
          <w:tcPr>
            <w:tcW w:w="1860" w:type="dxa"/>
            <w:vMerge/>
            <w:tcBorders>
              <w:left w:val="single" w:sz="8" w:space="0" w:color="9E9E9E"/>
              <w:right w:val="single" w:sz="8" w:space="0" w:color="9E9E9E"/>
            </w:tcBorders>
            <w:tcMar>
              <w:top w:w="140" w:type="dxa"/>
              <w:left w:w="140" w:type="dxa"/>
              <w:bottom w:w="140" w:type="dxa"/>
              <w:right w:w="140" w:type="dxa"/>
            </w:tcMar>
          </w:tcPr>
          <w:p w14:paraId="1D3DBC92" w14:textId="77777777" w:rsidR="00C859DE" w:rsidRDefault="00C859DE">
            <w:pPr>
              <w:widowControl w:val="0"/>
              <w:spacing w:line="360" w:lineRule="auto"/>
              <w:rPr>
                <w:rFonts w:ascii="PMingLiU" w:eastAsia="PMingLiU" w:hAnsi="PMingLiU" w:cs="PMingLiU"/>
              </w:rPr>
            </w:pPr>
          </w:p>
        </w:tc>
        <w:tc>
          <w:tcPr>
            <w:tcW w:w="1860" w:type="dxa"/>
            <w:vMerge/>
            <w:tcMar>
              <w:top w:w="140" w:type="dxa"/>
              <w:left w:w="140" w:type="dxa"/>
              <w:bottom w:w="140" w:type="dxa"/>
              <w:right w:w="140" w:type="dxa"/>
            </w:tcMar>
          </w:tcPr>
          <w:p w14:paraId="6477E336" w14:textId="77777777" w:rsidR="00C859DE" w:rsidRDefault="00C859DE">
            <w:pPr>
              <w:widowControl w:val="0"/>
              <w:spacing w:line="240" w:lineRule="auto"/>
              <w:rPr>
                <w:rFonts w:ascii="PMingLiU" w:eastAsia="PMingLiU" w:hAnsi="PMingLiU" w:cs="PMingLiU"/>
              </w:rPr>
            </w:pPr>
          </w:p>
        </w:tc>
      </w:tr>
      <w:tr w:rsidR="00C859DE" w14:paraId="0A42BC79" w14:textId="77777777">
        <w:trPr>
          <w:trHeight w:val="429"/>
        </w:trPr>
        <w:tc>
          <w:tcPr>
            <w:tcW w:w="1425"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51182C94" w14:textId="77777777" w:rsidR="00C859DE" w:rsidRDefault="00C859DE">
            <w:pPr>
              <w:widowControl w:val="0"/>
              <w:spacing w:line="360" w:lineRule="auto"/>
              <w:rPr>
                <w:rFonts w:ascii="PMingLiU" w:eastAsia="PMingLiU" w:hAnsi="PMingLiU" w:cs="PMingLiU"/>
              </w:rPr>
            </w:pPr>
          </w:p>
        </w:tc>
        <w:tc>
          <w:tcPr>
            <w:tcW w:w="1845"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2773057B" w14:textId="77777777" w:rsidR="00C859DE" w:rsidRDefault="00C859DE">
            <w:pPr>
              <w:widowControl w:val="0"/>
              <w:spacing w:line="360" w:lineRule="auto"/>
              <w:rPr>
                <w:rFonts w:ascii="PMingLiU" w:eastAsia="PMingLiU" w:hAnsi="PMingLiU" w:cs="PMingLiU"/>
              </w:rPr>
            </w:pPr>
          </w:p>
        </w:tc>
        <w:tc>
          <w:tcPr>
            <w:tcW w:w="1695"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02A5FFC0" w14:textId="77777777" w:rsidR="00C859DE" w:rsidRDefault="00C859DE">
            <w:pPr>
              <w:widowControl w:val="0"/>
              <w:spacing w:line="360" w:lineRule="auto"/>
              <w:rPr>
                <w:rFonts w:ascii="PMingLiU" w:eastAsia="PMingLiU" w:hAnsi="PMingLiU" w:cs="PMingLiU"/>
              </w:rPr>
            </w:pPr>
          </w:p>
        </w:tc>
        <w:tc>
          <w:tcPr>
            <w:tcW w:w="1860"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355127D7"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交通 ：科學園→香港中文大學</w:t>
            </w:r>
          </w:p>
        </w:tc>
        <w:tc>
          <w:tcPr>
            <w:tcW w:w="1860"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05723AB4" w14:textId="77777777" w:rsidR="00C859DE" w:rsidRDefault="00C859DE">
            <w:pPr>
              <w:widowControl w:val="0"/>
              <w:spacing w:line="240" w:lineRule="auto"/>
              <w:rPr>
                <w:rFonts w:ascii="PMingLiU" w:eastAsia="PMingLiU" w:hAnsi="PMingLiU" w:cs="PMingLiU"/>
                <w:sz w:val="24"/>
                <w:szCs w:val="24"/>
              </w:rPr>
            </w:pPr>
          </w:p>
        </w:tc>
      </w:tr>
      <w:tr w:rsidR="00C859DE" w14:paraId="162CE6DB" w14:textId="77777777">
        <w:trPr>
          <w:trHeight w:val="555"/>
        </w:trPr>
        <w:tc>
          <w:tcPr>
            <w:tcW w:w="142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3D452076"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19:00</w:t>
            </w:r>
          </w:p>
        </w:tc>
        <w:tc>
          <w:tcPr>
            <w:tcW w:w="184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1FFB12AE"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晚餐，自由活動</w:t>
            </w:r>
          </w:p>
        </w:tc>
        <w:tc>
          <w:tcPr>
            <w:tcW w:w="169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7E085F72"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自由活動</w:t>
            </w:r>
          </w:p>
        </w:tc>
        <w:tc>
          <w:tcPr>
            <w:tcW w:w="1860"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22428822"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自由活動</w:t>
            </w:r>
          </w:p>
        </w:tc>
        <w:tc>
          <w:tcPr>
            <w:tcW w:w="1860"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6D6D5398"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機場解散</w:t>
            </w:r>
          </w:p>
        </w:tc>
      </w:tr>
    </w:tbl>
    <w:p w14:paraId="53A1241E" w14:textId="77777777" w:rsidR="00C859DE" w:rsidRDefault="00000000">
      <w:pPr>
        <w:spacing w:before="240" w:after="240" w:line="360" w:lineRule="auto"/>
        <w:rPr>
          <w:rFonts w:ascii="PMingLiU" w:eastAsia="PMingLiU" w:hAnsi="PMingLiU" w:cs="PMingLiU"/>
          <w:b/>
          <w:bCs/>
          <w:sz w:val="24"/>
          <w:szCs w:val="24"/>
          <w:u w:val="single"/>
        </w:rPr>
      </w:pPr>
      <w:r>
        <w:rPr>
          <w:rFonts w:ascii="PMingLiU" w:eastAsia="PMingLiU" w:hAnsi="PMingLiU" w:cs="PMingLiU"/>
          <w:b/>
          <w:bCs/>
          <w:sz w:val="24"/>
          <w:szCs w:val="24"/>
          <w:u w:val="single"/>
        </w:rPr>
        <w:t>7.  宣傳計劃</w:t>
      </w:r>
    </w:p>
    <w:p w14:paraId="67F37474"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7.1 海報</w:t>
      </w:r>
    </w:p>
    <w:p w14:paraId="01C77304"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本會希望將工程學生易於注意海報的地方作為考量點，篩選了三個海報張貼的選址。分別是譚榮芬創科翼，周亦卿樓同黃克競樓。周亦卿樓與譚詠芳創科翼皆為工程學生聚集地，而黃克競樓則為工程學生實驗室。從樓宇用途可推算大量工程學生會途經過以上地方，因此本會決定以上選址。本會將海報製作流程分成四主要階段。首先是設計，其次是校對，然後印刷，最後於二零二三年二月六日進行海報張貼。本會特意預留額外一個星期於校對工作以確保海報質素。以下展示了海報示例，從示例可見本會以簡約鮮明風格為主。望學生能夠一目了然，知道本次交流團的重要活動。本會以半篇幅擺放參觀設施照片，望能在人來人往的道路吸引學生注目。而另外半篇幅擺放報名資訊及提供二維碼以方便有意者報名。</w:t>
      </w:r>
    </w:p>
    <w:p w14:paraId="5B941101" w14:textId="77777777" w:rsidR="00C859DE" w:rsidRDefault="00000000">
      <w:pPr>
        <w:spacing w:before="240" w:after="240" w:line="360" w:lineRule="auto"/>
        <w:jc w:val="center"/>
        <w:rPr>
          <w:rFonts w:ascii="PMingLiU" w:eastAsia="PMingLiU" w:hAnsi="PMingLiU" w:cs="PMingLiU"/>
          <w:sz w:val="24"/>
          <w:szCs w:val="24"/>
        </w:rPr>
      </w:pPr>
      <w:r>
        <w:rPr>
          <w:rFonts w:ascii="PMingLiU" w:eastAsia="PMingLiU" w:hAnsi="PMingLiU" w:cs="PMingLiU"/>
          <w:noProof/>
          <w:sz w:val="24"/>
          <w:szCs w:val="24"/>
        </w:rPr>
        <w:lastRenderedPageBreak/>
        <w:drawing>
          <wp:inline distT="114300" distB="114300" distL="114300" distR="114300" wp14:anchorId="42B3FAB9" wp14:editId="0DA663A0">
            <wp:extent cx="2071688" cy="2928094"/>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071688" cy="2928094"/>
                    </a:xfrm>
                    <a:prstGeom prst="rect">
                      <a:avLst/>
                    </a:prstGeom>
                    <a:ln/>
                  </pic:spPr>
                </pic:pic>
              </a:graphicData>
            </a:graphic>
          </wp:inline>
        </w:drawing>
      </w:r>
      <w:r>
        <w:rPr>
          <w:rFonts w:ascii="PMingLiU" w:eastAsia="PMingLiU" w:hAnsi="PMingLiU" w:cs="PMingLiU"/>
          <w:sz w:val="24"/>
          <w:szCs w:val="24"/>
        </w:rPr>
        <w:t xml:space="preserve"> </w:t>
      </w:r>
    </w:p>
    <w:p w14:paraId="5A5D482D" w14:textId="77777777" w:rsidR="00C859DE" w:rsidRDefault="00000000">
      <w:pPr>
        <w:spacing w:line="360" w:lineRule="auto"/>
        <w:jc w:val="center"/>
        <w:rPr>
          <w:rFonts w:ascii="PMingLiU" w:eastAsia="PMingLiU" w:hAnsi="PMingLiU" w:cs="PMingLiU"/>
          <w:sz w:val="24"/>
          <w:szCs w:val="24"/>
        </w:rPr>
      </w:pPr>
      <w:r>
        <w:rPr>
          <w:rFonts w:ascii="PMingLiU" w:eastAsia="PMingLiU" w:hAnsi="PMingLiU" w:cs="PMingLiU"/>
          <w:sz w:val="24"/>
          <w:szCs w:val="24"/>
        </w:rPr>
        <w:t>圖片二：海報示例。</w:t>
      </w:r>
    </w:p>
    <w:p w14:paraId="47A6DE02" w14:textId="77777777" w:rsidR="00C859DE" w:rsidRDefault="00C859DE">
      <w:pPr>
        <w:spacing w:line="360" w:lineRule="auto"/>
        <w:rPr>
          <w:rFonts w:ascii="PMingLiU" w:eastAsia="PMingLiU" w:hAnsi="PMingLiU" w:cs="PMingLiU"/>
          <w:sz w:val="24"/>
          <w:szCs w:val="24"/>
        </w:rPr>
      </w:pPr>
    </w:p>
    <w:p w14:paraId="679FCFA3"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海報左上圖片展示東京工業大學的優美環境。海報右上圖片展示東京工業大學物料實驗室先進設備。海報左下圖片展示日本航空飛航博物館。海報右下展示首都圈外郭放水路全球最大型的地下洪水疏導設施。以上活動圖片各有特色，物料實驗室能吸引修讀物料工程及工業工程的學生。日本航空飛航博物館能吸引修讀航空工程及機械工程的學生。全球最大型的地下洪水疏導設施則能吸引修讀土木工程的學生。</w:t>
      </w:r>
    </w:p>
    <w:p w14:paraId="78ED830B"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7.2 社交媒體</w:t>
      </w:r>
    </w:p>
    <w:p w14:paraId="4AC92D3D"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本會將於社交媒體簡介擺放是次交流團Google谷歌連結以供有意者報名。而本會選擇谷歌表格係認為雲端表格有助資料蒐集及方便有意者於不同電子設備報名。另外本會將於社交媒體發布貼文，除了提供電子海報更會特此介紹日本東京工業大學及活動特色。本會亦希望能夠善用社交媒體功能，舉辦網上投票，知道學生對於東京那些機構或活動較有興趣，以供本會未來活動設計修改之用。其次</w:t>
      </w:r>
      <w:r>
        <w:rPr>
          <w:rFonts w:ascii="PMingLiU" w:eastAsia="PMingLiU" w:hAnsi="PMingLiU" w:cs="PMingLiU"/>
          <w:sz w:val="24"/>
          <w:szCs w:val="24"/>
        </w:rPr>
        <w:lastRenderedPageBreak/>
        <w:t>社交媒體限時動態功能 能夠不定時提供交流團資訊。亦能夠每星期發布一次有關日本工程知識同趣聞，以提高讀者大眾對是次交流團的興趣。</w:t>
      </w:r>
    </w:p>
    <w:p w14:paraId="22D95AE6" w14:textId="77777777" w:rsidR="00C859DE" w:rsidRDefault="00000000">
      <w:pPr>
        <w:spacing w:before="240" w:after="240" w:line="360" w:lineRule="auto"/>
        <w:jc w:val="center"/>
        <w:rPr>
          <w:rFonts w:ascii="PMingLiU" w:eastAsia="PMingLiU" w:hAnsi="PMingLiU" w:cs="PMingLiU"/>
          <w:sz w:val="24"/>
          <w:szCs w:val="24"/>
        </w:rPr>
      </w:pPr>
      <w:r>
        <w:rPr>
          <w:rFonts w:ascii="PMingLiU" w:eastAsia="PMingLiU" w:hAnsi="PMingLiU" w:cs="PMingLiU"/>
          <w:noProof/>
          <w:sz w:val="24"/>
          <w:szCs w:val="24"/>
        </w:rPr>
        <w:drawing>
          <wp:inline distT="19050" distB="19050" distL="19050" distR="19050" wp14:anchorId="4348B17D" wp14:editId="56CDE35F">
            <wp:extent cx="2444962" cy="168837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44962" cy="1688378"/>
                    </a:xfrm>
                    <a:prstGeom prst="rect">
                      <a:avLst/>
                    </a:prstGeom>
                    <a:ln/>
                  </pic:spPr>
                </pic:pic>
              </a:graphicData>
            </a:graphic>
          </wp:inline>
        </w:drawing>
      </w:r>
      <w:r>
        <w:rPr>
          <w:rFonts w:ascii="PMingLiU" w:eastAsia="PMingLiU" w:hAnsi="PMingLiU" w:cs="PMingLiU"/>
          <w:sz w:val="24"/>
          <w:szCs w:val="24"/>
        </w:rPr>
        <w:t xml:space="preserve">                     </w:t>
      </w:r>
    </w:p>
    <w:p w14:paraId="0780E5F3" w14:textId="77777777" w:rsidR="00C859DE" w:rsidRDefault="00C859DE">
      <w:pPr>
        <w:spacing w:before="240" w:after="240" w:line="360" w:lineRule="auto"/>
        <w:rPr>
          <w:rFonts w:ascii="PMingLiU" w:eastAsia="PMingLiU" w:hAnsi="PMingLiU" w:cs="PMingLiU"/>
          <w:sz w:val="24"/>
          <w:szCs w:val="24"/>
        </w:rPr>
      </w:pPr>
    </w:p>
    <w:p w14:paraId="77025E2F"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7.3 電郵</w:t>
      </w:r>
    </w:p>
    <w:p w14:paraId="30E43925" w14:textId="77777777" w:rsidR="00C859DE" w:rsidRDefault="00000000">
      <w:pPr>
        <w:spacing w:before="240" w:after="240" w:line="360" w:lineRule="auto"/>
        <w:rPr>
          <w:rFonts w:ascii="PMingLiU" w:eastAsia="PMingLiU" w:hAnsi="PMingLiU" w:cs="PMingLiU"/>
          <w:b/>
          <w:bCs/>
          <w:sz w:val="24"/>
          <w:szCs w:val="24"/>
          <w:u w:val="single"/>
        </w:rPr>
      </w:pPr>
      <w:r>
        <w:rPr>
          <w:rFonts w:ascii="PMingLiU" w:eastAsia="PMingLiU" w:hAnsi="PMingLiU" w:cs="PMingLiU"/>
          <w:sz w:val="24"/>
          <w:szCs w:val="24"/>
        </w:rPr>
        <w:t>最後本會希望透過校內電郵發送群發郵件讓所有工程學生能夠同時接收資訊。電郵附上電子海報及報名連結。</w:t>
      </w:r>
    </w:p>
    <w:p w14:paraId="3E7114E3"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b/>
          <w:bCs/>
          <w:sz w:val="24"/>
          <w:szCs w:val="24"/>
          <w:u w:val="single"/>
        </w:rPr>
        <w:t>8. 財務計劃</w:t>
      </w:r>
    </w:p>
    <w:p w14:paraId="133B1725"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由於實際支出難以詳細列出，因此本會以圖表方式展示交流團支出及收入分佈以作參考。本會估算機票為是次交流團活動最大支出其次是住宿接下來費用平均分佈於各種費用。至於收入方面，本會為減輕報名者經濟負擔，成功爭取工程學院及國際青年交流資助計劃的資助以下調報名費用，望經濟條件不同的學生樂於參與。</w:t>
      </w:r>
    </w:p>
    <w:p w14:paraId="5CF38F47"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noProof/>
          <w:sz w:val="24"/>
          <w:szCs w:val="24"/>
        </w:rPr>
        <w:lastRenderedPageBreak/>
        <w:drawing>
          <wp:inline distT="114300" distB="114300" distL="114300" distR="114300" wp14:anchorId="3398A0FC" wp14:editId="0164A57D">
            <wp:extent cx="2698538" cy="1648595"/>
            <wp:effectExtent l="0" t="0" r="0" b="0"/>
            <wp:docPr id="1" name="Chart 1" descr="交流團預計支出"/>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PMingLiU" w:eastAsia="PMingLiU" w:hAnsi="PMingLiU" w:cs="PMingLiU"/>
          <w:noProof/>
          <w:sz w:val="24"/>
          <w:szCs w:val="24"/>
        </w:rPr>
        <w:drawing>
          <wp:inline distT="114300" distB="114300" distL="114300" distR="114300" wp14:anchorId="0D2D59E5" wp14:editId="1FDE637C">
            <wp:extent cx="2631863" cy="1626432"/>
            <wp:effectExtent l="0" t="0" r="0" b="0"/>
            <wp:docPr id="4" name="Chart 2" descr="交流團預計收入"/>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6CC7069" w14:textId="77777777" w:rsidR="00C859DE" w:rsidRDefault="00C859DE">
      <w:pPr>
        <w:spacing w:line="360" w:lineRule="auto"/>
        <w:rPr>
          <w:rFonts w:ascii="PMingLiU" w:eastAsia="PMingLiU" w:hAnsi="PMingLiU" w:cs="PMingLiU"/>
          <w:sz w:val="24"/>
          <w:szCs w:val="24"/>
        </w:rPr>
      </w:pPr>
    </w:p>
    <w:tbl>
      <w:tblPr>
        <w:tblStyle w:val="a1"/>
        <w:tblW w:w="86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78"/>
        <w:gridCol w:w="2879"/>
        <w:gridCol w:w="2879"/>
      </w:tblGrid>
      <w:tr w:rsidR="00C859DE" w14:paraId="13CB0E4F" w14:textId="77777777">
        <w:tc>
          <w:tcPr>
            <w:tcW w:w="5756" w:type="dxa"/>
            <w:gridSpan w:val="2"/>
            <w:tcBorders>
              <w:top w:val="single" w:sz="8" w:space="0" w:color="3F3533"/>
              <w:left w:val="single" w:sz="8" w:space="0" w:color="3F3533"/>
              <w:bottom w:val="single" w:sz="8" w:space="0" w:color="3F3533"/>
            </w:tcBorders>
            <w:tcMar>
              <w:top w:w="140" w:type="dxa"/>
              <w:left w:w="140" w:type="dxa"/>
              <w:bottom w:w="140" w:type="dxa"/>
              <w:right w:w="140" w:type="dxa"/>
            </w:tcMar>
            <w:vAlign w:val="center"/>
          </w:tcPr>
          <w:p w14:paraId="6C0128E9" w14:textId="77777777" w:rsidR="00C859DE" w:rsidRDefault="00000000">
            <w:pPr>
              <w:spacing w:line="360" w:lineRule="auto"/>
              <w:rPr>
                <w:rFonts w:ascii="PMingLiU" w:eastAsia="PMingLiU" w:hAnsi="PMingLiU" w:cs="PMingLiU"/>
                <w:b/>
                <w:bCs/>
                <w:sz w:val="18"/>
                <w:szCs w:val="18"/>
              </w:rPr>
            </w:pPr>
            <w:r>
              <w:rPr>
                <w:rFonts w:ascii="PMingLiU" w:eastAsia="PMingLiU" w:hAnsi="PMingLiU" w:cs="PMingLiU"/>
                <w:b/>
                <w:bCs/>
                <w:sz w:val="18"/>
                <w:szCs w:val="18"/>
              </w:rPr>
              <w:t>活動收入 （$）</w:t>
            </w:r>
          </w:p>
        </w:tc>
        <w:tc>
          <w:tcPr>
            <w:tcW w:w="2878" w:type="dxa"/>
            <w:tcBorders>
              <w:top w:val="single" w:sz="8" w:space="0" w:color="3F3533"/>
              <w:bottom w:val="single" w:sz="8" w:space="0" w:color="3F3533"/>
              <w:right w:val="single" w:sz="8" w:space="0" w:color="3F3533"/>
            </w:tcBorders>
            <w:tcMar>
              <w:top w:w="140" w:type="dxa"/>
              <w:left w:w="140" w:type="dxa"/>
              <w:bottom w:w="140" w:type="dxa"/>
              <w:right w:w="140" w:type="dxa"/>
            </w:tcMar>
          </w:tcPr>
          <w:p w14:paraId="038B5867" w14:textId="77777777" w:rsidR="00C859DE" w:rsidRDefault="00000000">
            <w:pPr>
              <w:spacing w:line="360" w:lineRule="auto"/>
              <w:rPr>
                <w:rFonts w:ascii="PMingLiU" w:eastAsia="PMingLiU" w:hAnsi="PMingLiU" w:cs="PMingLiU"/>
                <w:sz w:val="10"/>
                <w:szCs w:val="10"/>
              </w:rPr>
            </w:pPr>
            <w:r>
              <w:rPr>
                <w:rFonts w:ascii="PMingLiU" w:eastAsia="PMingLiU" w:hAnsi="PMingLiU" w:cs="PMingLiU"/>
                <w:b/>
                <w:bCs/>
                <w:sz w:val="18"/>
                <w:szCs w:val="18"/>
              </w:rPr>
              <w:t>計算</w:t>
            </w:r>
          </w:p>
        </w:tc>
      </w:tr>
      <w:tr w:rsidR="00C859DE" w14:paraId="6E8CF09B"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6FF0AA96"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團費收入</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ECD3E0A"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8萬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22D20816"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$4,000 x 20人</w:t>
            </w:r>
          </w:p>
        </w:tc>
      </w:tr>
      <w:tr w:rsidR="00C859DE" w14:paraId="262532B0"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2FF7687D"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工程學院資助</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17058C1"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1萬6千</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0E09B9AF"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$800 x 20人</w:t>
            </w:r>
          </w:p>
        </w:tc>
      </w:tr>
      <w:tr w:rsidR="00C859DE" w14:paraId="74F5FA2C"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C1641AE"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國際青年交流支助計劃</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CE2B5CE"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1萬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20659AF2"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$500 x 20人</w:t>
            </w:r>
          </w:p>
        </w:tc>
      </w:tr>
      <w:tr w:rsidR="00C859DE" w14:paraId="2D88D7B7" w14:textId="77777777">
        <w:tc>
          <w:tcPr>
            <w:tcW w:w="5756" w:type="dxa"/>
            <w:gridSpan w:val="2"/>
            <w:tcBorders>
              <w:top w:val="single" w:sz="8" w:space="0" w:color="3F3533"/>
              <w:left w:val="single" w:sz="8" w:space="0" w:color="3F3533"/>
              <w:bottom w:val="single" w:sz="8" w:space="0" w:color="3F3533"/>
            </w:tcBorders>
            <w:tcMar>
              <w:top w:w="140" w:type="dxa"/>
              <w:left w:w="140" w:type="dxa"/>
              <w:bottom w:w="140" w:type="dxa"/>
              <w:right w:w="140" w:type="dxa"/>
            </w:tcMar>
            <w:vAlign w:val="center"/>
          </w:tcPr>
          <w:p w14:paraId="1B8B5609" w14:textId="77777777" w:rsidR="00C859DE" w:rsidRDefault="00000000">
            <w:pPr>
              <w:spacing w:line="360" w:lineRule="auto"/>
              <w:rPr>
                <w:rFonts w:ascii="PMingLiU" w:eastAsia="PMingLiU" w:hAnsi="PMingLiU" w:cs="PMingLiU"/>
                <w:b/>
                <w:bCs/>
                <w:sz w:val="18"/>
                <w:szCs w:val="18"/>
              </w:rPr>
            </w:pPr>
            <w:r>
              <w:rPr>
                <w:rFonts w:ascii="PMingLiU" w:eastAsia="PMingLiU" w:hAnsi="PMingLiU" w:cs="PMingLiU"/>
                <w:b/>
                <w:bCs/>
                <w:sz w:val="18"/>
                <w:szCs w:val="18"/>
              </w:rPr>
              <w:t>活動支出 （$）</w:t>
            </w:r>
          </w:p>
        </w:tc>
        <w:tc>
          <w:tcPr>
            <w:tcW w:w="2878" w:type="dxa"/>
            <w:tcBorders>
              <w:top w:val="single" w:sz="8" w:space="0" w:color="3F3533"/>
              <w:bottom w:val="single" w:sz="8" w:space="0" w:color="3F3533"/>
              <w:right w:val="single" w:sz="8" w:space="0" w:color="3F3533"/>
            </w:tcBorders>
            <w:tcMar>
              <w:top w:w="140" w:type="dxa"/>
              <w:left w:w="140" w:type="dxa"/>
              <w:bottom w:w="140" w:type="dxa"/>
              <w:right w:w="140" w:type="dxa"/>
            </w:tcMar>
          </w:tcPr>
          <w:p w14:paraId="4B70480C" w14:textId="77777777" w:rsidR="00C859DE" w:rsidRDefault="00C859DE">
            <w:pPr>
              <w:widowControl w:val="0"/>
              <w:spacing w:line="360" w:lineRule="auto"/>
              <w:rPr>
                <w:rFonts w:ascii="PMingLiU" w:eastAsia="PMingLiU" w:hAnsi="PMingLiU" w:cs="PMingLiU"/>
                <w:sz w:val="18"/>
                <w:szCs w:val="18"/>
              </w:rPr>
            </w:pPr>
          </w:p>
        </w:tc>
      </w:tr>
      <w:tr w:rsidR="00C859DE" w14:paraId="49A60332"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5C85BC6"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機票</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2275A208"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6萬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15D5E45A"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$3000 x 20人</w:t>
            </w:r>
          </w:p>
        </w:tc>
      </w:tr>
      <w:tr w:rsidR="00C859DE" w14:paraId="71E08652"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00D57F57"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住宿</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1982EED8" w14:textId="77777777" w:rsidR="00C859DE" w:rsidRDefault="00000000">
            <w:pPr>
              <w:spacing w:line="360" w:lineRule="auto"/>
              <w:rPr>
                <w:rFonts w:ascii="PMingLiU" w:eastAsia="PMingLiU" w:hAnsi="PMingLiU" w:cs="PMingLiU"/>
                <w:sz w:val="18"/>
                <w:szCs w:val="18"/>
                <w:u w:val="single"/>
              </w:rPr>
            </w:pPr>
            <w:r>
              <w:rPr>
                <w:rFonts w:ascii="PMingLiU" w:eastAsia="PMingLiU" w:hAnsi="PMingLiU" w:cs="PMingLiU"/>
                <w:sz w:val="18"/>
                <w:szCs w:val="18"/>
              </w:rPr>
              <w:t>2.5萬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F119DD3"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$1250 x 20人</w:t>
            </w:r>
          </w:p>
        </w:tc>
      </w:tr>
      <w:tr w:rsidR="00C859DE" w14:paraId="1557D3C4" w14:textId="77777777">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D8DF811"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雜費及行政費</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5A727CD1"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2萬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52B3331"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$1000 x 20人</w:t>
            </w:r>
          </w:p>
        </w:tc>
      </w:tr>
      <w:tr w:rsidR="00C859DE" w14:paraId="0178E45F" w14:textId="77777777">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6563CE82"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活動淨收益</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0F635EE" w14:textId="77777777" w:rsidR="00C859DE" w:rsidRDefault="00000000">
            <w:pPr>
              <w:spacing w:line="360" w:lineRule="auto"/>
              <w:rPr>
                <w:rFonts w:ascii="PMingLiU" w:eastAsia="PMingLiU" w:hAnsi="PMingLiU" w:cs="PMingLiU"/>
                <w:color w:val="6AA84F"/>
                <w:sz w:val="18"/>
                <w:szCs w:val="18"/>
              </w:rPr>
            </w:pPr>
            <w:r>
              <w:rPr>
                <w:rFonts w:ascii="PMingLiU" w:eastAsia="PMingLiU" w:hAnsi="PMingLiU" w:cs="PMingLiU"/>
                <w:color w:val="6AA84F"/>
                <w:sz w:val="18"/>
                <w:szCs w:val="18"/>
              </w:rPr>
              <w:t>+ $1000（</w:t>
            </w:r>
            <w:r>
              <w:rPr>
                <w:rFonts w:ascii="Gungsuh" w:eastAsia="Gungsuh" w:hAnsi="Gungsuh" w:cs="Gungsuh"/>
                <w:color w:val="6AA84F"/>
              </w:rPr>
              <w:t>盈餘</w:t>
            </w:r>
            <w:r>
              <w:rPr>
                <w:rFonts w:ascii="PMingLiU" w:eastAsia="PMingLiU" w:hAnsi="PMingLiU" w:cs="PMingLiU"/>
                <w:color w:val="6AA84F"/>
                <w:sz w:val="18"/>
                <w:szCs w:val="18"/>
              </w:rPr>
              <w:t>）</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07FCA18" w14:textId="77777777" w:rsidR="00C859DE" w:rsidRDefault="00000000">
            <w:pPr>
              <w:spacing w:line="360" w:lineRule="auto"/>
              <w:rPr>
                <w:rFonts w:ascii="PMingLiU" w:eastAsia="PMingLiU" w:hAnsi="PMingLiU" w:cs="PMingLiU"/>
                <w:color w:val="FF0000"/>
                <w:sz w:val="18"/>
                <w:szCs w:val="18"/>
              </w:rPr>
            </w:pPr>
            <w:r>
              <w:rPr>
                <w:rFonts w:ascii="PMingLiU" w:eastAsia="PMingLiU" w:hAnsi="PMingLiU" w:cs="PMingLiU"/>
                <w:sz w:val="18"/>
                <w:szCs w:val="18"/>
              </w:rPr>
              <w:t>$10,6000 - $10,5000</w:t>
            </w:r>
          </w:p>
        </w:tc>
      </w:tr>
    </w:tbl>
    <w:p w14:paraId="15DDC856" w14:textId="77777777" w:rsidR="00C859DE" w:rsidRDefault="00000000">
      <w:pPr>
        <w:spacing w:before="240" w:after="240" w:line="360" w:lineRule="auto"/>
        <w:rPr>
          <w:rFonts w:ascii="PMingLiU" w:eastAsia="PMingLiU" w:hAnsi="PMingLiU" w:cs="PMingLiU"/>
          <w:b/>
          <w:bCs/>
          <w:sz w:val="24"/>
          <w:szCs w:val="24"/>
          <w:u w:val="single"/>
        </w:rPr>
      </w:pPr>
      <w:r>
        <w:rPr>
          <w:rFonts w:ascii="PMingLiU" w:eastAsia="PMingLiU" w:hAnsi="PMingLiU" w:cs="PMingLiU"/>
          <w:b/>
          <w:bCs/>
          <w:sz w:val="24"/>
          <w:szCs w:val="24"/>
          <w:u w:val="single"/>
        </w:rPr>
        <w:t>9.保險安排</w:t>
      </w:r>
    </w:p>
    <w:p w14:paraId="785B4B14"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正所謂”屋漏偏逢連夜雨，船遲又遇打頭風”。 在旅途中， 即使有萬應的安排亦都難以完全避免意外的發生。所以，為了管理這些風險，本會有必要為各位參與的同學提供保險安排。在此整個保險安排會分為兩部分闡述，首先，為參與同學在旅途中的意外風險；其次，為本會為參與同學安排的保險以及其如何應對所提及的意外風險。</w:t>
      </w:r>
    </w:p>
    <w:p w14:paraId="615C40AD"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潛在風險</w:t>
      </w:r>
    </w:p>
    <w:p w14:paraId="2B2A1F91"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首先，在潛在風險方面，同學在旅途中有機會遇上意外從而導致損失。</w:t>
      </w:r>
    </w:p>
    <w:p w14:paraId="0A09B4AD"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sz w:val="24"/>
          <w:szCs w:val="24"/>
        </w:rPr>
        <w:lastRenderedPageBreak/>
        <w:t>在出發前，航班有機會延誤導致錯過了其他行程的安排從而造成損失。 例如同學有機會因錯過了入住酒店的時間而無法入住，導致同學要另覓住所造成額外的費用。另外，同學亦都有機會錯過預購了的巴士班次令到同學要重新購買巴士票；更甚者， 航班有機會因各種突發事情例如極端天氣情況而被取消，同學們因而會損失所有已繳付的旅費包括但不限於預訂了的酒店以及交通工具等等。 對於個別同學而言， 同學有機會因為各種私人原因而未能應約而失去旅費。例如同學因病缺席而未能出席；同學亦都有機會因考試延期而不能參與。對於領隊而言，領隊因病缺席亦都有機會導致整個旅程有額外的支出。例如，本會需要臨時聘用另一名領隊嚮導。所以即使在出發前，同學亦有機會因各種意外而導致損失。</w:t>
      </w:r>
    </w:p>
    <w:p w14:paraId="316510C3"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在旅程當中，同學亦可能因意外導致損失。對於醫療方面，同學有機會因旅途中發生的意外而導致受傷從而需要付上在地醫療費用。例如在過往類似的交流活動，同學在實驗室參觀的時候被強酸濺到眼睛因而需要使用救護車服務送往醫院，以及在醫院當中接受治療，該同學不但需要付上高昂的救護車服務以及住院費用，更需要另購機票回港。對於個人財產方面，同學有機會因一時疏忽導致損失。雖然小偷情況在日本相較於其他國家不算十分嚴重，在過往日本交流團當中，物品被偷竊的情況亦都鮮有發生，唯過往同學因一時疏忽而遺留物品十分常見，特別在離開酒店的時候時常遺留物品，小則書本筆記，大則手錶電腦。此外，在極端天氣方面，同學亦都有機會因天災導致旅程受到影響。眾所周知，地震災害在日本地區相較於其他地區頻繁，若果在旅途中發生地震，同學需要立刻進行避災措施，亦都有機會要配合撤僑行動並且中斷旅程。因此在旅途中，同學亦有機會因各種意外而導致損失。</w:t>
      </w:r>
    </w:p>
    <w:p w14:paraId="0D40E05C" w14:textId="77777777" w:rsidR="00C859DE" w:rsidRDefault="00000000">
      <w:pPr>
        <w:pBdr>
          <w:top w:val="nil"/>
          <w:left w:val="nil"/>
          <w:bottom w:val="nil"/>
          <w:right w:val="nil"/>
          <w:between w:val="nil"/>
        </w:pBd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保險安排</w:t>
      </w:r>
    </w:p>
    <w:p w14:paraId="0CEBE2E5"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針對上述同學面臨的意外風險，本會提供保險的安排以進行風險管理。在整個交流的活動，同學會受到兩種保險的保障，當中包括大學基本外遊保險以及英國保誠旅遊樂。對大學基本旅遊保險，大學(會計部負責) 方面會為參與交流的同</w:t>
      </w:r>
      <w:r>
        <w:rPr>
          <w:rFonts w:ascii="PMingLiU" w:eastAsia="PMingLiU" w:hAnsi="PMingLiU" w:cs="PMingLiU"/>
          <w:sz w:val="24"/>
          <w:szCs w:val="24"/>
        </w:rPr>
        <w:lastRenderedPageBreak/>
        <w:t>學免費提供基本的保險涵蓋整個交流活動。基本保險的保障包括交流過程中發生意外導致的醫療費用, 殘疾, 遺體送返費用以及財物損失。以下為基本保險的保障額:</w:t>
      </w:r>
    </w:p>
    <w:tbl>
      <w:tblPr>
        <w:tblStyle w:val="a2"/>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0"/>
        <w:gridCol w:w="4335"/>
      </w:tblGrid>
      <w:tr w:rsidR="00C859DE" w14:paraId="3CC74C50" w14:textId="77777777">
        <w:trPr>
          <w:trHeight w:val="563"/>
        </w:trPr>
        <w:tc>
          <w:tcPr>
            <w:tcW w:w="4800" w:type="dxa"/>
            <w:tcBorders>
              <w:top w:val="single" w:sz="8" w:space="0" w:color="9E9E9E"/>
              <w:left w:val="single" w:sz="8" w:space="0" w:color="9E9E9E"/>
              <w:bottom w:val="single" w:sz="8" w:space="0" w:color="9E9E9E"/>
              <w:right w:val="single" w:sz="8" w:space="0" w:color="9E9E9E"/>
            </w:tcBorders>
            <w:tcMar>
              <w:top w:w="160" w:type="dxa"/>
              <w:left w:w="160" w:type="dxa"/>
              <w:bottom w:w="160" w:type="dxa"/>
              <w:right w:w="160" w:type="dxa"/>
            </w:tcMar>
          </w:tcPr>
          <w:p w14:paraId="506C2AE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 xml:space="preserve"> </w:t>
            </w:r>
          </w:p>
        </w:tc>
        <w:tc>
          <w:tcPr>
            <w:tcW w:w="4335" w:type="dxa"/>
            <w:tcBorders>
              <w:top w:val="single" w:sz="8" w:space="0" w:color="9E9E9E"/>
              <w:left w:val="nil"/>
              <w:bottom w:val="single" w:sz="8" w:space="0" w:color="9E9E9E"/>
              <w:right w:val="single" w:sz="8" w:space="0" w:color="9E9E9E"/>
            </w:tcBorders>
            <w:tcMar>
              <w:top w:w="160" w:type="dxa"/>
              <w:left w:w="160" w:type="dxa"/>
              <w:bottom w:w="160" w:type="dxa"/>
              <w:right w:w="160" w:type="dxa"/>
            </w:tcMar>
          </w:tcPr>
          <w:p w14:paraId="60B5E2B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保障額</w:t>
            </w:r>
          </w:p>
        </w:tc>
      </w:tr>
      <w:tr w:rsidR="00C859DE" w14:paraId="14508711" w14:textId="77777777">
        <w:trPr>
          <w:trHeight w:val="615"/>
        </w:trPr>
        <w:tc>
          <w:tcPr>
            <w:tcW w:w="480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44C77DFE"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醫療費用</w:t>
            </w:r>
          </w:p>
        </w:tc>
        <w:tc>
          <w:tcPr>
            <w:tcW w:w="4335" w:type="dxa"/>
            <w:tcBorders>
              <w:top w:val="nil"/>
              <w:left w:val="nil"/>
              <w:bottom w:val="single" w:sz="8" w:space="0" w:color="9E9E9E"/>
              <w:right w:val="single" w:sz="8" w:space="0" w:color="9E9E9E"/>
            </w:tcBorders>
            <w:tcMar>
              <w:top w:w="160" w:type="dxa"/>
              <w:left w:w="160" w:type="dxa"/>
              <w:bottom w:w="160" w:type="dxa"/>
              <w:right w:w="160" w:type="dxa"/>
            </w:tcMar>
          </w:tcPr>
          <w:p w14:paraId="34394673"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r>
      <w:tr w:rsidR="00C859DE" w14:paraId="1D83A717" w14:textId="77777777">
        <w:trPr>
          <w:trHeight w:val="615"/>
        </w:trPr>
        <w:tc>
          <w:tcPr>
            <w:tcW w:w="480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705A501E"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財物損失</w:t>
            </w:r>
          </w:p>
        </w:tc>
        <w:tc>
          <w:tcPr>
            <w:tcW w:w="4335" w:type="dxa"/>
            <w:tcBorders>
              <w:top w:val="nil"/>
              <w:left w:val="nil"/>
              <w:bottom w:val="single" w:sz="8" w:space="0" w:color="9E9E9E"/>
              <w:right w:val="single" w:sz="8" w:space="0" w:color="9E9E9E"/>
            </w:tcBorders>
            <w:tcMar>
              <w:top w:w="160" w:type="dxa"/>
              <w:left w:w="160" w:type="dxa"/>
              <w:bottom w:w="160" w:type="dxa"/>
              <w:right w:w="160" w:type="dxa"/>
            </w:tcMar>
          </w:tcPr>
          <w:p w14:paraId="53C090E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$500</w:t>
            </w:r>
          </w:p>
        </w:tc>
      </w:tr>
      <w:tr w:rsidR="00C859DE" w14:paraId="7CBD19FB" w14:textId="77777777">
        <w:trPr>
          <w:trHeight w:val="615"/>
        </w:trPr>
        <w:tc>
          <w:tcPr>
            <w:tcW w:w="480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5EADE788"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遺體送返</w:t>
            </w:r>
          </w:p>
        </w:tc>
        <w:tc>
          <w:tcPr>
            <w:tcW w:w="4335" w:type="dxa"/>
            <w:tcBorders>
              <w:top w:val="nil"/>
              <w:left w:val="nil"/>
              <w:bottom w:val="single" w:sz="8" w:space="0" w:color="9E9E9E"/>
              <w:right w:val="single" w:sz="8" w:space="0" w:color="9E9E9E"/>
            </w:tcBorders>
            <w:tcMar>
              <w:top w:w="160" w:type="dxa"/>
              <w:left w:w="160" w:type="dxa"/>
              <w:bottom w:w="160" w:type="dxa"/>
              <w:right w:w="160" w:type="dxa"/>
            </w:tcMar>
          </w:tcPr>
          <w:p w14:paraId="509845DD"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r>
      <w:tr w:rsidR="00C859DE" w14:paraId="6074C6CB" w14:textId="77777777">
        <w:trPr>
          <w:trHeight w:val="615"/>
        </w:trPr>
        <w:tc>
          <w:tcPr>
            <w:tcW w:w="480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7D9AA532"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殘疾</w:t>
            </w:r>
          </w:p>
        </w:tc>
        <w:tc>
          <w:tcPr>
            <w:tcW w:w="4335" w:type="dxa"/>
            <w:tcBorders>
              <w:top w:val="nil"/>
              <w:left w:val="nil"/>
              <w:bottom w:val="single" w:sz="8" w:space="0" w:color="9E9E9E"/>
              <w:right w:val="single" w:sz="8" w:space="0" w:color="9E9E9E"/>
            </w:tcBorders>
            <w:tcMar>
              <w:top w:w="160" w:type="dxa"/>
              <w:left w:w="160" w:type="dxa"/>
              <w:bottom w:w="160" w:type="dxa"/>
              <w:right w:w="160" w:type="dxa"/>
            </w:tcMar>
          </w:tcPr>
          <w:p w14:paraId="30C06879"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r>
    </w:tbl>
    <w:p w14:paraId="7AFB359B"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sz w:val="24"/>
          <w:szCs w:val="24"/>
        </w:rPr>
        <w:t xml:space="preserve"> 同學值得留意的是基本保險不包括航班延遲導致的損失, 遺失行李以及天然災害引致的傷亡。假設同學在旅途中遺失行李或者航班取消都不能受到基本大學保險的保障獲取賠償。因此本會有必要在基本保險的基礎上為同學額外購買外遊保險，用以提升同學的保障額以及保障更多突發情況。本會額外購買的外遊保險為英國保誠旅遊樂，原因為涵蓋範圍廣,  保障額高以及保費相宜。以下為英國保誠和其他保險公司的保費比較:</w:t>
      </w:r>
    </w:p>
    <w:tbl>
      <w:tblPr>
        <w:tblStyle w:val="a3"/>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30"/>
        <w:gridCol w:w="3240"/>
      </w:tblGrid>
      <w:tr w:rsidR="00C859DE" w14:paraId="6313C2E0" w14:textId="77777777">
        <w:trPr>
          <w:trHeight w:val="842"/>
        </w:trPr>
        <w:tc>
          <w:tcPr>
            <w:tcW w:w="5430" w:type="dxa"/>
            <w:tcBorders>
              <w:top w:val="single" w:sz="8" w:space="0" w:color="9E9E9E"/>
              <w:left w:val="single" w:sz="8" w:space="0" w:color="9E9E9E"/>
              <w:bottom w:val="single" w:sz="8" w:space="0" w:color="9E9E9E"/>
              <w:right w:val="single" w:sz="8" w:space="0" w:color="9E9E9E"/>
            </w:tcBorders>
            <w:tcMar>
              <w:top w:w="160" w:type="dxa"/>
              <w:left w:w="160" w:type="dxa"/>
              <w:bottom w:w="160" w:type="dxa"/>
              <w:right w:w="160" w:type="dxa"/>
            </w:tcMar>
          </w:tcPr>
          <w:p w14:paraId="12446FAD"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保險公司</w:t>
            </w:r>
          </w:p>
        </w:tc>
        <w:tc>
          <w:tcPr>
            <w:tcW w:w="3240" w:type="dxa"/>
            <w:tcBorders>
              <w:top w:val="single" w:sz="8" w:space="0" w:color="9E9E9E"/>
              <w:left w:val="nil"/>
              <w:bottom w:val="single" w:sz="8" w:space="0" w:color="9E9E9E"/>
              <w:right w:val="single" w:sz="8" w:space="0" w:color="9E9E9E"/>
            </w:tcBorders>
            <w:tcMar>
              <w:top w:w="160" w:type="dxa"/>
              <w:left w:w="160" w:type="dxa"/>
              <w:bottom w:w="160" w:type="dxa"/>
              <w:right w:w="160" w:type="dxa"/>
            </w:tcMar>
          </w:tcPr>
          <w:p w14:paraId="667CF6C5"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價錢</w:t>
            </w:r>
          </w:p>
        </w:tc>
      </w:tr>
      <w:tr w:rsidR="00C859DE" w14:paraId="1F040D70" w14:textId="77777777">
        <w:trPr>
          <w:trHeight w:val="615"/>
        </w:trPr>
        <w:tc>
          <w:tcPr>
            <w:tcW w:w="543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0827E704"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英國保誠</w:t>
            </w:r>
          </w:p>
        </w:tc>
        <w:tc>
          <w:tcPr>
            <w:tcW w:w="3240" w:type="dxa"/>
            <w:tcBorders>
              <w:top w:val="nil"/>
              <w:left w:val="nil"/>
              <w:bottom w:val="single" w:sz="8" w:space="0" w:color="9E9E9E"/>
              <w:right w:val="single" w:sz="8" w:space="0" w:color="9E9E9E"/>
            </w:tcBorders>
            <w:tcMar>
              <w:top w:w="160" w:type="dxa"/>
              <w:left w:w="160" w:type="dxa"/>
              <w:bottom w:w="160" w:type="dxa"/>
              <w:right w:w="160" w:type="dxa"/>
            </w:tcMar>
          </w:tcPr>
          <w:p w14:paraId="7DD63D8C"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$700</w:t>
            </w:r>
          </w:p>
        </w:tc>
      </w:tr>
      <w:tr w:rsidR="00C859DE" w14:paraId="30DE3C92" w14:textId="77777777">
        <w:trPr>
          <w:trHeight w:val="615"/>
        </w:trPr>
        <w:tc>
          <w:tcPr>
            <w:tcW w:w="543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7984329D"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lastRenderedPageBreak/>
              <w:t>友邦保險</w:t>
            </w:r>
          </w:p>
        </w:tc>
        <w:tc>
          <w:tcPr>
            <w:tcW w:w="3240" w:type="dxa"/>
            <w:tcBorders>
              <w:top w:val="nil"/>
              <w:left w:val="nil"/>
              <w:bottom w:val="single" w:sz="8" w:space="0" w:color="9E9E9E"/>
              <w:right w:val="single" w:sz="8" w:space="0" w:color="9E9E9E"/>
            </w:tcBorders>
            <w:tcMar>
              <w:top w:w="160" w:type="dxa"/>
              <w:left w:w="160" w:type="dxa"/>
              <w:bottom w:w="160" w:type="dxa"/>
              <w:right w:w="160" w:type="dxa"/>
            </w:tcMar>
          </w:tcPr>
          <w:p w14:paraId="5F96A253"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$1500</w:t>
            </w:r>
          </w:p>
        </w:tc>
      </w:tr>
      <w:tr w:rsidR="00C859DE" w14:paraId="22C32212" w14:textId="77777777">
        <w:trPr>
          <w:trHeight w:val="615"/>
        </w:trPr>
        <w:tc>
          <w:tcPr>
            <w:tcW w:w="543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58C66E8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蘇黎世保險</w:t>
            </w:r>
          </w:p>
        </w:tc>
        <w:tc>
          <w:tcPr>
            <w:tcW w:w="3240" w:type="dxa"/>
            <w:tcBorders>
              <w:top w:val="nil"/>
              <w:left w:val="nil"/>
              <w:bottom w:val="single" w:sz="8" w:space="0" w:color="9E9E9E"/>
              <w:right w:val="single" w:sz="8" w:space="0" w:color="9E9E9E"/>
            </w:tcBorders>
            <w:tcMar>
              <w:top w:w="160" w:type="dxa"/>
              <w:left w:w="160" w:type="dxa"/>
              <w:bottom w:w="160" w:type="dxa"/>
              <w:right w:w="160" w:type="dxa"/>
            </w:tcMar>
          </w:tcPr>
          <w:p w14:paraId="4F8B017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$2100</w:t>
            </w:r>
          </w:p>
        </w:tc>
      </w:tr>
    </w:tbl>
    <w:p w14:paraId="32FED419"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sz w:val="24"/>
          <w:szCs w:val="24"/>
        </w:rPr>
        <w:t xml:space="preserve"> 由表可見，英國保誠在價格方面更勝一籌。以下為基本保險和英國保誠的保障額比較以供參考:</w:t>
      </w:r>
    </w:p>
    <w:tbl>
      <w:tblPr>
        <w:tblStyle w:val="a4"/>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4425"/>
        <w:gridCol w:w="3495"/>
      </w:tblGrid>
      <w:tr w:rsidR="00C859DE" w14:paraId="147504BA" w14:textId="77777777">
        <w:trPr>
          <w:trHeight w:val="735"/>
        </w:trPr>
        <w:tc>
          <w:tcPr>
            <w:tcW w:w="1365" w:type="dxa"/>
            <w:tcBorders>
              <w:top w:val="single" w:sz="8" w:space="0" w:color="9E9E9E"/>
              <w:left w:val="single" w:sz="8" w:space="0" w:color="9E9E9E"/>
              <w:bottom w:val="single" w:sz="8" w:space="0" w:color="9E9E9E"/>
              <w:right w:val="single" w:sz="8" w:space="0" w:color="9E9E9E"/>
            </w:tcBorders>
            <w:tcMar>
              <w:top w:w="160" w:type="dxa"/>
              <w:left w:w="160" w:type="dxa"/>
              <w:bottom w:w="160" w:type="dxa"/>
              <w:right w:w="160" w:type="dxa"/>
            </w:tcMar>
          </w:tcPr>
          <w:p w14:paraId="751B8876" w14:textId="77777777" w:rsidR="00C859DE" w:rsidRDefault="00C859DE">
            <w:pPr>
              <w:spacing w:before="240" w:line="360" w:lineRule="auto"/>
              <w:rPr>
                <w:rFonts w:ascii="PMingLiU" w:eastAsia="PMingLiU" w:hAnsi="PMingLiU" w:cs="PMingLiU"/>
                <w:sz w:val="20"/>
                <w:szCs w:val="20"/>
              </w:rPr>
            </w:pPr>
          </w:p>
        </w:tc>
        <w:tc>
          <w:tcPr>
            <w:tcW w:w="4425" w:type="dxa"/>
            <w:tcBorders>
              <w:top w:val="single" w:sz="8" w:space="0" w:color="9E9E9E"/>
              <w:left w:val="nil"/>
              <w:bottom w:val="single" w:sz="8" w:space="0" w:color="9E9E9E"/>
              <w:right w:val="single" w:sz="8" w:space="0" w:color="9E9E9E"/>
            </w:tcBorders>
            <w:tcMar>
              <w:top w:w="160" w:type="dxa"/>
              <w:left w:w="160" w:type="dxa"/>
              <w:bottom w:w="160" w:type="dxa"/>
              <w:right w:w="160" w:type="dxa"/>
            </w:tcMar>
          </w:tcPr>
          <w:p w14:paraId="3C4F1EB6" w14:textId="77777777" w:rsidR="00C859DE" w:rsidRDefault="00000000">
            <w:pPr>
              <w:spacing w:line="360" w:lineRule="auto"/>
              <w:rPr>
                <w:rFonts w:ascii="PMingLiU" w:eastAsia="PMingLiU" w:hAnsi="PMingLiU" w:cs="PMingLiU"/>
                <w:sz w:val="20"/>
                <w:szCs w:val="20"/>
              </w:rPr>
            </w:pPr>
            <w:r>
              <w:rPr>
                <w:rFonts w:ascii="PMingLiU" w:eastAsia="PMingLiU" w:hAnsi="PMingLiU" w:cs="PMingLiU"/>
                <w:sz w:val="20"/>
                <w:szCs w:val="20"/>
              </w:rPr>
              <w:t>基本保險</w:t>
            </w:r>
          </w:p>
        </w:tc>
        <w:tc>
          <w:tcPr>
            <w:tcW w:w="3495" w:type="dxa"/>
            <w:tcBorders>
              <w:top w:val="single" w:sz="8" w:space="0" w:color="9E9E9E"/>
              <w:left w:val="nil"/>
              <w:bottom w:val="single" w:sz="8" w:space="0" w:color="9E9E9E"/>
              <w:right w:val="single" w:sz="8" w:space="0" w:color="9E9E9E"/>
            </w:tcBorders>
            <w:tcMar>
              <w:top w:w="160" w:type="dxa"/>
              <w:left w:w="160" w:type="dxa"/>
              <w:bottom w:w="160" w:type="dxa"/>
              <w:right w:w="160" w:type="dxa"/>
            </w:tcMar>
          </w:tcPr>
          <w:p w14:paraId="425A1218" w14:textId="77777777" w:rsidR="00C859DE" w:rsidRDefault="00000000">
            <w:pPr>
              <w:spacing w:line="360" w:lineRule="auto"/>
              <w:rPr>
                <w:rFonts w:ascii="PMingLiU" w:eastAsia="PMingLiU" w:hAnsi="PMingLiU" w:cs="PMingLiU"/>
                <w:sz w:val="20"/>
                <w:szCs w:val="20"/>
              </w:rPr>
            </w:pPr>
            <w:r>
              <w:rPr>
                <w:rFonts w:ascii="PMingLiU" w:eastAsia="PMingLiU" w:hAnsi="PMingLiU" w:cs="PMingLiU"/>
                <w:sz w:val="20"/>
                <w:szCs w:val="20"/>
              </w:rPr>
              <w:t>英國保誠</w:t>
            </w:r>
          </w:p>
        </w:tc>
      </w:tr>
      <w:tr w:rsidR="00C859DE" w14:paraId="794FBBBC"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68431D8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醫療費用</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71D0823B"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6721087E"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$1000000</w:t>
            </w:r>
          </w:p>
        </w:tc>
      </w:tr>
      <w:tr w:rsidR="00C859DE" w14:paraId="059C08B2"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02E2261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財物損失</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38DB1CF0"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$500</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48F1F6F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w:t>
            </w:r>
          </w:p>
        </w:tc>
      </w:tr>
      <w:tr w:rsidR="00C859DE" w14:paraId="677D7358"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4E06598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遺體送返</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64A540BF"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32B1BBC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$2000000</w:t>
            </w:r>
          </w:p>
        </w:tc>
      </w:tr>
      <w:tr w:rsidR="00C859DE" w14:paraId="0CEBEA99"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52BEDDB2"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殘疾</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7F4BD0A0"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1A8F7799"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$2000000</w:t>
            </w:r>
          </w:p>
        </w:tc>
      </w:tr>
      <w:tr w:rsidR="00C859DE" w14:paraId="09B03588"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5193A408"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天然災害</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2808A67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沒有保障</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6EE6073A"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$50000</w:t>
            </w:r>
          </w:p>
        </w:tc>
      </w:tr>
      <w:tr w:rsidR="00C859DE" w14:paraId="5BF646D7"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480266D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行李遺失</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1F2F338C"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沒有保障</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70D9509B"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w:t>
            </w:r>
          </w:p>
        </w:tc>
      </w:tr>
    </w:tbl>
    <w:p w14:paraId="12087BC0" w14:textId="77777777" w:rsidR="00C859DE" w:rsidRDefault="00000000">
      <w:pPr>
        <w:spacing w:before="240" w:after="240" w:line="360" w:lineRule="auto"/>
        <w:rPr>
          <w:rFonts w:ascii="PMingLiU" w:eastAsia="PMingLiU" w:hAnsi="PMingLiU" w:cs="PMingLiU"/>
          <w:sz w:val="24"/>
          <w:szCs w:val="24"/>
        </w:rPr>
      </w:pPr>
      <w:r>
        <w:br w:type="page"/>
      </w:r>
    </w:p>
    <w:p w14:paraId="6A803FD3"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b/>
          <w:bCs/>
          <w:sz w:val="24"/>
          <w:szCs w:val="24"/>
        </w:rPr>
        <w:lastRenderedPageBreak/>
        <w:t>10.預期困難及應變措施</w:t>
      </w:r>
    </w:p>
    <w:p w14:paraId="551D8201"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“凡事預則立，不預則廢” 出自《禮記·中庸》，意思是指做任何事情，事先有準備就可以成功，沒有準備就一定會失敗。因此本會針對每個預期困難提早準備，制定出不同的應變措施。</w:t>
      </w:r>
    </w:p>
    <w:p w14:paraId="68113FF8"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第一，針對於極端天氣及災難，本會有以下的安排。在出發前三天之前，若果日本氣象廳天氣預報對於各種災害發出警告，例如地震以及海嘯等，本會 會透過電話以及電郵通知同學有關情況，讓同學考慮是否繼續參與，本會亦都會持續監察情況以及事態發展。在出發三天之內，若果警報持續或者出現，本會會取消交流團以及一個月內退還款項。若果有關極端天氣在旅途中發生，本會將會安排同學立刻進行避災措施，例如前往空曠地方，確保各位同學安全，及後立刻通知大使館，製定定回港安排。</w:t>
      </w:r>
    </w:p>
    <w:p w14:paraId="78D0049A"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第二，針對於身體不適情況，若果同學在出發前生病了，在有提供醫學證明的情況下，本會 會全數退還款項，因此同學在生病的情況下是會得到保障的，由此本會呼籲同學在身體不適的情況下請勿勉強出席從而導致病情惡化。若果同學在在出發後身體不適，本會會視乎情況呼叫救護車令到同學得到幫助，有關的醫療支出會在一個月內，本會 會向保險公司代為索償，因此同學不必擔心。</w:t>
      </w:r>
    </w:p>
    <w:p w14:paraId="5F4D7D48"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第三，針對於航班取消情況，若果航班在出發前取消，本會會取消所有行程並且向保險公司對整個行程的損失代為索償。若果航班在出發後取消，本會會立刻為所有同學預定下一班回港機票，並且安排酒店直至回港，並且在回港後，本會會向保險公司索償。</w:t>
      </w:r>
    </w:p>
    <w:p>
      <w:r>
        <w:t>UAT_RUN_MARKER</w:t>
      </w:r>
    </w:p>
    <w:sectPr w:rsidR="00C859DE">
      <w:footerReference w:type="default" r:id="rId11"/>
      <w:pgSz w:w="12240" w:h="15840"/>
      <w:pgMar w:top="1440" w:right="1802" w:bottom="1440" w:left="1802" w:header="1440" w:footer="1440" w:gutter="0"/>
      <w:pgNumType w:start="1"/>
      <w:cols w:space="720"/>
    </w:sectPr>
  </w:body>
</w:document>
</file>

<file path=word/comments.xml><?xml version="1.0" encoding="utf-8"?>
<w:comments xmlns:w="http://schemas.openxmlformats.org/wordprocessingml/2006/main">
  <w:comment w:id="0" w:author="Reviewer" w:date="2026-10-13T00:00:00Z" w:initials="R">
    <w:p>
      <w:r>
        <w:t>Check the dates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2F306" w14:textId="77777777" w:rsidR="0056415B" w:rsidRDefault="0056415B">
      <w:pPr>
        <w:spacing w:line="240" w:lineRule="auto"/>
      </w:pPr>
      <w:r>
        <w:separator/>
      </w:r>
    </w:p>
  </w:endnote>
  <w:endnote w:type="continuationSeparator" w:id="0">
    <w:p w14:paraId="33AAD4FD" w14:textId="77777777" w:rsidR="0056415B" w:rsidRDefault="005641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ungsuh">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E874" w14:textId="77777777" w:rsidR="00C859DE" w:rsidRDefault="00C859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C9EC" w14:textId="77777777" w:rsidR="0056415B" w:rsidRDefault="0056415B">
      <w:pPr>
        <w:spacing w:line="240" w:lineRule="auto"/>
      </w:pPr>
      <w:r>
        <w:separator/>
      </w:r>
    </w:p>
  </w:footnote>
  <w:footnote w:type="continuationSeparator" w:id="0">
    <w:p w14:paraId="4B8A0356" w14:textId="77777777" w:rsidR="0056415B" w:rsidRDefault="0056415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9DE"/>
    <w:rsid w:val="0056415B"/>
    <w:rsid w:val="00C859DE"/>
    <w:rsid w:val="00FD441A"/>
    <w:rsid w:val="00FE3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CC97"/>
  <w15:docId w15:val="{AE153C3C-C492-4560-9DEE-B6076F4A9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chart" Target="charts/chart2.xml"/><Relationship Id="rId4" Type="http://schemas.openxmlformats.org/officeDocument/2006/relationships/footnotes" Target="footnotes.xml"/><Relationship Id="rId9" Type="http://schemas.openxmlformats.org/officeDocument/2006/relationships/chart" Target="charts/chart1.xml"/><Relationship Id="rIdComments9" Type="http://schemas.openxmlformats.org/officeDocument/2006/relationships/comments" Target="comment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HK"/>
  <c:roundedCorners val="0"/>
  <c:chart>
    <c:title>
      <c:tx>
        <c:rich>
          <a:bodyPr/>
          <a:lstStyle/>
          <a:p>
            <a:pPr>
              <a:defRPr sz="1100" b="0"/>
            </a:pPr>
            <a:r>
              <a:rPr lang="zh-HK" altLang="en-US" sz="1100" b="0"/>
              <a:t>交流團預計支出</a:t>
            </a:r>
          </a:p>
        </c:rich>
      </c:tx>
      <c:overlay val="0"/>
    </c:title>
    <c:autoTitleDeleted val="0"/>
    <c:plotArea>
      <c:layout/>
      <c:pieChart>
        <c:varyColors val="1"/>
        <c:ser>
          <c:idx val="0"/>
          <c:order val="0"/>
          <c:tx>
            <c:strRef>
              <c:f>Sheet1!$B$1</c:f>
              <c:strCache>
                <c:ptCount val="1"/>
                <c:pt idx="0">
                  <c:v>港幣（每人）</c:v>
                </c:pt>
              </c:strCache>
            </c:strRef>
          </c:tx>
          <c:dLbls>
            <c:numFmt formatCode="0.0%" sourceLinked="0"/>
            <c:spPr>
              <a:noFill/>
              <a:ln>
                <a:noFill/>
              </a:ln>
            </c:spPr>
            <c:txPr>
              <a:bodyPr/>
              <a:lstStyle/>
              <a:p>
                <a:pPr>
                  <a:defRPr sz="800"/>
                </a:pPr>
                <a:endParaRPr lang="zh-HK"/>
              </a:p>
            </c:txPr>
            <c:dLblPos val="bestFit"/>
            <c:showLegendKey val="0"/>
            <c:showVal val="0"/>
            <c:showCatName val="1"/>
            <c:showSerName val="0"/>
            <c:showPercent val="1"/>
            <c:showBubbleSize val="0"/>
            <c:separator>
</c:separator>
            <c:showLeaderLines val="1"/>
          </c:dLbls>
          <c:cat>
            <c:strRef>
              <c:f>Sheet1!$A$2:$A$8</c:f>
              <c:strCache>
                <c:ptCount val="7"/>
                <c:pt idx="0">
                  <c:v>機票</c:v>
                </c:pt>
                <c:pt idx="1">
                  <c:v>住宿</c:v>
                </c:pt>
                <c:pt idx="2">
                  <c:v>交通</c:v>
                </c:pt>
                <c:pt idx="3">
                  <c:v>午膳</c:v>
                </c:pt>
                <c:pt idx="4">
                  <c:v>宣傳費用</c:v>
                </c:pt>
                <c:pt idx="5">
                  <c:v>迎新營</c:v>
                </c:pt>
                <c:pt idx="6">
                  <c:v>設施入場費</c:v>
                </c:pt>
              </c:strCache>
            </c:strRef>
          </c:cat>
          <c:val>
            <c:numRef>
              <c:f>Sheet1!$B$2:$B$8</c:f>
              <c:numCache>
                <c:formatCode>General</c:formatCode>
                <c:ptCount val="7"/>
                <c:pt idx="0">
                  <c:v>3000</c:v>
                </c:pt>
                <c:pt idx="1">
                  <c:v>1500</c:v>
                </c:pt>
                <c:pt idx="2">
                  <c:v>300</c:v>
                </c:pt>
                <c:pt idx="3">
                  <c:v>300</c:v>
                </c:pt>
                <c:pt idx="4">
                  <c:v>300</c:v>
                </c:pt>
                <c:pt idx="5">
                  <c:v>300</c:v>
                </c:pt>
                <c:pt idx="6">
                  <c:v>300</c:v>
                </c:pt>
              </c:numCache>
            </c:numRef>
          </c:val>
        </c:ser>
        <c:dLbls>
          <c:dLblPos val="bestFit"/>
          <c:showLegendKey val="0"/>
          <c:showVal val="0"/>
          <c:showCatName val="1"/>
          <c:showSerName val="0"/>
          <c:showPercent val="1"/>
          <c:showBubbleSize val="0"/>
          <c:showLeaderLines val="1"/>
        </c:dLbls>
        <c:firstSliceAng val="0"/>
      </c:pieChart>
      <c:spPr>
        <a:noFill/>
        <a:ln>
          <a:noFill/>
        </a:ln>
      </c:spPr>
    </c:plotArea>
    <c:plotVisOnly val="1"/>
    <c:dispBlanksAs val="gap"/>
  </c:chart>
  <c:spPr>
    <a:solidFill>
      <a:schemeClr val="bg1"/>
    </a:solidFill>
    <a:ln>
      <a:noFill/>
    </a:ln>
  </c:spPr>
  <c:txPr>
    <a:bodyPr/>
    <a:lstStyle/>
    <a:p>
      <a:pPr>
        <a:defRPr/>
      </a:pPr>
      <a:endParaRPr lang="zh-HK"/>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HK"/>
  <c:roundedCorners val="0"/>
  <c:chart>
    <c:title>
      <c:tx>
        <c:rich>
          <a:bodyPr/>
          <a:lstStyle/>
          <a:p>
            <a:pPr>
              <a:defRPr sz="1100" b="0"/>
            </a:pPr>
            <a:r>
              <a:rPr lang="zh-HK" altLang="en-US" sz="1100" b="0"/>
              <a:t>交流團預計收入</a:t>
            </a:r>
          </a:p>
        </c:rich>
      </c:tx>
      <c:overlay val="0"/>
    </c:title>
    <c:autoTitleDeleted val="0"/>
    <c:plotArea>
      <c:layout/>
      <c:pieChart>
        <c:varyColors val="1"/>
        <c:ser>
          <c:idx val="0"/>
          <c:order val="0"/>
          <c:tx>
            <c:strRef>
              <c:f>Sheet1!$B$1</c:f>
              <c:strCache>
                <c:ptCount val="1"/>
                <c:pt idx="0">
                  <c:v>港幣（每人）</c:v>
                </c:pt>
              </c:strCache>
            </c:strRef>
          </c:tx>
          <c:dLbls>
            <c:numFmt formatCode="0.0%" sourceLinked="0"/>
            <c:spPr>
              <a:noFill/>
              <a:ln>
                <a:noFill/>
              </a:ln>
            </c:spPr>
            <c:txPr>
              <a:bodyPr/>
              <a:lstStyle/>
              <a:p>
                <a:pPr>
                  <a:defRPr sz="800"/>
                </a:pPr>
                <a:endParaRPr lang="zh-HK"/>
              </a:p>
            </c:txPr>
            <c:dLblPos val="bestFit"/>
            <c:showLegendKey val="0"/>
            <c:showVal val="0"/>
            <c:showCatName val="1"/>
            <c:showSerName val="0"/>
            <c:showPercent val="1"/>
            <c:showBubbleSize val="0"/>
            <c:separator>
</c:separator>
            <c:showLeaderLines val="1"/>
          </c:dLbls>
          <c:cat>
            <c:strRef>
              <c:f>Sheet1!$A$2:$A$4</c:f>
              <c:strCache>
                <c:ptCount val="3"/>
                <c:pt idx="0">
                  <c:v>報名費</c:v>
                </c:pt>
                <c:pt idx="1">
                  <c:v>工程學院資助</c:v>
                </c:pt>
                <c:pt idx="2">
                  <c:v>國際青年交流資助計劃</c:v>
                </c:pt>
              </c:strCache>
            </c:strRef>
          </c:cat>
          <c:val>
            <c:numRef>
              <c:f>Sheet1!$B$2:$B$4</c:f>
              <c:numCache>
                <c:formatCode>General</c:formatCode>
                <c:ptCount val="3"/>
                <c:pt idx="0">
                  <c:v>4000</c:v>
                </c:pt>
                <c:pt idx="1">
                  <c:v>800</c:v>
                </c:pt>
                <c:pt idx="2">
                  <c:v>500</c:v>
                </c:pt>
              </c:numCache>
            </c:numRef>
          </c:val>
        </c:ser>
        <c:dLbls>
          <c:dLblPos val="bestFit"/>
          <c:showLegendKey val="0"/>
          <c:showVal val="0"/>
          <c:showCatName val="1"/>
          <c:showSerName val="0"/>
          <c:showPercent val="1"/>
          <c:showBubbleSize val="0"/>
          <c:showLeaderLines val="1"/>
        </c:dLbls>
        <c:firstSliceAng val="0"/>
      </c:pieChart>
      <c:spPr>
        <a:noFill/>
        <a:ln>
          <a:noFill/>
        </a:ln>
      </c:spPr>
    </c:plotArea>
    <c:plotVisOnly val="1"/>
    <c:dispBlanksAs val="gap"/>
  </c:chart>
  <c:spPr>
    <a:solidFill>
      <a:schemeClr val="bg1"/>
    </a:solidFill>
    <a:ln>
      <a:noFill/>
    </a:ln>
  </c:spPr>
  <c:txPr>
    <a:bodyPr/>
    <a:lstStyle/>
    <a:p>
      <a:pPr>
        <a:defRPr/>
      </a:pPr>
      <a:endParaRPr lang="zh-HK"/>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2026-01-01T00:00:00Z</dcterms:created>
  <dcterms:modified xsi:type="dcterms:W3CDTF">2026-01-01T00:00:00Z</dcterms:modified>
</cp:coreProperties>
</file>