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Calibri" w:cs="Calibri" w:eastAsia="Calibri" w:hAnsi="Calibri"/>
        </w:rPr>
        <w:t xml:space="preserve">Design and Synthesis of Imidazole-Derived Molecules with Potential Biological Activity: An In Silico Study — Literature Guide</w:t>
      </w:r>
    </w:p>
    <w:p>
      <w:pPr>
        <w:spacing w:after="60" w:before="0" w:line="264"/>
        <w:jc w:val="left"/>
      </w:pPr>
      <w:r>
        <w:rPr>
          <w:rFonts w:ascii="Calibri" w:cs="Calibri" w:eastAsia="Calibri" w:hAnsi="Calibri"/>
          <w:i/>
          <w:iCs/>
          <w:color w:val="5B6B7A"/>
          <w:sz w:val="20"/>
          <w:szCs w:val="20"/>
        </w:rPr>
        <w:t xml:space="preserve">Research launch pad · built from 21 Consensus searches and 3 alphaXiv queries · October 2026</w:t>
      </w:r>
    </w:p>
    <w:p>
      <w:pPr>
        <w:spacing w:after="60" w:before="0" w:line="264"/>
        <w:jc w:val="left"/>
      </w:pPr>
      <w:r>
        <w:rPr>
          <w:rFonts w:ascii="Calibri" w:cs="Calibri" w:eastAsia="Calibri" w:hAnsi="Calibri"/>
          <w:i/>
          <w:iCs/>
          <w:color w:val="5B6B7A"/>
          <w:sz w:val="20"/>
          <w:szCs w:val="20"/>
        </w:rPr>
        <w:t xml:space="preserve">Companion to the review article in this folder. Capped at 150 papers in total, as requested; this guide cites 83 of them.</w:t>
      </w:r>
    </w:p>
    <w:p>
      <w:pPr>
        <w:pBdr>
          <w:left w:val="single" w:color="1F3A5F" w:sz="18" w:space="8"/>
        </w:pBdr>
        <w:shd w:fill="EAF2F8" w:color="auto" w:val="clear"/>
        <w:spacing w:after="200" w:before="120" w:line="260"/>
        <w:ind w:left="160" w:right="120" w:hanging="0"/>
      </w:pPr>
      <w:r>
        <w:rPr>
          <w:rFonts w:ascii="Calibri" w:cs="Calibri" w:eastAsia="Calibri" w:hAnsi="Calibri"/>
          <w:b/>
          <w:bCs/>
          <w:sz w:val="20"/>
          <w:szCs w:val="20"/>
        </w:rPr>
        <w:t xml:space="preserve">How to use this guide.</w:t>
      </w:r>
      <w:r>
        <w:rPr>
          <w:rFonts w:ascii="Calibri" w:cs="Calibri" w:eastAsia="Calibri" w:hAnsi="Calibri"/>
          <w:sz w:val="20"/>
          <w:szCs w:val="20"/>
        </w:rPr>
        <w:t xml:space="preserve"> Section 2 is a reading order for a first day. Section 4 gives one page per sub-area, each with key papers, search terms and Boolean strings. Section 6 lists open questions. Every paper title is a link to its Consensus record (alphaXiv for preprints). Preprints are marked and have not been peer reviewed. Citation counts are those Consensus returned at search time.</w:t>
      </w:r>
    </w:p>
    <w:p>
      <w:pPr>
        <w:pStyle w:val="Heading1"/>
        <w:keepNext/>
      </w:pPr>
      <w:r>
        <w:rPr>
          <w:rFonts w:ascii="Calibri" w:cs="Calibri" w:eastAsia="Calibri" w:hAnsi="Calibri"/>
        </w:rPr>
        <w:t xml:space="preserve">1. Topic Overview</w:t>
      </w:r>
    </w:p>
    <w:p>
      <w:pPr>
        <w:spacing w:after="120" w:before="0" w:line="264"/>
        <w:jc w:val="left"/>
      </w:pPr>
      <w:r>
        <w:rPr>
          <w:rFonts w:ascii="Calibri" w:cs="Calibri" w:eastAsia="Calibri" w:hAnsi="Calibri"/>
          <w:sz w:val="21"/>
          <w:szCs w:val="21"/>
        </w:rPr>
        <w:t xml:space="preserve">Imidazole and its fused relatives (benzimidazole, imidazo[1,2-a]pyridine, imidazothiazole, imidazolone) are among the most heavily studied nitrogen heterocycles in medicinal chemistry, and a typical recent paper designs a hybrid molecule, makes it in one pot, measures one in vitro activity, and supports the result with docking, molecular dynamics, DFT and ADMET prediction. We used a Decomposition framework (core scaffold and mechanism, applications, limitations, comparison with alternatives) because the topic is a technology-and-chemistry pipeline and not a patient population; it borrows one idea from PICO, namely that every claim needs a comparator, which is why reference-drug comparisons recur in this guide. The framework gave five sub-areas (A to E: design and synthesis, anticancer, antimicrobial, other activities, in silico methodology) and the searches surfaced two more (F: heme coordination and cytochrome P450 liability; G: QSAR and machine-learning-guided design). The evidence is strong on synthesis methods and on in vitro potency reports. It is thin on in vivo validation, on selectivity against human enzymes, and on independent testing of the in silico predictions that motivate the work </w:t>
      </w:r>
      <w:r>
        <w:rPr>
          <w:rFonts w:ascii="Calibri" w:cs="Calibri" w:eastAsia="Calibri" w:hAnsi="Calibri"/>
          <w:b/>
          <w:bCs/>
          <w:sz w:val="21"/>
          <w:szCs w:val="21"/>
        </w:rPr>
        <w:t xml:space="preserve">(Zhang et al., 2014; Antoniolli et al., 2026; Sabe et al., 2021)</w:t>
      </w:r>
      <w:r>
        <w:rPr>
          <w:rFonts w:ascii="Calibri" w:cs="Calibri" w:eastAsia="Calibri" w:hAnsi="Calibri"/>
          <w:sz w:val="21"/>
          <w:szCs w:val="21"/>
        </w:rPr>
        <w:t xml:space="preserve">.</w:t>
      </w:r>
    </w:p>
    <w:p>
      <w:pPr>
        <w:pStyle w:val="Heading1"/>
        <w:keepNext/>
      </w:pPr>
      <w:r>
        <w:rPr>
          <w:rFonts w:ascii="Calibri" w:cs="Calibri" w:eastAsia="Calibri" w:hAnsi="Calibri"/>
        </w:rPr>
        <w:t xml:space="preserve">2. Start Here: Priority Reading Order</w:t>
      </w:r>
    </w:p>
    <w:p>
      <w:pPr>
        <w:spacing w:after="120" w:before="0" w:line="264"/>
        <w:jc w:val="left"/>
      </w:pPr>
      <w:r>
        <w:rPr>
          <w:rFonts w:ascii="Calibri" w:cs="Calibri" w:eastAsia="Calibri" w:hAnsi="Calibri"/>
          <w:sz w:val="21"/>
          <w:szCs w:val="21"/>
        </w:rPr>
        <w:t xml:space="preserve">Seven papers, in the order a newcomer should read them: a review for orientation, the foundational review, then the synthesis frontier, a docking-guided design example, a closed-loop frontier example, and a paper that shows where claims outrun evidence.</w:t>
      </w:r>
    </w:p>
    <w:p>
      <w:pPr>
        <w:pStyle w:val="Heading2"/>
        <w:keepNext/>
      </w:pPr>
      <w:r>
        <w:rPr>
          <w:rFonts w:ascii="Calibri" w:cs="Calibri" w:eastAsia="Calibri" w:hAnsi="Calibri"/>
        </w:rPr>
        <w:t xml:space="preserve">2.1 Read 1 — Orientation: a recent review of imidazole hybrids</w:t>
      </w:r>
    </w:p>
    <w:p>
      <w:pPr>
        <w:spacing w:after="120" w:before="0" w:line="264"/>
        <w:jc w:val="left"/>
      </w:pPr>
      <w:hyperlink w:history="1" r:id="rId_rpjdgqneoeeteqaqjcua">
        <w:r>
          <w:rPr>
            <w:rStyle w:val="Hyperlink"/>
            <w:rFonts w:ascii="Calibri" w:cs="Calibri" w:eastAsia="Calibri" w:hAnsi="Calibri"/>
            <w:sz w:val="21"/>
            <w:szCs w:val="21"/>
          </w:rPr>
          <w:t xml:space="preserve">Recent pharmacological insights about imidazole hybrids: a comprehensive review</w:t>
        </w:r>
      </w:hyperlink>
      <w:r>
        <w:rPr>
          <w:rFonts w:ascii="Calibri" w:cs="Calibri" w:eastAsia="Calibri" w:hAnsi="Calibri"/>
          <w:color w:val="5B6B7A"/>
          <w:sz w:val="21"/>
          <w:szCs w:val="21"/>
        </w:rPr>
        <w:t xml:space="preserve"> — S. Poyraz et al., 2024; 43 citations</w:t>
      </w:r>
    </w:p>
    <w:p>
      <w:pPr>
        <w:pStyle w:val="ListParagraph"/>
        <w:numPr>
          <w:ilvl w:val="0"/>
          <w:numId w:val="2"/>
        </w:numPr>
        <w:spacing w:after="70" w:line="258"/>
      </w:pPr>
      <w:r>
        <w:rPr>
          <w:rFonts w:ascii="Calibri" w:cs="Calibri" w:eastAsia="Calibri" w:hAnsi="Calibri"/>
          <w:b/>
          <w:bCs/>
          <w:sz w:val="21"/>
          <w:szCs w:val="21"/>
        </w:rPr>
        <w:t xml:space="preserve">What it contributes:</w:t>
      </w:r>
      <w:r>
        <w:rPr>
          <w:rFonts w:ascii="Calibri" w:cs="Calibri" w:eastAsia="Calibri" w:hAnsi="Calibri"/>
          <w:sz w:val="21"/>
          <w:szCs w:val="21"/>
        </w:rPr>
        <w:t xml:space="preserve"> the broadest recent overview in the set of how imidazole is combined with other pharmacophores and what each hybrid class is reported to do.</w:t>
      </w:r>
    </w:p>
    <w:p>
      <w:pPr>
        <w:pStyle w:val="ListParagraph"/>
        <w:numPr>
          <w:ilvl w:val="0"/>
          <w:numId w:val="2"/>
        </w:numPr>
        <w:spacing w:after="70" w:line="258"/>
      </w:pPr>
      <w:r>
        <w:rPr>
          <w:rFonts w:ascii="Calibri" w:cs="Calibri" w:eastAsia="Calibri" w:hAnsi="Calibri"/>
          <w:b/>
          <w:bCs/>
          <w:sz w:val="21"/>
          <w:szCs w:val="21"/>
        </w:rPr>
        <w:t xml:space="preserve">While reading:</w:t>
      </w:r>
      <w:r>
        <w:rPr>
          <w:rFonts w:ascii="Calibri" w:cs="Calibri" w:eastAsia="Calibri" w:hAnsi="Calibri"/>
          <w:sz w:val="21"/>
          <w:szCs w:val="21"/>
        </w:rPr>
        <w:t xml:space="preserve"> note which partner heterocycles recur (triazole, thiazole, pyrazole and others) and which pharmacological activities are attached to which hybrid, because Sub-areas B to D depend on these pairings.</w:t>
      </w:r>
    </w:p>
    <w:p>
      <w:pPr>
        <w:spacing w:after="60"/>
      </w:pPr>
    </w:p>
    <w:p>
      <w:pPr>
        <w:pStyle w:val="Heading2"/>
        <w:keepNext/>
      </w:pPr>
      <w:r>
        <w:rPr>
          <w:rFonts w:ascii="Calibri" w:cs="Calibri" w:eastAsia="Calibri" w:hAnsi="Calibri"/>
        </w:rPr>
        <w:t xml:space="preserve">2.2 Read 2 — Foundational: the most-cited imidazole medicinal-chemistry review</w:t>
      </w:r>
    </w:p>
    <w:p>
      <w:pPr>
        <w:spacing w:after="120" w:before="0" w:line="264"/>
        <w:jc w:val="left"/>
      </w:pPr>
      <w:hyperlink w:history="1" r:id="rIdzminuyrhwipzprzc2gpmq">
        <w:r>
          <w:rPr>
            <w:rStyle w:val="Hyperlink"/>
            <w:rFonts w:ascii="Calibri" w:cs="Calibri" w:eastAsia="Calibri" w:hAnsi="Calibri"/>
            <w:sz w:val="21"/>
            <w:szCs w:val="21"/>
          </w:rPr>
          <w:t xml:space="preserve">Comprehensive Review in Current Developments of Imidazole‐Based Medicinal Chemistry</w:t>
        </w:r>
      </w:hyperlink>
      <w:r>
        <w:rPr>
          <w:rFonts w:ascii="Calibri" w:cs="Calibri" w:eastAsia="Calibri" w:hAnsi="Calibri"/>
          <w:color w:val="5B6B7A"/>
          <w:sz w:val="21"/>
          <w:szCs w:val="21"/>
        </w:rPr>
        <w:t xml:space="preserve"> — Ling Zhang et al., 2014; 696 citations; returned by 2 searches</w:t>
      </w:r>
    </w:p>
    <w:p>
      <w:pPr>
        <w:pStyle w:val="ListParagraph"/>
        <w:numPr>
          <w:ilvl w:val="0"/>
          <w:numId w:val="2"/>
        </w:numPr>
        <w:spacing w:after="70" w:line="258"/>
      </w:pPr>
      <w:r>
        <w:rPr>
          <w:rFonts w:ascii="Calibri" w:cs="Calibri" w:eastAsia="Calibri" w:hAnsi="Calibri"/>
          <w:b/>
          <w:bCs/>
          <w:sz w:val="21"/>
          <w:szCs w:val="21"/>
        </w:rPr>
        <w:t xml:space="preserve">What it contributes:</w:t>
      </w:r>
      <w:r>
        <w:rPr>
          <w:rFonts w:ascii="Calibri" w:cs="Calibri" w:eastAsia="Calibri" w:hAnsi="Calibri"/>
          <w:sz w:val="21"/>
          <w:szCs w:val="21"/>
        </w:rPr>
        <w:t xml:space="preserve"> it sets out why the electron-rich ring binds enzymes and receptors and coordinates metal ions, the common thread behind its wide bioactivity, and it is the most-cited paper in this set among those on the scaffold.</w:t>
      </w:r>
    </w:p>
    <w:p>
      <w:pPr>
        <w:pStyle w:val="ListParagraph"/>
        <w:numPr>
          <w:ilvl w:val="0"/>
          <w:numId w:val="2"/>
        </w:numPr>
        <w:spacing w:after="70" w:line="258"/>
      </w:pPr>
      <w:r>
        <w:rPr>
          <w:rFonts w:ascii="Calibri" w:cs="Calibri" w:eastAsia="Calibri" w:hAnsi="Calibri"/>
          <w:b/>
          <w:bCs/>
          <w:sz w:val="21"/>
          <w:szCs w:val="21"/>
        </w:rPr>
        <w:t xml:space="preserve">While reading:</w:t>
      </w:r>
      <w:r>
        <w:rPr>
          <w:rFonts w:ascii="Calibri" w:cs="Calibri" w:eastAsia="Calibri" w:hAnsi="Calibri"/>
          <w:sz w:val="21"/>
          <w:szCs w:val="21"/>
        </w:rPr>
        <w:t xml:space="preserve"> follow the metal-coordination argument. It explains kinase and CYP51 design, and it also predicts the cytochrome P450 liability discussed in Sub-area F.</w:t>
      </w:r>
    </w:p>
    <w:p>
      <w:pPr>
        <w:spacing w:after="60"/>
      </w:pPr>
    </w:p>
    <w:p>
      <w:pPr>
        <w:pStyle w:val="Heading2"/>
        <w:keepNext/>
      </w:pPr>
      <w:r>
        <w:rPr>
          <w:rFonts w:ascii="Calibri" w:cs="Calibri" w:eastAsia="Calibri" w:hAnsi="Calibri"/>
        </w:rPr>
        <w:t xml:space="preserve">2.3 Read 3 — Synthesis: the newest review of sustainable routes</w:t>
      </w:r>
    </w:p>
    <w:p>
      <w:pPr>
        <w:spacing w:after="120" w:before="0" w:line="264"/>
        <w:jc w:val="left"/>
      </w:pPr>
      <w:hyperlink w:history="1" r:id="rId_mkoiyykpbsr0xxmx2y_j">
        <w:r>
          <w:rPr>
            <w:rStyle w:val="Hyperlink"/>
            <w:rFonts w:ascii="Calibri" w:cs="Calibri" w:eastAsia="Calibri" w:hAnsi="Calibri"/>
            <w:sz w:val="21"/>
            <w:szCs w:val="21"/>
          </w:rPr>
          <w:t xml:space="preserve">Recent Progress in the Sustainable Synthesis of Imidazole Derivatives: Advances in Multicomponent Reactions, Catalysis, and Green Chemistry</w:t>
        </w:r>
      </w:hyperlink>
      <w:r>
        <w:rPr>
          <w:rFonts w:ascii="Calibri" w:cs="Calibri" w:eastAsia="Calibri" w:hAnsi="Calibri"/>
          <w:color w:val="5B6B7A"/>
          <w:sz w:val="21"/>
          <w:szCs w:val="21"/>
        </w:rPr>
        <w:t xml:space="preserve"> — A. Kaldybayeva et al., 2026; 0 citations; returned by 2 searches</w:t>
      </w:r>
    </w:p>
    <w:p>
      <w:pPr>
        <w:pStyle w:val="ListParagraph"/>
        <w:numPr>
          <w:ilvl w:val="0"/>
          <w:numId w:val="2"/>
        </w:numPr>
        <w:spacing w:after="70" w:line="258"/>
      </w:pPr>
      <w:r>
        <w:rPr>
          <w:rFonts w:ascii="Calibri" w:cs="Calibri" w:eastAsia="Calibri" w:hAnsi="Calibri"/>
          <w:b/>
          <w:bCs/>
          <w:sz w:val="21"/>
          <w:szCs w:val="21"/>
        </w:rPr>
        <w:t xml:space="preserve">What it contributes:</w:t>
      </w:r>
      <w:r>
        <w:rPr>
          <w:rFonts w:ascii="Calibri" w:cs="Calibri" w:eastAsia="Calibri" w:hAnsi="Calibri"/>
          <w:sz w:val="21"/>
          <w:szCs w:val="21"/>
        </w:rPr>
        <w:t xml:space="preserve"> a 2026 map of multicomponent, catalytic and green routes to imidazoles, so that the many primary synthesis papers can be placed in a few families.</w:t>
      </w:r>
    </w:p>
    <w:p>
      <w:pPr>
        <w:pStyle w:val="ListParagraph"/>
        <w:numPr>
          <w:ilvl w:val="0"/>
          <w:numId w:val="2"/>
        </w:numPr>
        <w:spacing w:after="70" w:line="258"/>
      </w:pPr>
      <w:r>
        <w:rPr>
          <w:rFonts w:ascii="Calibri" w:cs="Calibri" w:eastAsia="Calibri" w:hAnsi="Calibri"/>
          <w:b/>
          <w:bCs/>
          <w:sz w:val="21"/>
          <w:szCs w:val="21"/>
        </w:rPr>
        <w:t xml:space="preserve">While reading:</w:t>
      </w:r>
      <w:r>
        <w:rPr>
          <w:rFonts w:ascii="Calibri" w:cs="Calibri" w:eastAsia="Calibri" w:hAnsi="Calibri"/>
          <w:sz w:val="21"/>
          <w:szCs w:val="21"/>
        </w:rPr>
        <w:t xml:space="preserve"> check whether catalyst systems are compared on quantitative green metrics or only on yield and reaction time; the abstracts we read used the latter.</w:t>
      </w:r>
    </w:p>
    <w:p>
      <w:pPr>
        <w:spacing w:after="60"/>
      </w:pPr>
    </w:p>
    <w:p>
      <w:pPr>
        <w:pStyle w:val="Heading2"/>
        <w:keepNext/>
      </w:pPr>
      <w:r>
        <w:rPr>
          <w:rFonts w:ascii="Calibri" w:cs="Calibri" w:eastAsia="Calibri" w:hAnsi="Calibri"/>
        </w:rPr>
        <w:t xml:space="preserve">2.4 Read 4 — Design: docking used to choose what to make</w:t>
      </w:r>
    </w:p>
    <w:p>
      <w:pPr>
        <w:spacing w:after="120" w:before="0" w:line="264"/>
        <w:jc w:val="left"/>
      </w:pPr>
      <w:hyperlink w:history="1" r:id="rId9qqov1lt0ryugdkarposv">
        <w:r>
          <w:rPr>
            <w:rStyle w:val="Hyperlink"/>
            <w:rFonts w:ascii="Calibri" w:cs="Calibri" w:eastAsia="Calibri" w:hAnsi="Calibri"/>
            <w:sz w:val="21"/>
            <w:szCs w:val="21"/>
          </w:rPr>
          <w:t xml:space="preserve">In-vitro anticancer evaluation of newly designed and characterized tri/tetra-substituted imidazole congeners- maternal embryonic leucine zipper kinase inhibitors: Molecular docking and MD simulation approaches</w:t>
        </w:r>
      </w:hyperlink>
      <w:r>
        <w:rPr>
          <w:rFonts w:ascii="Calibri" w:cs="Calibri" w:eastAsia="Calibri" w:hAnsi="Calibri"/>
          <w:color w:val="5B6B7A"/>
          <w:sz w:val="21"/>
          <w:szCs w:val="21"/>
        </w:rPr>
        <w:t xml:space="preserve"> — M. Mahapatra et al., 2023; 35 citations; returned by 2 searches</w:t>
      </w:r>
    </w:p>
    <w:p>
      <w:pPr>
        <w:pStyle w:val="ListParagraph"/>
        <w:numPr>
          <w:ilvl w:val="0"/>
          <w:numId w:val="2"/>
        </w:numPr>
        <w:spacing w:after="70" w:line="258"/>
      </w:pPr>
      <w:r>
        <w:rPr>
          <w:rFonts w:ascii="Calibri" w:cs="Calibri" w:eastAsia="Calibri" w:hAnsi="Calibri"/>
          <w:b/>
          <w:bCs/>
          <w:sz w:val="21"/>
          <w:szCs w:val="21"/>
        </w:rPr>
        <w:t xml:space="preserve">What it contributes:</w:t>
      </w:r>
      <w:r>
        <w:rPr>
          <w:rFonts w:ascii="Calibri" w:cs="Calibri" w:eastAsia="Calibri" w:hAnsi="Calibri"/>
          <w:sz w:val="21"/>
          <w:szCs w:val="21"/>
        </w:rPr>
        <w:t xml:space="preserve"> a tri- and tetrasubstituted imidazole series in which docking against MELK kinase guided which compounds to prepare, followed by molecular dynamics and cell assays, which is the nearest thing in the anticancer set to a prediction being tested.</w:t>
      </w:r>
    </w:p>
    <w:p>
      <w:pPr>
        <w:pStyle w:val="ListParagraph"/>
        <w:numPr>
          <w:ilvl w:val="0"/>
          <w:numId w:val="2"/>
        </w:numPr>
        <w:spacing w:after="70" w:line="258"/>
      </w:pPr>
      <w:r>
        <w:rPr>
          <w:rFonts w:ascii="Calibri" w:cs="Calibri" w:eastAsia="Calibri" w:hAnsi="Calibri"/>
          <w:b/>
          <w:bCs/>
          <w:sz w:val="21"/>
          <w:szCs w:val="21"/>
        </w:rPr>
        <w:t xml:space="preserve">While reading:</w:t>
      </w:r>
      <w:r>
        <w:rPr>
          <w:rFonts w:ascii="Calibri" w:cs="Calibri" w:eastAsia="Calibri" w:hAnsi="Calibri"/>
          <w:sz w:val="21"/>
          <w:szCs w:val="21"/>
        </w:rPr>
        <w:t xml:space="preserve"> compare the order in which compounds were ranked in silico with the order of their measured activity, and note what the molecular dynamics adds beyond a stable pose.</w:t>
      </w:r>
    </w:p>
    <w:p>
      <w:pPr>
        <w:spacing w:after="60"/>
      </w:pPr>
    </w:p>
    <w:p>
      <w:pPr>
        <w:pStyle w:val="Heading2"/>
        <w:keepNext/>
      </w:pPr>
      <w:r>
        <w:rPr>
          <w:rFonts w:ascii="Calibri" w:cs="Calibri" w:eastAsia="Calibri" w:hAnsi="Calibri"/>
        </w:rPr>
        <w:t xml:space="preserve">2.5 Read 5 — Current practice: green synthesis plus kinase inhibition</w:t>
      </w:r>
    </w:p>
    <w:p>
      <w:pPr>
        <w:spacing w:after="120" w:before="0" w:line="264"/>
        <w:jc w:val="left"/>
      </w:pPr>
      <w:hyperlink w:history="1" r:id="rIdjfmqmabzihxfzdimtwv5-">
        <w:r>
          <w:rPr>
            <w:rStyle w:val="Hyperlink"/>
            <w:rFonts w:ascii="Calibri" w:cs="Calibri" w:eastAsia="Calibri" w:hAnsi="Calibri"/>
            <w:sz w:val="21"/>
            <w:szCs w:val="21"/>
          </w:rPr>
          <w:t xml:space="preserve">Rational Design, Green Synthesis, and Biological Evaluation of Novel Imidazole Derivatives as Potent EGFR Inhibitors via One‐Pot Four‐Component Reaction</w:t>
        </w:r>
      </w:hyperlink>
      <w:r>
        <w:rPr>
          <w:rFonts w:ascii="Calibri" w:cs="Calibri" w:eastAsia="Calibri" w:hAnsi="Calibri"/>
          <w:color w:val="5B6B7A"/>
          <w:sz w:val="21"/>
          <w:szCs w:val="21"/>
        </w:rPr>
        <w:t xml:space="preserve"> — A. M. Alsirhani et al., 2025; 9 citations; returned by 3 searches</w:t>
      </w:r>
    </w:p>
    <w:p>
      <w:pPr>
        <w:pStyle w:val="ListParagraph"/>
        <w:numPr>
          <w:ilvl w:val="0"/>
          <w:numId w:val="2"/>
        </w:numPr>
        <w:spacing w:after="70" w:line="258"/>
      </w:pPr>
      <w:r>
        <w:rPr>
          <w:rFonts w:ascii="Calibri" w:cs="Calibri" w:eastAsia="Calibri" w:hAnsi="Calibri"/>
          <w:b/>
          <w:bCs/>
          <w:sz w:val="21"/>
          <w:szCs w:val="21"/>
        </w:rPr>
        <w:t xml:space="preserve">What it contributes:</w:t>
      </w:r>
      <w:r>
        <w:rPr>
          <w:rFonts w:ascii="Calibri" w:cs="Calibri" w:eastAsia="Calibri" w:hAnsi="Calibri"/>
          <w:sz w:val="21"/>
          <w:szCs w:val="21"/>
        </w:rPr>
        <w:t xml:space="preserve"> a complete modern pipeline in one paper (rational design, microwave four-component synthesis, EGFR wild-type and T790M assays, computational support), and it was returned by three different searches.</w:t>
      </w:r>
    </w:p>
    <w:p>
      <w:pPr>
        <w:pStyle w:val="ListParagraph"/>
        <w:numPr>
          <w:ilvl w:val="0"/>
          <w:numId w:val="2"/>
        </w:numPr>
        <w:spacing w:after="70" w:line="258"/>
      </w:pPr>
      <w:r>
        <w:rPr>
          <w:rFonts w:ascii="Calibri" w:cs="Calibri" w:eastAsia="Calibri" w:hAnsi="Calibri"/>
          <w:b/>
          <w:bCs/>
          <w:sz w:val="21"/>
          <w:szCs w:val="21"/>
        </w:rPr>
        <w:t xml:space="preserve">While reading:</w:t>
      </w:r>
      <w:r>
        <w:rPr>
          <w:rFonts w:ascii="Calibri" w:cs="Calibri" w:eastAsia="Calibri" w:hAnsi="Calibri"/>
          <w:sz w:val="21"/>
          <w:szCs w:val="21"/>
        </w:rPr>
        <w:t xml:space="preserve"> see how the authors' comparison with osimertinib and gefitinib is set up (same assay, same units) and what the computational part is asked to prove.</w:t>
      </w:r>
    </w:p>
    <w:p>
      <w:pPr>
        <w:spacing w:after="60"/>
      </w:pPr>
    </w:p>
    <w:p>
      <w:pPr>
        <w:pStyle w:val="Heading2"/>
        <w:keepNext/>
      </w:pPr>
      <w:r>
        <w:rPr>
          <w:rFonts w:ascii="Calibri" w:cs="Calibri" w:eastAsia="Calibri" w:hAnsi="Calibri"/>
        </w:rPr>
        <w:t xml:space="preserve">2.6 Read 6 — Frontier: from machine-learning model to synthesis and assay</w:t>
      </w:r>
    </w:p>
    <w:p>
      <w:pPr>
        <w:spacing w:after="120" w:before="0" w:line="264"/>
        <w:jc w:val="left"/>
      </w:pPr>
      <w:hyperlink w:history="1" r:id="rIdzv_zfwpy_pfne7_aoewyh">
        <w:r>
          <w:rPr>
            <w:rStyle w:val="Hyperlink"/>
            <w:rFonts w:ascii="Calibri" w:cs="Calibri" w:eastAsia="Calibri" w:hAnsi="Calibri"/>
            <w:sz w:val="21"/>
            <w:szCs w:val="21"/>
          </w:rPr>
          <w:t xml:space="preserve">From in silico and machine learning model to validation: discovery of novel amide-functionalized imidazopyridines as PIM-1 kinase inhibitors using an integrated ligand and structure-based hopping approach</w:t>
        </w:r>
      </w:hyperlink>
      <w:r>
        <w:rPr>
          <w:rFonts w:ascii="Calibri" w:cs="Calibri" w:eastAsia="Calibri" w:hAnsi="Calibri"/>
          <w:color w:val="5B6B7A"/>
          <w:sz w:val="21"/>
          <w:szCs w:val="21"/>
        </w:rPr>
        <w:t xml:space="preserve"> — Vinayak Walhekar et al., 2026; 2 citations</w:t>
      </w:r>
    </w:p>
    <w:p>
      <w:pPr>
        <w:pStyle w:val="ListParagraph"/>
        <w:numPr>
          <w:ilvl w:val="0"/>
          <w:numId w:val="2"/>
        </w:numPr>
        <w:spacing w:after="70" w:line="258"/>
      </w:pPr>
      <w:r>
        <w:rPr>
          <w:rFonts w:ascii="Calibri" w:cs="Calibri" w:eastAsia="Calibri" w:hAnsi="Calibri"/>
          <w:b/>
          <w:bCs/>
          <w:sz w:val="21"/>
          <w:szCs w:val="21"/>
        </w:rPr>
        <w:t xml:space="preserve">What it contributes:</w:t>
      </w:r>
      <w:r>
        <w:rPr>
          <w:rFonts w:ascii="Calibri" w:cs="Calibri" w:eastAsia="Calibri" w:hAnsi="Calibri"/>
          <w:sz w:val="21"/>
          <w:szCs w:val="21"/>
        </w:rPr>
        <w:t xml:space="preserve"> an imidazo[1,2-a]pyridine series designed with a pharmacophore model and a regression workflow, then synthesised and tested, so the model's output meets a measurement.</w:t>
      </w:r>
    </w:p>
    <w:p>
      <w:pPr>
        <w:pStyle w:val="ListParagraph"/>
        <w:numPr>
          <w:ilvl w:val="0"/>
          <w:numId w:val="2"/>
        </w:numPr>
        <w:spacing w:after="70" w:line="258"/>
      </w:pPr>
      <w:r>
        <w:rPr>
          <w:rFonts w:ascii="Calibri" w:cs="Calibri" w:eastAsia="Calibri" w:hAnsi="Calibri"/>
          <w:b/>
          <w:bCs/>
          <w:sz w:val="21"/>
          <w:szCs w:val="21"/>
        </w:rPr>
        <w:t xml:space="preserve">While reading:</w:t>
      </w:r>
      <w:r>
        <w:rPr>
          <w:rFonts w:ascii="Calibri" w:cs="Calibri" w:eastAsia="Calibri" w:hAnsi="Calibri"/>
          <w:sz w:val="21"/>
          <w:szCs w:val="21"/>
        </w:rPr>
        <w:t xml:space="preserve"> compare the number of candidates designed (27) with the number made and tested, and weigh the measured activity of the best compound against how the abstract frames it.</w:t>
      </w:r>
    </w:p>
    <w:p>
      <w:pPr>
        <w:spacing w:after="60"/>
      </w:pPr>
    </w:p>
    <w:p>
      <w:pPr>
        <w:pStyle w:val="Heading2"/>
        <w:keepNext/>
      </w:pPr>
      <w:r>
        <w:rPr>
          <w:rFonts w:ascii="Calibri" w:cs="Calibri" w:eastAsia="Calibri" w:hAnsi="Calibri"/>
        </w:rPr>
        <w:t xml:space="preserve">2.7 Read 7 — Gap and controversy: docking-only claims of inhibition</w:t>
      </w:r>
    </w:p>
    <w:p>
      <w:pPr>
        <w:spacing w:after="120" w:before="0" w:line="264"/>
        <w:jc w:val="left"/>
      </w:pPr>
      <w:hyperlink w:history="1" r:id="rIdbs-o4dtsjukyrwgtdhufs">
        <w:r>
          <w:rPr>
            <w:rStyle w:val="Hyperlink"/>
            <w:rFonts w:ascii="Calibri" w:cs="Calibri" w:eastAsia="Calibri" w:hAnsi="Calibri"/>
            <w:sz w:val="21"/>
            <w:szCs w:val="21"/>
          </w:rPr>
          <w:t xml:space="preserve">Inhibitors of glucosamine-6-phosphate synthase as potential antimicrobials or antidiabetics – synthesis and properties</w:t>
        </w:r>
      </w:hyperlink>
      <w:r>
        <w:rPr>
          <w:rFonts w:ascii="Calibri" w:cs="Calibri" w:eastAsia="Calibri" w:hAnsi="Calibri"/>
          <w:color w:val="5B6B7A"/>
          <w:sz w:val="21"/>
          <w:szCs w:val="21"/>
        </w:rPr>
        <w:t xml:space="preserve"> — Joanna Stefaniak et al., 2022; 27 citations</w:t>
      </w:r>
    </w:p>
    <w:p>
      <w:pPr>
        <w:pStyle w:val="ListParagraph"/>
        <w:numPr>
          <w:ilvl w:val="0"/>
          <w:numId w:val="2"/>
        </w:numPr>
        <w:spacing w:after="70" w:line="258"/>
      </w:pPr>
      <w:r>
        <w:rPr>
          <w:rFonts w:ascii="Calibri" w:cs="Calibri" w:eastAsia="Calibri" w:hAnsi="Calibri"/>
          <w:b/>
          <w:bCs/>
          <w:sz w:val="21"/>
          <w:szCs w:val="21"/>
        </w:rPr>
        <w:t xml:space="preserve">What it contributes:</w:t>
      </w:r>
      <w:r>
        <w:rPr>
          <w:rFonts w:ascii="Calibri" w:cs="Calibri" w:eastAsia="Calibri" w:hAnsi="Calibri"/>
          <w:sz w:val="21"/>
          <w:szCs w:val="21"/>
        </w:rPr>
        <w:t xml:space="preserve"> a review of glucosamine-6-phosphate synthase inhibitors that records how often compounds are presented as inhibitors on the strength of docking alone, and why selective inhibitors have shown limited antimicrobial effect.</w:t>
      </w:r>
    </w:p>
    <w:p>
      <w:pPr>
        <w:pStyle w:val="ListParagraph"/>
        <w:numPr>
          <w:ilvl w:val="0"/>
          <w:numId w:val="2"/>
        </w:numPr>
        <w:spacing w:after="70" w:line="258"/>
      </w:pPr>
      <w:r>
        <w:rPr>
          <w:rFonts w:ascii="Calibri" w:cs="Calibri" w:eastAsia="Calibri" w:hAnsi="Calibri"/>
          <w:b/>
          <w:bCs/>
          <w:sz w:val="21"/>
          <w:szCs w:val="21"/>
        </w:rPr>
        <w:t xml:space="preserve">While reading:</w:t>
      </w:r>
      <w:r>
        <w:rPr>
          <w:rFonts w:ascii="Calibri" w:cs="Calibri" w:eastAsia="Calibri" w:hAnsi="Calibri"/>
          <w:sz w:val="21"/>
          <w:szCs w:val="21"/>
        </w:rPr>
        <w:t xml:space="preserve"> the discussion of what separates a docked compound from a proven enzyme inhibitor shows where a new study can add real evidence.</w:t>
      </w:r>
    </w:p>
    <w:p>
      <w:pPr>
        <w:spacing w:after="60"/>
      </w:pPr>
    </w:p>
    <w:p>
      <w:pPr>
        <w:pBdr>
          <w:left w:val="single" w:color="1F3A5F" w:sz="18" w:space="8"/>
        </w:pBdr>
        <w:shd w:fill="EAF2F8" w:color="auto" w:val="clear"/>
        <w:spacing w:after="200" w:before="120" w:line="260"/>
        <w:ind w:left="160" w:right="120" w:hanging="0"/>
      </w:pPr>
      <w:r>
        <w:rPr>
          <w:rFonts w:ascii="Calibri" w:cs="Calibri" w:eastAsia="Calibri" w:hAnsi="Calibri"/>
          <w:b/>
          <w:bCs/>
          <w:sz w:val="20"/>
          <w:szCs w:val="20"/>
        </w:rPr>
        <w:t xml:space="preserve">Also read alongside (preprints from alphaXiv, not peer reviewed).</w:t>
      </w:r>
      <w:r>
        <w:rPr>
          <w:rFonts w:ascii="Calibri" w:cs="Calibri" w:eastAsia="Calibri" w:hAnsi="Calibri"/>
          <w:sz w:val="20"/>
          <w:szCs w:val="20"/>
        </w:rPr>
        <w:t xml:space="preserve"> </w:t>
      </w:r>
      <w:hyperlink w:history="1" r:id="rId2snrt2hkrne2cevrbdjvf">
        <w:r>
          <w:rPr>
            <w:rStyle w:val="Hyperlink"/>
            <w:rFonts w:ascii="Calibri" w:cs="Calibri" w:eastAsia="Calibri" w:hAnsi="Calibri"/>
            <w:sz w:val="20"/>
            <w:szCs w:val="20"/>
          </w:rPr>
          <w:t xml:space="preserve">On the Reliability of AI Methods in Drug Discovery: Evaluation of Boltz-2 for Structure and Binding Affinity Prediction</w:t>
        </w:r>
      </w:hyperlink>
      <w:r>
        <w:rPr>
          <w:rFonts w:ascii="Calibri" w:cs="Calibri" w:eastAsia="Calibri" w:hAnsi="Calibri"/>
          <w:color w:val="5B6B7A"/>
          <w:sz w:val="20"/>
          <w:szCs w:val="20"/>
        </w:rPr>
        <w:t xml:space="preserve"> — Shunzhou Wan et al., 2026; arXiv:2603.05532 [physics.chem-ph], 2 Mar 2026</w:t>
      </w:r>
      <w:r>
        <w:rPr>
          <w:rFonts w:ascii="Calibri" w:cs="Calibri" w:eastAsia="Calibri" w:hAnsi="Calibri"/>
          <w:sz w:val="20"/>
          <w:szCs w:val="20"/>
        </w:rPr>
        <w:t xml:space="preserve"> tests the Boltz-2 co-folding model against ensemble free-energy simulations, and </w:t>
      </w:r>
      <w:hyperlink w:history="1" r:id="rIdbcr-i0b02xe14mmxr9qv5">
        <w:r>
          <w:rPr>
            <w:rStyle w:val="Hyperlink"/>
            <w:rFonts w:ascii="Calibri" w:cs="Calibri" w:eastAsia="Calibri" w:hAnsi="Calibri"/>
            <w:sz w:val="20"/>
            <w:szCs w:val="20"/>
          </w:rPr>
          <w:t xml:space="preserve">Beyond Scaffold Splits: Structural-Frontier Evaluation Reveals Hidden Failures in ADMET Models</w:t>
        </w:r>
      </w:hyperlink>
      <w:r>
        <w:rPr>
          <w:rFonts w:ascii="Calibri" w:cs="Calibri" w:eastAsia="Calibri" w:hAnsi="Calibri"/>
          <w:color w:val="5B6B7A"/>
          <w:sz w:val="20"/>
          <w:szCs w:val="20"/>
        </w:rPr>
        <w:t xml:space="preserve"> — Jiacheng Zheng et al., 2026; arXiv:2607.10729v4 [cs.LG], 6 Oct 2026</w:t>
      </w:r>
      <w:r>
        <w:rPr>
          <w:rFonts w:ascii="Calibri" w:cs="Calibri" w:eastAsia="Calibri" w:hAnsi="Calibri"/>
          <w:sz w:val="20"/>
          <w:szCs w:val="20"/>
        </w:rPr>
        <w:t xml:space="preserve"> shows that ADMET models fail on structurally distant scaffolds. Neither is imidazole-specific, but both bear on how far the in silico steps in Reads 4 to 6 can be trusted.</w:t>
      </w:r>
    </w:p>
    <w:p>
      <w:pPr>
        <w:pStyle w:val="Heading1"/>
        <w:keepNext/>
      </w:pPr>
      <w:r>
        <w:rPr>
          <w:rFonts w:ascii="Calibri" w:cs="Calibri" w:eastAsia="Calibri" w:hAnsi="Calibri"/>
        </w:rPr>
        <w:t xml:space="preserve">3. How the Field Got Here</w:t>
      </w:r>
    </w:p>
    <w:p>
      <w:pPr>
        <w:spacing w:after="120" w:before="0" w:line="264"/>
        <w:jc w:val="left"/>
      </w:pPr>
      <w:r>
        <w:rPr>
          <w:rFonts w:ascii="Calibri" w:cs="Calibri" w:eastAsia="Calibri" w:hAnsi="Calibri"/>
          <w:sz w:val="21"/>
          <w:szCs w:val="21"/>
        </w:rPr>
        <w:t xml:space="preserve">Work on the ring itself is old. Debus first prepared imidazole in 1858, and the diketone–aldehyde–ammonia family of condensations that grew from it is still the workhorse route </w:t>
      </w:r>
      <w:r>
        <w:rPr>
          <w:rFonts w:ascii="Calibri" w:cs="Calibri" w:eastAsia="Calibri" w:hAnsi="Calibri"/>
          <w:b/>
          <w:bCs/>
          <w:sz w:val="21"/>
          <w:szCs w:val="21"/>
        </w:rPr>
        <w:t xml:space="preserve">(Tolomeu et al., 2023; Hamdi et al., 2024)</w:t>
      </w:r>
      <w:r>
        <w:rPr>
          <w:rFonts w:ascii="Calibri" w:cs="Calibri" w:eastAsia="Calibri" w:hAnsi="Calibri"/>
          <w:sz w:val="21"/>
          <w:szCs w:val="21"/>
        </w:rPr>
        <w:t xml:space="preserve">. The era-gated searches show a change of emphasis. Papers returned for the period up to 2015 were dominated by new catalysts for the same condensation, with ytterbium triflate (2006) as a typical example </w:t>
      </w:r>
      <w:r>
        <w:rPr>
          <w:rFonts w:ascii="Calibri" w:cs="Calibri" w:eastAsia="Calibri" w:hAnsi="Calibri"/>
          <w:b/>
          <w:bCs/>
          <w:sz w:val="21"/>
          <w:szCs w:val="21"/>
        </w:rPr>
        <w:t xml:space="preserve">(Wang et al., 2006)</w:t>
      </w:r>
      <w:r>
        <w:rPr>
          <w:rFonts w:ascii="Calibri" w:cs="Calibri" w:eastAsia="Calibri" w:hAnsi="Calibri"/>
          <w:sz w:val="21"/>
          <w:szCs w:val="21"/>
        </w:rPr>
        <w:t xml:space="preserve">; papers from 2021 onward more often report green media and alternative energy inputs and pair the synthesis with biological testing and computation in the same article </w:t>
      </w:r>
      <w:r>
        <w:rPr>
          <w:rFonts w:ascii="Calibri" w:cs="Calibri" w:eastAsia="Calibri" w:hAnsi="Calibri"/>
          <w:b/>
          <w:bCs/>
          <w:sz w:val="21"/>
          <w:szCs w:val="21"/>
        </w:rPr>
        <w:t xml:space="preserve">(Kaldybayeva et al., 2026; Patel et al., 2021; Saha et al., 2024)</w:t>
      </w:r>
      <w:r>
        <w:rPr>
          <w:rFonts w:ascii="Calibri" w:cs="Calibri" w:eastAsia="Calibri" w:hAnsi="Calibri"/>
          <w:sz w:val="21"/>
          <w:szCs w:val="21"/>
        </w:rPr>
        <w:t xml:space="preserve">. The computational side followed the same arc. A 2013 study concluded from docking alone that six pyrazole-bearing imidazoles "may be considered as good inhibitor of GlcN-6-P synthase" </w:t>
      </w:r>
      <w:r>
        <w:rPr>
          <w:rFonts w:ascii="Calibri" w:cs="Calibri" w:eastAsia="Calibri" w:hAnsi="Calibri"/>
          <w:b/>
          <w:bCs/>
          <w:sz w:val="21"/>
          <w:szCs w:val="21"/>
        </w:rPr>
        <w:t xml:space="preserve">(Vijesh et al., 2013)</w:t>
      </w:r>
      <w:r>
        <w:rPr>
          <w:rFonts w:ascii="Calibri" w:cs="Calibri" w:eastAsia="Calibri" w:hAnsi="Calibri"/>
          <w:sz w:val="21"/>
          <w:szCs w:val="21"/>
        </w:rPr>
        <w:t xml:space="preserve">; by the early 2020s, studies routinely stack docking, molecular dynamics, DFT and ADMET predictions on top of one assay </w:t>
      </w:r>
      <w:r>
        <w:rPr>
          <w:rFonts w:ascii="Calibri" w:cs="Calibri" w:eastAsia="Calibri" w:hAnsi="Calibri"/>
          <w:b/>
          <w:bCs/>
          <w:sz w:val="21"/>
          <w:szCs w:val="21"/>
        </w:rPr>
        <w:t xml:space="preserve">(Sabe et al., 2021; Alsirhani et al., 2025; Mareguddi et al., 2026)</w:t>
      </w:r>
      <w:r>
        <w:rPr>
          <w:rFonts w:ascii="Calibri" w:cs="Calibri" w:eastAsia="Calibri" w:hAnsi="Calibri"/>
          <w:sz w:val="21"/>
          <w:szCs w:val="21"/>
        </w:rPr>
        <w:t xml:space="preserve">.</w:t>
      </w:r>
    </w:p>
    <w:p>
      <w:pPr>
        <w:spacing w:after="120" w:before="0" w:line="264"/>
        <w:jc w:val="left"/>
      </w:pPr>
      <w:r>
        <w:rPr>
          <w:rFonts w:ascii="Calibri" w:cs="Calibri" w:eastAsia="Calibri" w:hAnsi="Calibri"/>
          <w:sz w:val="21"/>
          <w:szCs w:val="21"/>
        </w:rPr>
        <w:t xml:space="preserve">The newest phase is a reliability reckoning. Independent benchmarks now question how much a docking score, a short molecular dynamics run or a SwissADME panel can say about potency or pharmacokinetics </w:t>
      </w:r>
      <w:r>
        <w:rPr>
          <w:rFonts w:ascii="Calibri" w:cs="Calibri" w:eastAsia="Calibri" w:hAnsi="Calibri"/>
          <w:b/>
          <w:bCs/>
          <w:sz w:val="21"/>
          <w:szCs w:val="21"/>
        </w:rPr>
        <w:t xml:space="preserve">(Moesgaard et al., 2026; Tripathi et al., 2025; Dulsat et al., 2023)</w:t>
      </w:r>
      <w:r>
        <w:rPr>
          <w:rFonts w:ascii="Calibri" w:cs="Calibri" w:eastAsia="Calibri" w:hAnsi="Calibri"/>
          <w:sz w:val="21"/>
          <w:szCs w:val="21"/>
        </w:rPr>
        <w:t xml:space="preserve">, and a few 2025 to 2026 studies close the loop by synthesising and testing what a model proposed </w:t>
      </w:r>
      <w:r>
        <w:rPr>
          <w:rFonts w:ascii="Calibri" w:cs="Calibri" w:eastAsia="Calibri" w:hAnsi="Calibri"/>
          <w:b/>
          <w:bCs/>
          <w:sz w:val="21"/>
          <w:szCs w:val="21"/>
        </w:rPr>
        <w:t xml:space="preserve">(Walhekar et al., 2026; Veríssimo et al., 2026; Kalitin et al., 2025)</w:t>
      </w:r>
      <w:r>
        <w:rPr>
          <w:rFonts w:ascii="Calibri" w:cs="Calibri" w:eastAsia="Calibri" w:hAnsi="Calibri"/>
          <w:sz w:val="21"/>
          <w:szCs w:val="21"/>
        </w:rPr>
        <w:t xml:space="preserve">. When you read a recent imidazole paper, ask which of these phases it belongs to.</w:t>
      </w:r>
    </w:p>
    <w:p>
      <w:pPr>
        <w:keepNext/>
        <w:spacing w:after="80" w:before="160" w:line="250"/>
      </w:pPr>
      <w:r>
        <w:rPr>
          <w:rFonts w:ascii="Calibri" w:cs="Calibri" w:eastAsia="Calibri" w:hAnsi="Calibri"/>
          <w:b/>
          <w:bCs/>
          <w:color w:val="1F3A5F"/>
          <w:sz w:val="20"/>
          <w:szCs w:val="20"/>
        </w:rPr>
        <w:t xml:space="preserve">Table 1. </w:t>
      </w:r>
      <w:r>
        <w:rPr>
          <w:rFonts w:ascii="Calibri" w:cs="Calibri" w:eastAsia="Calibri" w:hAnsi="Calibri"/>
          <w:sz w:val="20"/>
          <w:szCs w:val="20"/>
        </w:rPr>
        <w:t xml:space="preserve">Timeline of milestones drawn from the retrieved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4360"/>
      </w:tblGrid>
      <w:tr>
        <w:trPr>
          <w:cantSplit/>
          <w:tblHeader/>
        </w:trPr>
        <w:tc>
          <w:tcPr>
            <w:tcW w:type="dxa" w:w="1100"/>
            <w:tcBorders>
              <w:top w:val="single" w:color="BFC7CF" w:sz="4"/>
              <w:left w:val="single" w:color="BFC7CF" w:sz="4"/>
              <w:bottom w:val="single" w:color="BFC7CF" w:sz="4"/>
              <w:right w:val="single" w:color="BFC7CF" w:sz="4"/>
            </w:tcBorders>
            <w:shd w:fill="D5E3EE" w:color="auto" w:val="clear"/>
            <w:tcMar>
              <w:top w:type="dxa" w:w="60"/>
              <w:left w:type="dxa" w:w="100"/>
              <w:bottom w:type="dxa" w:w="60"/>
              <w:right w:type="dxa" w:w="100"/>
            </w:tcMar>
            <w:vAlign w:val="top"/>
          </w:tcPr>
          <w:p>
            <w:pPr>
              <w:spacing w:after="0" w:line="245"/>
            </w:pPr>
            <w:r>
              <w:rPr>
                <w:rFonts w:ascii="Calibri" w:cs="Calibri" w:eastAsia="Calibri" w:hAnsi="Calibri"/>
                <w:b/>
                <w:bCs/>
                <w:sz w:val="18"/>
                <w:szCs w:val="18"/>
              </w:rPr>
              <w:t xml:space="preserve">Year</w:t>
            </w:r>
          </w:p>
        </w:tc>
        <w:tc>
          <w:tcPr>
            <w:tcW w:type="dxa" w:w="3900"/>
            <w:tcBorders>
              <w:top w:val="single" w:color="BFC7CF" w:sz="4"/>
              <w:left w:val="single" w:color="BFC7CF" w:sz="4"/>
              <w:bottom w:val="single" w:color="BFC7CF" w:sz="4"/>
              <w:right w:val="single" w:color="BFC7CF" w:sz="4"/>
            </w:tcBorders>
            <w:shd w:fill="D5E3EE" w:color="auto" w:val="clear"/>
            <w:tcMar>
              <w:top w:type="dxa" w:w="60"/>
              <w:left w:type="dxa" w:w="100"/>
              <w:bottom w:type="dxa" w:w="60"/>
              <w:right w:type="dxa" w:w="100"/>
            </w:tcMar>
            <w:vAlign w:val="top"/>
          </w:tcPr>
          <w:p>
            <w:pPr>
              <w:spacing w:after="0" w:line="245"/>
            </w:pPr>
            <w:r>
              <w:rPr>
                <w:rFonts w:ascii="Calibri" w:cs="Calibri" w:eastAsia="Calibri" w:hAnsi="Calibri"/>
                <w:b/>
                <w:bCs/>
                <w:sz w:val="18"/>
                <w:szCs w:val="18"/>
              </w:rPr>
              <w:t xml:space="preserve">Milestone</w:t>
            </w:r>
          </w:p>
        </w:tc>
        <w:tc>
          <w:tcPr>
            <w:tcW w:type="dxa" w:w="4360"/>
            <w:tcBorders>
              <w:top w:val="single" w:color="BFC7CF" w:sz="4"/>
              <w:left w:val="single" w:color="BFC7CF" w:sz="4"/>
              <w:bottom w:val="single" w:color="BFC7CF" w:sz="4"/>
              <w:right w:val="single" w:color="BFC7CF" w:sz="4"/>
            </w:tcBorders>
            <w:shd w:fill="D5E3EE" w:color="auto" w:val="clear"/>
            <w:tcMar>
              <w:top w:type="dxa" w:w="60"/>
              <w:left w:type="dxa" w:w="100"/>
              <w:bottom w:type="dxa" w:w="60"/>
              <w:right w:type="dxa" w:w="100"/>
            </w:tcMar>
            <w:vAlign w:val="top"/>
          </w:tcPr>
          <w:p>
            <w:pPr>
              <w:spacing w:after="0" w:line="245"/>
            </w:pPr>
            <w:r>
              <w:rPr>
                <w:rFonts w:ascii="Calibri" w:cs="Calibri" w:eastAsia="Calibri" w:hAnsi="Calibri"/>
                <w:b/>
                <w:bCs/>
                <w:sz w:val="18"/>
                <w:szCs w:val="18"/>
              </w:rPr>
              <w:t xml:space="preserve">Significance</w:t>
            </w:r>
          </w:p>
        </w:tc>
      </w:tr>
      <w:tr>
        <w:trPr>
          <w:cantSplit/>
          <w:tblHeader w:val="false"/>
        </w:trPr>
        <w:tc>
          <w:tcPr>
            <w:tcW w:type="dxa" w:w="1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1858</w:t>
            </w:r>
          </w:p>
        </w:tc>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Debus prepares imidazole from glyoxal, formaldehyde and ammonia </w:t>
            </w:r>
            <w:r>
              <w:rPr>
                <w:rFonts w:ascii="Calibri" w:cs="Calibri" w:eastAsia="Calibri" w:hAnsi="Calibri"/>
                <w:b/>
                <w:bCs/>
                <w:sz w:val="18"/>
                <w:szCs w:val="18"/>
              </w:rPr>
              <w:t xml:space="preserve">(Tolomeu et al., 2023)</w:t>
            </w:r>
          </w:p>
        </w:tc>
        <w:tc>
          <w:tcPr>
            <w:tcW w:type="dxa" w:w="43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Origin of the ring and of the multicomponent tradition</w:t>
            </w:r>
          </w:p>
        </w:tc>
      </w:tr>
      <w:tr>
        <w:trPr>
          <w:cantSplit/>
          <w:tblHeader w:val="false"/>
        </w:trPr>
        <w:tc>
          <w:tcPr>
            <w:tcW w:type="dxa" w:w="1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2006</w:t>
            </w:r>
          </w:p>
        </w:tc>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Ytterbium triflate catalyses benzil–aldehyde–ammonium acetate condensation; catalyst reused at least three times </w:t>
            </w:r>
            <w:r>
              <w:rPr>
                <w:rFonts w:ascii="Calibri" w:cs="Calibri" w:eastAsia="Calibri" w:hAnsi="Calibri"/>
                <w:b/>
                <w:bCs/>
                <w:sz w:val="18"/>
                <w:szCs w:val="18"/>
              </w:rPr>
              <w:t xml:space="preserve">(Wang et al., 2006)</w:t>
            </w:r>
          </w:p>
        </w:tc>
        <w:tc>
          <w:tcPr>
            <w:tcW w:type="dxa" w:w="43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Typical of the pre-2015 emphasis on new catalysts for the same reaction</w:t>
            </w:r>
          </w:p>
        </w:tc>
      </w:tr>
      <w:tr>
        <w:trPr>
          <w:cantSplit/>
          <w:tblHeader w:val="false"/>
        </w:trPr>
        <w:tc>
          <w:tcPr>
            <w:tcW w:type="dxa" w:w="1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2013</w:t>
            </w:r>
          </w:p>
        </w:tc>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Docking of six pyrazole-bearing imidazoles against GlcN-6-P synthase, with activity inferred from binding </w:t>
            </w:r>
            <w:r>
              <w:rPr>
                <w:rFonts w:ascii="Calibri" w:cs="Calibri" w:eastAsia="Calibri" w:hAnsi="Calibri"/>
                <w:b/>
                <w:bCs/>
                <w:sz w:val="18"/>
                <w:szCs w:val="18"/>
              </w:rPr>
              <w:t xml:space="preserve">(Vijesh et al., 2013)</w:t>
            </w:r>
          </w:p>
        </w:tc>
        <w:tc>
          <w:tcPr>
            <w:tcW w:type="dxa" w:w="43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Template for docking-only target claims; 155 citations</w:t>
            </w:r>
          </w:p>
        </w:tc>
      </w:tr>
      <w:tr>
        <w:trPr>
          <w:cantSplit/>
          <w:tblHeader w:val="false"/>
        </w:trPr>
        <w:tc>
          <w:tcPr>
            <w:tcW w:type="dxa" w:w="1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2014</w:t>
            </w:r>
          </w:p>
        </w:tc>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Comprehensive review of imidazole-based medicinal chemistry </w:t>
            </w:r>
            <w:r>
              <w:rPr>
                <w:rFonts w:ascii="Calibri" w:cs="Calibri" w:eastAsia="Calibri" w:hAnsi="Calibri"/>
                <w:b/>
                <w:bCs/>
                <w:sz w:val="18"/>
                <w:szCs w:val="18"/>
              </w:rPr>
              <w:t xml:space="preserve">(Zhang et al., 2014)</w:t>
            </w:r>
          </w:p>
        </w:tc>
        <w:tc>
          <w:tcPr>
            <w:tcW w:type="dxa" w:w="43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Most-cited scaffold review in the set (696 citations)</w:t>
            </w:r>
          </w:p>
        </w:tc>
      </w:tr>
      <w:tr>
        <w:trPr>
          <w:cantSplit/>
          <w:tblHeader w:val="false"/>
        </w:trPr>
        <w:tc>
          <w:tcPr>
            <w:tcW w:type="dxa" w:w="1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2019</w:t>
            </w:r>
          </w:p>
        </w:tc>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End-point binding free energy with MM/PBSA and MM/GBSA reviewed </w:t>
            </w:r>
            <w:r>
              <w:rPr>
                <w:rFonts w:ascii="Calibri" w:cs="Calibri" w:eastAsia="Calibri" w:hAnsi="Calibri"/>
                <w:b/>
                <w:bCs/>
                <w:sz w:val="18"/>
                <w:szCs w:val="18"/>
              </w:rPr>
              <w:t xml:space="preserve">(Wang et al., 2019)</w:t>
            </w:r>
          </w:p>
        </w:tc>
        <w:tc>
          <w:tcPr>
            <w:tcW w:type="dxa" w:w="43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Most-cited free-energy methods paper in the set (2,013 citations); the methods now used after docking and molecular dynamics</w:t>
            </w:r>
          </w:p>
        </w:tc>
      </w:tr>
      <w:tr>
        <w:trPr>
          <w:cantSplit/>
          <w:tblHeader w:val="false"/>
        </w:trPr>
        <w:tc>
          <w:tcPr>
            <w:tcW w:type="dxa" w:w="1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2021</w:t>
            </w:r>
          </w:p>
        </w:tc>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Survey of computer-aided drug design papers: molecular dynamics followed virtual screening in 38.5%, experimental evaluation in only 36.5% </w:t>
            </w:r>
            <w:r>
              <w:rPr>
                <w:rFonts w:ascii="Calibri" w:cs="Calibri" w:eastAsia="Calibri" w:hAnsi="Calibri"/>
                <w:b/>
                <w:bCs/>
                <w:sz w:val="18"/>
                <w:szCs w:val="18"/>
              </w:rPr>
              <w:t xml:space="preserve">(Sabe et al., 2021)</w:t>
            </w:r>
          </w:p>
        </w:tc>
        <w:tc>
          <w:tcPr>
            <w:tcW w:type="dxa" w:w="43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Put a number on the gap between in silico and experimental follow-up</w:t>
            </w:r>
          </w:p>
        </w:tc>
      </w:tr>
      <w:tr>
        <w:trPr>
          <w:cantSplit/>
          <w:tblHeader w:val="false"/>
        </w:trPr>
        <w:tc>
          <w:tcPr>
            <w:tcW w:type="dxa" w:w="1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2021–2026</w:t>
            </w:r>
          </w:p>
        </w:tc>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Green multicomponent synthesis matures: ternary deep eutectic solvents, ethyl lactate, MIL-101(Cr), magnetic nanocatalysts, ultrasound, microwave </w:t>
            </w:r>
            <w:r>
              <w:rPr>
                <w:rFonts w:ascii="Calibri" w:cs="Calibri" w:eastAsia="Calibri" w:hAnsi="Calibri"/>
                <w:b/>
                <w:bCs/>
                <w:sz w:val="18"/>
                <w:szCs w:val="18"/>
              </w:rPr>
              <w:t xml:space="preserve">(Manteghi et al., 2021; Silva et al., 2024; Mohammad et al., 2025; Hilal et al., 2026; Alsirhani et al., 2025)</w:t>
            </w:r>
          </w:p>
        </w:tc>
        <w:tc>
          <w:tcPr>
            <w:tcW w:type="dxa" w:w="43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Synthesis becomes fast and recyclable, so biological testing and validation become the bottleneck</w:t>
            </w:r>
          </w:p>
        </w:tc>
      </w:tr>
      <w:tr>
        <w:trPr>
          <w:cantSplit/>
          <w:tblHeader w:val="false"/>
        </w:trPr>
        <w:tc>
          <w:tcPr>
            <w:tcW w:type="dxa" w:w="1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2026</w:t>
            </w:r>
          </w:p>
        </w:tc>
        <w:tc>
          <w:tcPr>
            <w:tcW w:type="dxa" w:w="39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Benchmarks question docking, co-folding and ADMET reliability </w:t>
            </w:r>
            <w:r>
              <w:rPr>
                <w:rFonts w:ascii="Calibri" w:cs="Calibri" w:eastAsia="Calibri" w:hAnsi="Calibri"/>
                <w:b/>
                <w:bCs/>
                <w:sz w:val="18"/>
                <w:szCs w:val="18"/>
              </w:rPr>
              <w:t xml:space="preserve">(Moesgaard et al., 2026; Wan et al., 2026 (preprint); Zheng et al., 2026 (preprint))</w:t>
            </w:r>
            <w:r>
              <w:rPr>
                <w:rFonts w:ascii="Calibri" w:cs="Calibri" w:eastAsia="Calibri" w:hAnsi="Calibri"/>
                <w:b w:val="false"/>
                <w:bCs w:val="false"/>
                <w:sz w:val="18"/>
                <w:szCs w:val="18"/>
              </w:rPr>
              <w:t xml:space="preserve">; machine-learning-guided designs are synthesised and tested </w:t>
            </w:r>
            <w:r>
              <w:rPr>
                <w:rFonts w:ascii="Calibri" w:cs="Calibri" w:eastAsia="Calibri" w:hAnsi="Calibri"/>
                <w:b/>
                <w:bCs/>
                <w:sz w:val="18"/>
                <w:szCs w:val="18"/>
              </w:rPr>
              <w:t xml:space="preserve">(Walhekar et al., 2026; Veríssimo et al., 2026)</w:t>
            </w:r>
          </w:p>
        </w:tc>
        <w:tc>
          <w:tcPr>
            <w:tcW w:type="dxa" w:w="43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Reliability evidence and prospective validation arrive together</w:t>
            </w:r>
          </w:p>
        </w:tc>
      </w:tr>
    </w:tbl>
    <w:p>
      <w:pPr>
        <w:spacing w:after="160"/>
      </w:pPr>
    </w:p>
    <w:p>
      <w:pPr>
        <w:spacing w:after="120" w:before="0" w:line="264"/>
        <w:jc w:val="left"/>
      </w:pPr>
      <w:r>
        <w:rPr>
          <w:rFonts w:ascii="Calibri" w:cs="Calibri" w:eastAsia="Calibri" w:hAnsi="Calibri"/>
          <w:b/>
          <w:bCs/>
          <w:sz w:val="21"/>
          <w:szCs w:val="21"/>
        </w:rPr>
        <w:t xml:space="preserve">Terminology evolution.</w:t>
      </w:r>
      <w:r>
        <w:rPr>
          <w:rFonts w:ascii="Calibri" w:cs="Calibri" w:eastAsia="Calibri" w:hAnsi="Calibri"/>
          <w:sz w:val="21"/>
          <w:szCs w:val="21"/>
        </w:rPr>
        <w:t xml:space="preserve"> Older and newer papers name the same chemistry differently, so search with both sets of terms. The core condensation appears as Debus–Radziszewski, Debus–Japp–Radziszewski, "one-pot multicomponent" or "four-component" synthesis </w:t>
      </w:r>
      <w:r>
        <w:rPr>
          <w:rFonts w:ascii="Calibri" w:cs="Calibri" w:eastAsia="Calibri" w:hAnsi="Calibri"/>
          <w:b/>
          <w:bCs/>
          <w:sz w:val="21"/>
          <w:szCs w:val="21"/>
        </w:rPr>
        <w:t xml:space="preserve">(Silva et al., 2024; Kermanizadeh et al., 2023)</w:t>
      </w:r>
      <w:r>
        <w:rPr>
          <w:rFonts w:ascii="Calibri" w:cs="Calibri" w:eastAsia="Calibri" w:hAnsi="Calibri"/>
          <w:sz w:val="21"/>
          <w:szCs w:val="21"/>
        </w:rPr>
        <w:t xml:space="preserve">. The ring family appears as "diazole" in some titles and as "azole" in the antifungal and resistance literature </w:t>
      </w:r>
      <w:r>
        <w:rPr>
          <w:rFonts w:ascii="Calibri" w:cs="Calibri" w:eastAsia="Calibri" w:hAnsi="Calibri"/>
          <w:b/>
          <w:bCs/>
          <w:sz w:val="21"/>
          <w:szCs w:val="21"/>
        </w:rPr>
        <w:t xml:space="preserve">(Güneş et al., 2026; Li et al., 2025)</w:t>
      </w:r>
      <w:r>
        <w:rPr>
          <w:rFonts w:ascii="Calibri" w:cs="Calibri" w:eastAsia="Calibri" w:hAnsi="Calibri"/>
          <w:sz w:val="21"/>
          <w:szCs w:val="21"/>
        </w:rPr>
        <w:t xml:space="preserve">. Fused systems appear as imidazopyridine, imidazo[1,2-a]pyridine, imidazothiazole, imidazo[2,1-b]thiazole, or "1H-benzo[d]imidazole" for benzimidazole </w:t>
      </w:r>
      <w:r>
        <w:rPr>
          <w:rFonts w:ascii="Calibri" w:cs="Calibri" w:eastAsia="Calibri" w:hAnsi="Calibri"/>
          <w:b/>
          <w:bCs/>
          <w:sz w:val="21"/>
          <w:szCs w:val="21"/>
        </w:rPr>
        <w:t xml:space="preserve">(Theodore et al., 2023; Ferreira et al., 2026)</w:t>
      </w:r>
      <w:r>
        <w:rPr>
          <w:rFonts w:ascii="Calibri" w:cs="Calibri" w:eastAsia="Calibri" w:hAnsi="Calibri"/>
          <w:sz w:val="21"/>
          <w:szCs w:val="21"/>
        </w:rPr>
        <w:t xml:space="preserve">. The computational vocabulary has widened from "docking" and "molecular modelling" to "in silico", "end-point free energy", "MM/GBSA", "Q-RASAR" and, most recently, "co-folding" </w:t>
      </w:r>
      <w:r>
        <w:rPr>
          <w:rFonts w:ascii="Calibri" w:cs="Calibri" w:eastAsia="Calibri" w:hAnsi="Calibri"/>
          <w:b/>
          <w:bCs/>
          <w:sz w:val="21"/>
          <w:szCs w:val="21"/>
        </w:rPr>
        <w:t xml:space="preserve">(Ilaghi-Hoseini et al., 2026; Wan et al., 2026 (preprint))</w:t>
      </w:r>
      <w:r>
        <w:rPr>
          <w:rFonts w:ascii="Calibri" w:cs="Calibri" w:eastAsia="Calibri" w:hAnsi="Calibri"/>
          <w:sz w:val="21"/>
          <w:szCs w:val="21"/>
        </w:rPr>
        <w:t xml:space="preserve">.</w:t>
      </w:r>
    </w:p>
    <w:p>
      <w:pPr>
        <w:pStyle w:val="Heading1"/>
        <w:keepNext/>
      </w:pPr>
      <w:r>
        <w:rPr>
          <w:rFonts w:ascii="Calibri" w:cs="Calibri" w:eastAsia="Calibri" w:hAnsi="Calibri"/>
        </w:rPr>
        <w:t xml:space="preserve">4. Sub-area Guides</w:t>
      </w:r>
    </w:p>
    <w:p>
      <w:pPr>
        <w:spacing w:after="120" w:before="0" w:line="264"/>
        <w:jc w:val="left"/>
      </w:pPr>
      <w:r>
        <w:rPr>
          <w:rFonts w:ascii="Calibri" w:cs="Calibri" w:eastAsia="Calibri" w:hAnsi="Calibri"/>
          <w:sz w:val="21"/>
          <w:szCs w:val="21"/>
        </w:rPr>
        <w:t xml:space="preserve">Sub-areas A to E were agreed at the checkpoint; F and G emerged from the three spare searches. A paper marked </w:t>
      </w:r>
      <w:r>
        <w:rPr>
          <w:rFonts w:ascii="Calibri" w:cs="Calibri" w:eastAsia="Calibri" w:hAnsi="Calibri"/>
          <w:i/>
          <w:iCs/>
          <w:sz w:val="21"/>
          <w:szCs w:val="21"/>
        </w:rPr>
        <w:t xml:space="preserve">cross-cutting</w:t>
      </w:r>
      <w:r>
        <w:rPr>
          <w:rFonts w:ascii="Calibri" w:cs="Calibri" w:eastAsia="Calibri" w:hAnsi="Calibri"/>
          <w:sz w:val="21"/>
          <w:szCs w:val="21"/>
        </w:rPr>
        <w:t xml:space="preserve"> was returned by several searches aimed at different sub-areas, which usually signals that it is a hub for the field.</w:t>
      </w:r>
    </w:p>
    <w:p>
      <w:pPr>
        <w:pStyle w:val="Heading2"/>
        <w:keepNext/>
      </w:pPr>
      <w:r>
        <w:rPr>
          <w:rFonts w:ascii="Calibri" w:cs="Calibri" w:eastAsia="Calibri" w:hAnsi="Calibri"/>
        </w:rPr>
        <w:t xml:space="preserve">4.1 Sub-area A: Design strategies and synthesis</w:t>
      </w:r>
    </w:p>
    <w:p>
      <w:pPr>
        <w:pStyle w:val="Heading3"/>
        <w:keepNext/>
      </w:pPr>
      <w:r>
        <w:rPr>
          <w:rFonts w:ascii="Calibri" w:cs="Calibri" w:eastAsia="Calibri" w:hAnsi="Calibri"/>
        </w:rPr>
        <w:t xml:space="preserve">4a. What the research shows</w:t>
      </w:r>
    </w:p>
    <w:p>
      <w:pPr>
        <w:spacing w:after="120" w:before="0" w:line="264"/>
        <w:jc w:val="left"/>
      </w:pPr>
      <w:r>
        <w:rPr>
          <w:rFonts w:ascii="Calibri" w:cs="Calibri" w:eastAsia="Calibri" w:hAnsi="Calibri"/>
          <w:sz w:val="21"/>
          <w:szCs w:val="21"/>
        </w:rPr>
        <w:t xml:space="preserve">Synthesis is the best-developed step in the pipeline. The Debus–Radziszewski-type condensation of a diketone, an aldehyde and ammonium acetate, with an optional amine, now runs in deep eutectic solvents, ethyl lactate, metal–organic frameworks, under ultrasound and under microwave, often in minutes and with recyclable catalysts </w:t>
      </w:r>
      <w:r>
        <w:rPr>
          <w:rFonts w:ascii="Calibri" w:cs="Calibri" w:eastAsia="Calibri" w:hAnsi="Calibri"/>
          <w:b/>
          <w:bCs/>
          <w:sz w:val="21"/>
          <w:szCs w:val="21"/>
        </w:rPr>
        <w:t xml:space="preserve">(Kaldybayeva et al., 2026; Manteghi et al., 2021; Mohammad et al., 2025; Silva et al., 2024)</w:t>
      </w:r>
      <w:r>
        <w:rPr>
          <w:rFonts w:ascii="Calibri" w:cs="Calibri" w:eastAsia="Calibri" w:hAnsi="Calibri"/>
          <w:sz w:val="21"/>
          <w:szCs w:val="21"/>
        </w:rPr>
        <w:t xml:space="preserve">. Design usually means joining the ring to a second pharmacophore, with click-chemistry triazoles, heteroaryl partners and fused scaffolds the most common choices </w:t>
      </w:r>
      <w:r>
        <w:rPr>
          <w:rFonts w:ascii="Calibri" w:cs="Calibri" w:eastAsia="Calibri" w:hAnsi="Calibri"/>
          <w:b/>
          <w:bCs/>
          <w:sz w:val="21"/>
          <w:szCs w:val="21"/>
        </w:rPr>
        <w:t xml:space="preserve">(Al-blewi et al., 2021; Poyraz et al., 2024)</w:t>
      </w:r>
      <w:r>
        <w:rPr>
          <w:rFonts w:ascii="Calibri" w:cs="Calibri" w:eastAsia="Calibri" w:hAnsi="Calibri"/>
          <w:sz w:val="21"/>
          <w:szCs w:val="21"/>
        </w:rPr>
        <w:t xml:space="preserve">. The weak spot is quantification: none of the abstracts we read reported E-factor, atom economy or scale-up beyond milligrams, and comparisons between catalysts rest on yield and time.</w:t>
      </w:r>
    </w:p>
    <w:p>
      <w:pPr>
        <w:pStyle w:val="Heading3"/>
        <w:keepNext/>
      </w:pPr>
      <w:r>
        <w:rPr>
          <w:rFonts w:ascii="Calibri" w:cs="Calibri" w:eastAsia="Calibri" w:hAnsi="Calibri"/>
        </w:rPr>
        <w:t xml:space="preserve">4b. Key papers</w:t>
      </w:r>
    </w:p>
    <w:p>
      <w:pPr>
        <w:pStyle w:val="ListParagraph"/>
        <w:numPr>
          <w:ilvl w:val="0"/>
          <w:numId w:val="2"/>
        </w:numPr>
        <w:spacing w:after="70" w:line="258"/>
      </w:pPr>
      <w:hyperlink w:history="1" r:id="rIdqhkdajh6w9fakm35enwrl">
        <w:r>
          <w:rPr>
            <w:rStyle w:val="Hyperlink"/>
            <w:rFonts w:ascii="Calibri" w:cs="Calibri" w:eastAsia="Calibri" w:hAnsi="Calibri"/>
            <w:sz w:val="21"/>
            <w:szCs w:val="21"/>
          </w:rPr>
          <w:t xml:space="preserve">Imidazole: Synthesis, Functionalization and Physicochemical Properties of a Privileged Structure in Medicinal Chemistry</w:t>
        </w:r>
      </w:hyperlink>
      <w:r>
        <w:rPr>
          <w:rFonts w:ascii="Calibri" w:cs="Calibri" w:eastAsia="Calibri" w:hAnsi="Calibri"/>
          <w:color w:val="5B6B7A"/>
          <w:sz w:val="21"/>
          <w:szCs w:val="21"/>
        </w:rPr>
        <w:t xml:space="preserve"> — H. Tolomeu et al., 2023; 144 citations; returned by 3 searches</w:t>
      </w:r>
      <w:r>
        <w:rPr>
          <w:rFonts w:ascii="Calibri" w:cs="Calibri" w:eastAsia="Calibri" w:hAnsi="Calibri"/>
          <w:sz w:val="21"/>
          <w:szCs w:val="21"/>
        </w:rPr>
        <w:t xml:space="preserve">. The best single starting point on synthesis, functionalisation and physicochemical properties of the ring; it was returned by three searches and is cross-cutting.</w:t>
      </w:r>
    </w:p>
    <w:p>
      <w:pPr>
        <w:pStyle w:val="ListParagraph"/>
        <w:numPr>
          <w:ilvl w:val="0"/>
          <w:numId w:val="2"/>
        </w:numPr>
        <w:spacing w:after="70" w:line="258"/>
      </w:pPr>
      <w:hyperlink w:history="1" r:id="rIdadvuvz1nkby3s7gp7k-ob">
        <w:r>
          <w:rPr>
            <w:rStyle w:val="Hyperlink"/>
            <w:rFonts w:ascii="Calibri" w:cs="Calibri" w:eastAsia="Calibri" w:hAnsi="Calibri"/>
            <w:sz w:val="21"/>
            <w:szCs w:val="21"/>
          </w:rPr>
          <w:t xml:space="preserve">Recent Progress in the Sustainable Synthesis of Imidazole Derivatives: Advances in Multicomponent Reactions, Catalysis, and Green Chemistry</w:t>
        </w:r>
      </w:hyperlink>
      <w:r>
        <w:rPr>
          <w:rFonts w:ascii="Calibri" w:cs="Calibri" w:eastAsia="Calibri" w:hAnsi="Calibri"/>
          <w:color w:val="5B6B7A"/>
          <w:sz w:val="21"/>
          <w:szCs w:val="21"/>
        </w:rPr>
        <w:t xml:space="preserve"> — A. Kaldybayeva et al., 2026; 0 citations; returned by 2 searches</w:t>
      </w:r>
      <w:r>
        <w:rPr>
          <w:rFonts w:ascii="Calibri" w:cs="Calibri" w:eastAsia="Calibri" w:hAnsi="Calibri"/>
          <w:sz w:val="21"/>
          <w:szCs w:val="21"/>
        </w:rPr>
        <w:t xml:space="preserve">. The newest review of multicomponent, catalytic and green routes; use it to learn the catalyst families before reading primary papers.</w:t>
      </w:r>
    </w:p>
    <w:p>
      <w:pPr>
        <w:pStyle w:val="ListParagraph"/>
        <w:numPr>
          <w:ilvl w:val="0"/>
          <w:numId w:val="2"/>
        </w:numPr>
        <w:spacing w:after="70" w:line="258"/>
      </w:pPr>
      <w:hyperlink w:history="1" r:id="rIds56jaltpwlv3t6-brak4b">
        <w:r>
          <w:rPr>
            <w:rStyle w:val="Hyperlink"/>
            <w:rFonts w:ascii="Calibri" w:cs="Calibri" w:eastAsia="Calibri" w:hAnsi="Calibri"/>
            <w:sz w:val="21"/>
            <w:szCs w:val="21"/>
          </w:rPr>
          <w:t xml:space="preserve">Ytterbium triflate as an efficient catalyst for one-pot synthesis of substituted imidazoles through three-component condensation of benzil, aldehydes and ammonium acetate</w:t>
        </w:r>
      </w:hyperlink>
      <w:r>
        <w:rPr>
          <w:rFonts w:ascii="Calibri" w:cs="Calibri" w:eastAsia="Calibri" w:hAnsi="Calibri"/>
          <w:color w:val="5B6B7A"/>
          <w:sz w:val="21"/>
          <w:szCs w:val="21"/>
        </w:rPr>
        <w:t xml:space="preserve"> — Li-Min Wang et al., 2006; 148 citations</w:t>
      </w:r>
      <w:r>
        <w:rPr>
          <w:rFonts w:ascii="Calibri" w:cs="Calibri" w:eastAsia="Calibri" w:hAnsi="Calibri"/>
          <w:sz w:val="21"/>
          <w:szCs w:val="21"/>
        </w:rPr>
        <w:t xml:space="preserve">. A high-citation landmark from the catalyst era (ytterbium triflate, catalyst reused at least three times) that shows what later green-media papers improve on.</w:t>
      </w:r>
    </w:p>
    <w:p>
      <w:pPr>
        <w:pStyle w:val="ListParagraph"/>
        <w:numPr>
          <w:ilvl w:val="0"/>
          <w:numId w:val="2"/>
        </w:numPr>
        <w:spacing w:after="70" w:line="258"/>
      </w:pPr>
      <w:hyperlink w:history="1" r:id="rIdumnnfqpihx8rr5ggebfha">
        <w:r>
          <w:rPr>
            <w:rStyle w:val="Hyperlink"/>
            <w:rFonts w:ascii="Calibri" w:cs="Calibri" w:eastAsia="Calibri" w:hAnsi="Calibri"/>
            <w:sz w:val="21"/>
            <w:szCs w:val="21"/>
          </w:rPr>
          <w:t xml:space="preserve">Various synthesis and biological evaluation of some tri -tetra-substituted imidazoles derivatives: A review</w:t>
        </w:r>
      </w:hyperlink>
      <w:r>
        <w:rPr>
          <w:rFonts w:ascii="Calibri" w:cs="Calibri" w:eastAsia="Calibri" w:hAnsi="Calibri"/>
          <w:color w:val="5B6B7A"/>
          <w:sz w:val="21"/>
          <w:szCs w:val="21"/>
        </w:rPr>
        <w:t xml:space="preserve"> — Abdeljalil Hamdi et al., 2024; 24 citations</w:t>
      </w:r>
      <w:r>
        <w:rPr>
          <w:rFonts w:ascii="Calibri" w:cs="Calibri" w:eastAsia="Calibri" w:hAnsi="Calibri"/>
          <w:sz w:val="21"/>
          <w:szCs w:val="21"/>
        </w:rPr>
        <w:t xml:space="preserve">. A compact example of the tri- and tetrasubstituted routes paired with biological evaluation.</w:t>
      </w:r>
    </w:p>
    <w:p>
      <w:pPr>
        <w:pStyle w:val="ListParagraph"/>
        <w:numPr>
          <w:ilvl w:val="0"/>
          <w:numId w:val="2"/>
        </w:numPr>
        <w:spacing w:after="70" w:line="258"/>
      </w:pPr>
      <w:hyperlink w:history="1" r:id="rIdsc_d9ku8mafnaloeecv0x">
        <w:r>
          <w:rPr>
            <w:rStyle w:val="Hyperlink"/>
            <w:rFonts w:ascii="Calibri" w:cs="Calibri" w:eastAsia="Calibri" w:hAnsi="Calibri"/>
            <w:sz w:val="21"/>
            <w:szCs w:val="21"/>
          </w:rPr>
          <w:t xml:space="preserve">MIL-101(Cr), an Efficient Heterogeneous Catalyst for One Pot Synthesis of 2,4,5-tri Substituted Imidazoles under Solvent Free Conditions</w:t>
        </w:r>
      </w:hyperlink>
      <w:r>
        <w:rPr>
          <w:rFonts w:ascii="Calibri" w:cs="Calibri" w:eastAsia="Calibri" w:hAnsi="Calibri"/>
          <w:color w:val="5B6B7A"/>
          <w:sz w:val="21"/>
          <w:szCs w:val="21"/>
        </w:rPr>
        <w:t xml:space="preserve"> — F. Manteghi et al., 2021; 23 citations</w:t>
      </w:r>
      <w:r>
        <w:rPr>
          <w:rFonts w:ascii="Calibri" w:cs="Calibri" w:eastAsia="Calibri" w:hAnsi="Calibri"/>
          <w:sz w:val="21"/>
          <w:szCs w:val="21"/>
        </w:rPr>
        <w:t xml:space="preserve">. A metal–organic-framework catalyst example (solvent-free, 10 min, 95% yield, catalyst recovered at least five times) that shows what recyclability data look like.</w:t>
      </w:r>
    </w:p>
    <w:p>
      <w:pPr>
        <w:spacing w:after="60"/>
      </w:pPr>
    </w:p>
    <w:p>
      <w:pPr>
        <w:pStyle w:val="Heading3"/>
        <w:keepNext/>
      </w:pPr>
      <w:r>
        <w:rPr>
          <w:rFonts w:ascii="Calibri" w:cs="Calibri" w:eastAsia="Calibri" w:hAnsi="Calibri"/>
        </w:rPr>
        <w:t xml:space="preserve">4c. Search terms</w:t>
      </w:r>
    </w:p>
    <w:p>
      <w:pPr>
        <w:spacing w:after="120" w:before="0" w:line="264"/>
        <w:jc w:val="left"/>
      </w:pPr>
      <w:r>
        <w:rPr>
          <w:rFonts w:ascii="Calibri" w:cs="Calibri" w:eastAsia="Calibri" w:hAnsi="Calibri"/>
          <w:sz w:val="21"/>
          <w:szCs w:val="21"/>
        </w:rPr>
        <w:t xml:space="preserve">imidazole multicomponent synthesis; Debus–Radziszewski reaction; 2,4,5-trisubstituted imidazole; 1,2,4,5-tetrasubstituted imidazole; four-component one-pot imidazole; deep eutectic solvent imidazole; ethyl lactate imidazole; metal–organic framework catalyst imidazole; ultrasound-assisted imidazole synthesis; microwave-assisted imidazole; imidazole–triazole click chemistry hybrid; El-Saghier reaction.</w:t>
      </w:r>
    </w:p>
    <w:p>
      <w:pPr>
        <w:pStyle w:val="Heading3"/>
        <w:keepNext/>
      </w:pPr>
      <w:r>
        <w:rPr>
          <w:rFonts w:ascii="Calibri" w:cs="Calibri" w:eastAsia="Calibri" w:hAnsi="Calibri"/>
        </w:rPr>
        <w:t xml:space="preserve">4d. Boolean search strings</w:t>
      </w:r>
    </w:p>
    <w:p>
      <w:pPr>
        <w:pBdr>
          <w:left w:val="single" w:color="1F7A8C" w:sz="12" w:space="6"/>
        </w:pBdr>
        <w:shd w:fill="F1F4F7" w:color="auto" w:val="clear"/>
        <w:spacing w:after="0" w:line="250"/>
        <w:ind w:left="120"/>
      </w:pPr>
      <w:r>
        <w:rPr>
          <w:rFonts w:ascii="Consolas" w:cs="Consolas" w:eastAsia="Consolas" w:hAnsi="Consolas"/>
          <w:sz w:val="19"/>
          <w:szCs w:val="19"/>
        </w:rPr>
        <w:t xml:space="preserve">("imidazole" OR "imidazoles" OR "1,3-diazole") AND ("multicomponent" OR "one-pot" OR "Debus-Radziszewski") AND ("green" OR "deep eutectic solvent" OR "ultrasound" OR "microwave")</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("2,4,5-trisubstituted imidazole" OR "1,2,4,5-tetrasubstituted imidazole") AND ("heterogeneous catalyst" OR "metal-organic framework" OR "magnetic nanoparticle") AND (recyclable OR reusable)</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imidazole AND (hybrid OR "click chemistry" OR triazole) AND ("molecular docking" OR "in silico") AND (design OR synthesis)</w:t>
      </w:r>
    </w:p>
    <w:p>
      <w:pPr>
        <w:spacing w:after="120"/>
      </w:pPr>
    </w:p>
    <w:p>
      <w:pPr>
        <w:pStyle w:val="Heading2"/>
        <w:keepNext/>
      </w:pPr>
      <w:r>
        <w:rPr>
          <w:rFonts w:ascii="Calibri" w:cs="Calibri" w:eastAsia="Calibri" w:hAnsi="Calibri"/>
        </w:rPr>
        <w:t xml:space="preserve">4.2 Sub-area B: Anticancer imidazoles and kinase inhibitors</w:t>
      </w:r>
    </w:p>
    <w:p>
      <w:pPr>
        <w:pStyle w:val="Heading3"/>
        <w:keepNext/>
      </w:pPr>
      <w:r>
        <w:rPr>
          <w:rFonts w:ascii="Calibri" w:cs="Calibri" w:eastAsia="Calibri" w:hAnsi="Calibri"/>
        </w:rPr>
        <w:t xml:space="preserve">4a. What the research shows</w:t>
      </w:r>
    </w:p>
    <w:p>
      <w:pPr>
        <w:spacing w:after="120" w:before="0" w:line="264"/>
        <w:jc w:val="left"/>
      </w:pPr>
      <w:r>
        <w:rPr>
          <w:rFonts w:ascii="Calibri" w:cs="Calibri" w:eastAsia="Calibri" w:hAnsi="Calibri"/>
          <w:sz w:val="21"/>
          <w:szCs w:val="21"/>
        </w:rPr>
        <w:t xml:space="preserve">Anticancer work is the largest block of recent primary studies. Designs target the ATP site of EGFR (including the T790M resistance mutant) and VEGFR-2, tubulin, MELK, carbonic anhydrase and topoisomerase II </w:t>
      </w:r>
      <w:r>
        <w:rPr>
          <w:rFonts w:ascii="Calibri" w:cs="Calibri" w:eastAsia="Calibri" w:hAnsi="Calibri"/>
          <w:b/>
          <w:bCs/>
          <w:sz w:val="21"/>
          <w:szCs w:val="21"/>
        </w:rPr>
        <w:t xml:space="preserve">(Al-Hussain et al., 2025; Sharma et al., 2021; A. Kumar et al., 2024)</w:t>
      </w:r>
      <w:r>
        <w:rPr>
          <w:rFonts w:ascii="Calibri" w:cs="Calibri" w:eastAsia="Calibri" w:hAnsi="Calibri"/>
          <w:sz w:val="21"/>
          <w:szCs w:val="21"/>
        </w:rPr>
        <w:t xml:space="preserve">. Individual series report nanomolar enzyme inhibition and cell potencies better than erlotinib, cisplatin or etoposide in the same paper </w:t>
      </w:r>
      <w:r>
        <w:rPr>
          <w:rFonts w:ascii="Calibri" w:cs="Calibri" w:eastAsia="Calibri" w:hAnsi="Calibri"/>
          <w:b/>
          <w:bCs/>
          <w:sz w:val="21"/>
          <w:szCs w:val="21"/>
        </w:rPr>
        <w:t xml:space="preserve">(Theodore et al., 2023; Alsirhani et al., 2025; Elkotamy et al., 2024)</w:t>
      </w:r>
      <w:r>
        <w:rPr>
          <w:rFonts w:ascii="Calibri" w:cs="Calibri" w:eastAsia="Calibri" w:hAnsi="Calibri"/>
          <w:sz w:val="21"/>
          <w:szCs w:val="21"/>
        </w:rPr>
        <w:t xml:space="preserve">, but not every kinase series is potent, and one imidazothiazole–thiazolidinone series was weaker than erlotinib at EGFR while being unusual in adding in vivo anti-inflammatory data </w:t>
      </w:r>
      <w:r>
        <w:rPr>
          <w:rFonts w:ascii="Calibri" w:cs="Calibri" w:eastAsia="Calibri" w:hAnsi="Calibri"/>
          <w:b/>
          <w:bCs/>
          <w:sz w:val="21"/>
          <w:szCs w:val="21"/>
        </w:rPr>
        <w:t xml:space="preserve">(Kamboj et al., 2024)</w:t>
      </w:r>
      <w:r>
        <w:rPr>
          <w:rFonts w:ascii="Calibri" w:cs="Calibri" w:eastAsia="Calibri" w:hAnsi="Calibri"/>
          <w:sz w:val="21"/>
          <w:szCs w:val="21"/>
        </w:rPr>
        <w:t xml:space="preserve">. Benzimidazole dominates the review literature on cancer mechanisms </w:t>
      </w:r>
      <w:r>
        <w:rPr>
          <w:rFonts w:ascii="Calibri" w:cs="Calibri" w:eastAsia="Calibri" w:hAnsi="Calibri"/>
          <w:b/>
          <w:bCs/>
          <w:sz w:val="21"/>
          <w:szCs w:val="21"/>
        </w:rPr>
        <w:t xml:space="preserve">(Lee et al., 2022)</w:t>
      </w:r>
      <w:r>
        <w:rPr>
          <w:rFonts w:ascii="Calibri" w:cs="Calibri" w:eastAsia="Calibri" w:hAnsi="Calibri"/>
          <w:sz w:val="21"/>
          <w:szCs w:val="21"/>
        </w:rPr>
        <w:t xml:space="preserve">.</w:t>
      </w:r>
    </w:p>
    <w:p>
      <w:pPr>
        <w:pStyle w:val="Heading3"/>
        <w:keepNext/>
      </w:pPr>
      <w:r>
        <w:rPr>
          <w:rFonts w:ascii="Calibri" w:cs="Calibri" w:eastAsia="Calibri" w:hAnsi="Calibri"/>
        </w:rPr>
        <w:t xml:space="preserve">4b. Key papers</w:t>
      </w:r>
    </w:p>
    <w:p>
      <w:pPr>
        <w:pStyle w:val="ListParagraph"/>
        <w:numPr>
          <w:ilvl w:val="0"/>
          <w:numId w:val="2"/>
        </w:numPr>
        <w:spacing w:after="70" w:line="258"/>
      </w:pPr>
      <w:hyperlink w:history="1" r:id="rIduvc2cmncbpnhwfzoluacg">
        <w:r>
          <w:rPr>
            <w:rStyle w:val="Hyperlink"/>
            <w:rFonts w:ascii="Calibri" w:cs="Calibri" w:eastAsia="Calibri" w:hAnsi="Calibri"/>
            <w:sz w:val="21"/>
            <w:szCs w:val="21"/>
          </w:rPr>
          <w:t xml:space="preserve">Imidazoles as Potential Anticancer Agents: An Update on Recent Studies</w:t>
        </w:r>
      </w:hyperlink>
      <w:r>
        <w:rPr>
          <w:rFonts w:ascii="Calibri" w:cs="Calibri" w:eastAsia="Calibri" w:hAnsi="Calibri"/>
          <w:color w:val="5B6B7A"/>
          <w:sz w:val="21"/>
          <w:szCs w:val="21"/>
        </w:rPr>
        <w:t xml:space="preserve"> — Pankaj Sharma et al., 2021; 174 citations; returned by 2 searches</w:t>
      </w:r>
      <w:r>
        <w:rPr>
          <w:rFonts w:ascii="Calibri" w:cs="Calibri" w:eastAsia="Calibri" w:hAnsi="Calibri"/>
          <w:sz w:val="21"/>
          <w:szCs w:val="21"/>
        </w:rPr>
        <w:t xml:space="preserve">. The most-cited anticancer imidazole update in the set; background to read before the primary EGFR, VEGFR-2 and tubulin papers.</w:t>
      </w:r>
    </w:p>
    <w:p>
      <w:pPr>
        <w:pStyle w:val="ListParagraph"/>
        <w:numPr>
          <w:ilvl w:val="0"/>
          <w:numId w:val="2"/>
        </w:numPr>
        <w:spacing w:after="70" w:line="258"/>
      </w:pPr>
      <w:hyperlink w:history="1" r:id="rIdkijedfnahxwepabielzex">
        <w:r>
          <w:rPr>
            <w:rStyle w:val="Hyperlink"/>
            <w:rFonts w:ascii="Calibri" w:cs="Calibri" w:eastAsia="Calibri" w:hAnsi="Calibri"/>
            <w:sz w:val="21"/>
            <w:szCs w:val="21"/>
          </w:rPr>
          <w:t xml:space="preserve">Rational Design, Green Synthesis, and Biological Evaluation of Novel Imidazole Derivatives as Potent EGFR Inhibitors via One‐Pot Four‐Component Reaction</w:t>
        </w:r>
      </w:hyperlink>
      <w:r>
        <w:rPr>
          <w:rFonts w:ascii="Calibri" w:cs="Calibri" w:eastAsia="Calibri" w:hAnsi="Calibri"/>
          <w:color w:val="5B6B7A"/>
          <w:sz w:val="21"/>
          <w:szCs w:val="21"/>
        </w:rPr>
        <w:t xml:space="preserve"> — A. M. Alsirhani et al., 2025; 9 citations; returned by 3 searches</w:t>
      </w:r>
      <w:r>
        <w:rPr>
          <w:rFonts w:ascii="Calibri" w:cs="Calibri" w:eastAsia="Calibri" w:hAnsi="Calibri"/>
          <w:sz w:val="21"/>
          <w:szCs w:val="21"/>
        </w:rPr>
        <w:t xml:space="preserve">. Microwave four-component synthesis plus EGFR wild-type and T790M inhibition (best compound 30.1 and 12.8 nM); it was returned by three searches and is cross-cutting with Sub-area A.</w:t>
      </w:r>
    </w:p>
    <w:p>
      <w:pPr>
        <w:pStyle w:val="ListParagraph"/>
        <w:numPr>
          <w:ilvl w:val="0"/>
          <w:numId w:val="2"/>
        </w:numPr>
        <w:spacing w:after="70" w:line="258"/>
      </w:pPr>
      <w:hyperlink w:history="1" r:id="rId0pi8jzm9_0jq4-tbyt5xv">
        <w:r>
          <w:rPr>
            <w:rStyle w:val="Hyperlink"/>
            <w:rFonts w:ascii="Calibri" w:cs="Calibri" w:eastAsia="Calibri" w:hAnsi="Calibri"/>
            <w:sz w:val="21"/>
            <w:szCs w:val="21"/>
          </w:rPr>
          <w:t xml:space="preserve">Design, synthesis, anticancer activity and molecular docking of novel 1H-benzo[d]imidazole derivatives as potential EGFR inhibitors</w:t>
        </w:r>
      </w:hyperlink>
      <w:r>
        <w:rPr>
          <w:rFonts w:ascii="Calibri" w:cs="Calibri" w:eastAsia="Calibri" w:hAnsi="Calibri"/>
          <w:color w:val="5B6B7A"/>
          <w:sz w:val="21"/>
          <w:szCs w:val="21"/>
        </w:rPr>
        <w:t xml:space="preserve"> — C. E. Theodore et al., 2023; 24 citations</w:t>
      </w:r>
      <w:r>
        <w:rPr>
          <w:rFonts w:ascii="Calibri" w:cs="Calibri" w:eastAsia="Calibri" w:hAnsi="Calibri"/>
          <w:sz w:val="21"/>
          <w:szCs w:val="21"/>
        </w:rPr>
        <w:t xml:space="preserve">. A benzimidazole EGFR series with a lead at 4.38 and 5.69 nM (wild type and L858R/T790M), useful as the upper end of reported potency.</w:t>
      </w:r>
    </w:p>
    <w:p>
      <w:pPr>
        <w:pStyle w:val="ListParagraph"/>
        <w:numPr>
          <w:ilvl w:val="0"/>
          <w:numId w:val="2"/>
        </w:numPr>
        <w:spacing w:after="70" w:line="258"/>
      </w:pPr>
      <w:hyperlink w:history="1" r:id="rIddiuzim_yajkxl2cl-4tzk">
        <w:r>
          <w:rPr>
            <w:rStyle w:val="Hyperlink"/>
            <w:rFonts w:ascii="Calibri" w:cs="Calibri" w:eastAsia="Calibri" w:hAnsi="Calibri"/>
            <w:sz w:val="21"/>
            <w:szCs w:val="21"/>
          </w:rPr>
          <w:t xml:space="preserve">Novel imidazo[2,1-b]thiazoles and imidazo[1,2-a]pyridines tethered with indolinone motif as VEGFR-2 inhibitors and apoptotic inducers: Design, synthesis and biological evaluations</w:t>
        </w:r>
      </w:hyperlink>
      <w:r>
        <w:rPr>
          <w:rFonts w:ascii="Calibri" w:cs="Calibri" w:eastAsia="Calibri" w:hAnsi="Calibri"/>
          <w:color w:val="5B6B7A"/>
          <w:sz w:val="21"/>
          <w:szCs w:val="21"/>
        </w:rPr>
        <w:t xml:space="preserve"> — Mahmoud S. Elkotamy et al., 2024; 55 citations</w:t>
      </w:r>
      <w:r>
        <w:rPr>
          <w:rFonts w:ascii="Calibri" w:cs="Calibri" w:eastAsia="Calibri" w:hAnsi="Calibri"/>
          <w:sz w:val="21"/>
          <w:szCs w:val="21"/>
        </w:rPr>
        <w:t xml:space="preserve">. Indolinone-grafted imidazothiazole and imidazopyridine VEGFR-2 inhibitors (0.22 to 0.95 µM for eight compounds) with a cisplatin comparison in cells.</w:t>
      </w:r>
    </w:p>
    <w:p>
      <w:pPr>
        <w:pStyle w:val="ListParagraph"/>
        <w:numPr>
          <w:ilvl w:val="0"/>
          <w:numId w:val="2"/>
        </w:numPr>
        <w:spacing w:after="70" w:line="258"/>
      </w:pPr>
      <w:hyperlink w:history="1" r:id="rIda3hm8ad17p2jpeuq9qjde">
        <w:r>
          <w:rPr>
            <w:rStyle w:val="Hyperlink"/>
            <w:rFonts w:ascii="Calibri" w:cs="Calibri" w:eastAsia="Calibri" w:hAnsi="Calibri"/>
            <w:sz w:val="21"/>
            <w:szCs w:val="21"/>
          </w:rPr>
          <w:t xml:space="preserve">In-vitro anticancer evaluation of newly designed and characterized tri/tetra-substituted imidazole congeners- maternal embryonic leucine zipper kinase inhibitors: Molecular docking and MD simulation approaches</w:t>
        </w:r>
      </w:hyperlink>
      <w:r>
        <w:rPr>
          <w:rFonts w:ascii="Calibri" w:cs="Calibri" w:eastAsia="Calibri" w:hAnsi="Calibri"/>
          <w:color w:val="5B6B7A"/>
          <w:sz w:val="21"/>
          <w:szCs w:val="21"/>
        </w:rPr>
        <w:t xml:space="preserve"> — M. Mahapatra et al., 2023; 35 citations; returned by 2 searches</w:t>
      </w:r>
      <w:r>
        <w:rPr>
          <w:rFonts w:ascii="Calibri" w:cs="Calibri" w:eastAsia="Calibri" w:hAnsi="Calibri"/>
          <w:sz w:val="21"/>
          <w:szCs w:val="21"/>
        </w:rPr>
        <w:t xml:space="preserve">. Docking against MELK used to select compounds for synthesis, then molecular dynamics and cell assays; also returned by the later era-gated search.</w:t>
      </w:r>
    </w:p>
    <w:p>
      <w:pPr>
        <w:spacing w:after="60"/>
      </w:pPr>
    </w:p>
    <w:p>
      <w:pPr>
        <w:pStyle w:val="Heading3"/>
        <w:keepNext/>
      </w:pPr>
      <w:r>
        <w:rPr>
          <w:rFonts w:ascii="Calibri" w:cs="Calibri" w:eastAsia="Calibri" w:hAnsi="Calibri"/>
        </w:rPr>
        <w:t xml:space="preserve">4c. Search terms</w:t>
      </w:r>
    </w:p>
    <w:p>
      <w:pPr>
        <w:spacing w:after="120" w:before="0" w:line="264"/>
        <w:jc w:val="left"/>
      </w:pPr>
      <w:r>
        <w:rPr>
          <w:rFonts w:ascii="Calibri" w:cs="Calibri" w:eastAsia="Calibri" w:hAnsi="Calibri"/>
          <w:sz w:val="21"/>
          <w:szCs w:val="21"/>
        </w:rPr>
        <w:t xml:space="preserve">imidazole EGFR inhibitor T790M; benzimidazole VEGFR-2; imidazole tubulin polymerisation colchicine site; imidazothiazole kinase inhibitor; imidazo[1,2-a]pyridine anticancer; MELK inhibitor imidazole; carbonic anhydrase IX imidazolone; benzimidazole topoisomerase II; multi-target EGFR VEGFR-2 hybrid; imidazole GSK-3β docking.</w:t>
      </w:r>
    </w:p>
    <w:p>
      <w:pPr>
        <w:pStyle w:val="Heading3"/>
        <w:keepNext/>
      </w:pPr>
      <w:r>
        <w:rPr>
          <w:rFonts w:ascii="Calibri" w:cs="Calibri" w:eastAsia="Calibri" w:hAnsi="Calibri"/>
        </w:rPr>
        <w:t xml:space="preserve">4d. Boolean search strings</w:t>
      </w:r>
    </w:p>
    <w:p>
      <w:pPr>
        <w:pBdr>
          <w:left w:val="single" w:color="1F7A8C" w:sz="12" w:space="6"/>
        </w:pBdr>
        <w:shd w:fill="F1F4F7" w:color="auto" w:val="clear"/>
        <w:spacing w:after="0" w:line="250"/>
        <w:ind w:left="120"/>
      </w:pPr>
      <w:r>
        <w:rPr>
          <w:rFonts w:ascii="Consolas" w:cs="Consolas" w:eastAsia="Consolas" w:hAnsi="Consolas"/>
          <w:sz w:val="19"/>
          <w:szCs w:val="19"/>
        </w:rPr>
        <w:t xml:space="preserve">(imidazole OR benzimidazole OR imidazothiazole OR "imidazo[1,2-a]pyridine") AND (EGFR OR VEGFR-2 OR "tyrosine kinase") AND (anticancer OR antiproliferative OR cytotoxic) AND ("structure-activity" OR docking)</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imidazole AND (tubulin OR "colchicine site" OR MELK OR "carbonic anhydrase") AND (apoptosis OR "cell cycle") AND ("in vitro" OR "molecular dynamics")</w:t>
      </w:r>
    </w:p>
    <w:p>
      <w:pPr>
        <w:spacing w:after="120"/>
      </w:pPr>
    </w:p>
    <w:p>
      <w:pPr>
        <w:pStyle w:val="Heading2"/>
        <w:keepNext/>
      </w:pPr>
      <w:r>
        <w:rPr>
          <w:rFonts w:ascii="Calibri" w:cs="Calibri" w:eastAsia="Calibri" w:hAnsi="Calibri"/>
        </w:rPr>
        <w:t xml:space="preserve">4.3 Sub-area C: Antimicrobial and antifungal imidazoles</w:t>
      </w:r>
    </w:p>
    <w:p>
      <w:pPr>
        <w:pStyle w:val="Heading3"/>
        <w:keepNext/>
      </w:pPr>
      <w:r>
        <w:rPr>
          <w:rFonts w:ascii="Calibri" w:cs="Calibri" w:eastAsia="Calibri" w:hAnsi="Calibri"/>
        </w:rPr>
        <w:t xml:space="preserve">4a. What the research shows</w:t>
      </w:r>
    </w:p>
    <w:p>
      <w:pPr>
        <w:spacing w:after="120" w:before="0" w:line="264"/>
        <w:jc w:val="left"/>
      </w:pPr>
      <w:r>
        <w:rPr>
          <w:rFonts w:ascii="Calibri" w:cs="Calibri" w:eastAsia="Calibri" w:hAnsi="Calibri"/>
          <w:sz w:val="21"/>
          <w:szCs w:val="21"/>
        </w:rPr>
        <w:t xml:space="preserve">The antifungal case rests on a well-understood mechanism: imidazoles inhibit lanosterol 14α-demethylase (CYP51) and block ergosterol biosynthesis </w:t>
      </w:r>
      <w:r>
        <w:rPr>
          <w:rFonts w:ascii="Calibri" w:cs="Calibri" w:eastAsia="Calibri" w:hAnsi="Calibri"/>
          <w:b/>
          <w:bCs/>
          <w:sz w:val="21"/>
          <w:szCs w:val="21"/>
        </w:rPr>
        <w:t xml:space="preserve">(Saini et al., 2026; Yin et al., 2026)</w:t>
      </w:r>
      <w:r>
        <w:rPr>
          <w:rFonts w:ascii="Calibri" w:cs="Calibri" w:eastAsia="Calibri" w:hAnsi="Calibri"/>
          <w:sz w:val="21"/>
          <w:szCs w:val="21"/>
        </w:rPr>
        <w:t xml:space="preserve">. Recent series typically report minimum inhibitory concentrations, a CYP51 docking study and often molecular dynamics, and several beat fluconazole or miconazole in the same paper </w:t>
      </w:r>
      <w:r>
        <w:rPr>
          <w:rFonts w:ascii="Calibri" w:cs="Calibri" w:eastAsia="Calibri" w:hAnsi="Calibri"/>
          <w:b/>
          <w:bCs/>
          <w:sz w:val="21"/>
          <w:szCs w:val="21"/>
        </w:rPr>
        <w:t xml:space="preserve">(Reis et al., 2023; Zarenezhad et al., 2023; Morcoss et al., 2020)</w:t>
      </w:r>
      <w:r>
        <w:rPr>
          <w:rFonts w:ascii="Calibri" w:cs="Calibri" w:eastAsia="Calibri" w:hAnsi="Calibri"/>
          <w:sz w:val="21"/>
          <w:szCs w:val="21"/>
        </w:rPr>
        <w:t xml:space="preserve">. The bacterial case is lighter and leans on docking targets such as glucosamine-6-phosphate synthase </w:t>
      </w:r>
      <w:r>
        <w:rPr>
          <w:rFonts w:ascii="Calibri" w:cs="Calibri" w:eastAsia="Calibri" w:hAnsi="Calibri"/>
          <w:b/>
          <w:bCs/>
          <w:sz w:val="21"/>
          <w:szCs w:val="21"/>
        </w:rPr>
        <w:t xml:space="preserve">(Stefaniak et al., 2022; Panda et al., 2025)</w:t>
      </w:r>
      <w:r>
        <w:rPr>
          <w:rFonts w:ascii="Calibri" w:cs="Calibri" w:eastAsia="Calibri" w:hAnsi="Calibri"/>
          <w:sz w:val="21"/>
          <w:szCs w:val="21"/>
        </w:rPr>
        <w:t xml:space="preserve">. Cellular and enzyme potency can diverge, as one benzimidazole series with a good MIC but a CYP51 IC50 above fluconazole shows </w:t>
      </w:r>
      <w:r>
        <w:rPr>
          <w:rFonts w:ascii="Calibri" w:cs="Calibri" w:eastAsia="Calibri" w:hAnsi="Calibri"/>
          <w:b/>
          <w:bCs/>
          <w:sz w:val="21"/>
          <w:szCs w:val="21"/>
        </w:rPr>
        <w:t xml:space="preserve">(Al-Ashmawy et al., 2025)</w:t>
      </w:r>
      <w:r>
        <w:rPr>
          <w:rFonts w:ascii="Calibri" w:cs="Calibri" w:eastAsia="Calibri" w:hAnsi="Calibri"/>
          <w:sz w:val="21"/>
          <w:szCs w:val="21"/>
        </w:rPr>
        <w:t xml:space="preserve">, and azole resistance through ERG11 and UPC2 mutations, efflux and biofilms is the design context </w:t>
      </w:r>
      <w:r>
        <w:rPr>
          <w:rFonts w:ascii="Calibri" w:cs="Calibri" w:eastAsia="Calibri" w:hAnsi="Calibri"/>
          <w:b/>
          <w:bCs/>
          <w:sz w:val="21"/>
          <w:szCs w:val="21"/>
        </w:rPr>
        <w:t xml:space="preserve">(Li et al., 2025; Czajka et al., 2023)</w:t>
      </w:r>
      <w:r>
        <w:rPr>
          <w:rFonts w:ascii="Calibri" w:cs="Calibri" w:eastAsia="Calibri" w:hAnsi="Calibri"/>
          <w:sz w:val="21"/>
          <w:szCs w:val="21"/>
        </w:rPr>
        <w:t xml:space="preserve">.</w:t>
      </w:r>
    </w:p>
    <w:p>
      <w:pPr>
        <w:pStyle w:val="Heading3"/>
        <w:keepNext/>
      </w:pPr>
      <w:r>
        <w:rPr>
          <w:rFonts w:ascii="Calibri" w:cs="Calibri" w:eastAsia="Calibri" w:hAnsi="Calibri"/>
        </w:rPr>
        <w:t xml:space="preserve">4b. Key papers</w:t>
      </w:r>
    </w:p>
    <w:p>
      <w:pPr>
        <w:pStyle w:val="ListParagraph"/>
        <w:numPr>
          <w:ilvl w:val="0"/>
          <w:numId w:val="2"/>
        </w:numPr>
        <w:spacing w:after="70" w:line="258"/>
      </w:pPr>
      <w:hyperlink w:history="1" r:id="rIdrvuuoocbd9seitbnpoln2">
        <w:r>
          <w:rPr>
            <w:rStyle w:val="Hyperlink"/>
            <w:rFonts w:ascii="Calibri" w:cs="Calibri" w:eastAsia="Calibri" w:hAnsi="Calibri"/>
            <w:sz w:val="21"/>
            <w:szCs w:val="21"/>
          </w:rPr>
          <w:t xml:space="preserve">New miconazole-based azoles derived from eugenol show activity against Candida spp. and Cryptococcus gattii by inhibiting the fungal ergosterol biosynthesis</w:t>
        </w:r>
      </w:hyperlink>
      <w:r>
        <w:rPr>
          <w:rFonts w:ascii="Calibri" w:cs="Calibri" w:eastAsia="Calibri" w:hAnsi="Calibri"/>
          <w:color w:val="5B6B7A"/>
          <w:sz w:val="21"/>
          <w:szCs w:val="21"/>
        </w:rPr>
        <w:t xml:space="preserve"> — R. C. F. M. Reis et al., 2023; 20 citations</w:t>
      </w:r>
      <w:r>
        <w:rPr>
          <w:rFonts w:ascii="Calibri" w:cs="Calibri" w:eastAsia="Calibri" w:hAnsi="Calibri"/>
          <w:sz w:val="21"/>
          <w:szCs w:val="21"/>
        </w:rPr>
        <w:t xml:space="preserve">. Eugenol-derived imidazoles with an MIC of 4.6 µM against </w:t>
      </w:r>
      <w:r>
        <w:rPr>
          <w:rFonts w:ascii="Calibri" w:cs="Calibri" w:eastAsia="Calibri" w:hAnsi="Calibri"/>
          <w:i/>
          <w:iCs/>
          <w:sz w:val="21"/>
          <w:szCs w:val="21"/>
        </w:rPr>
        <w:t xml:space="preserve">Candida albicans</w:t>
      </w:r>
      <w:r>
        <w:rPr>
          <w:rFonts w:ascii="Calibri" w:cs="Calibri" w:eastAsia="Calibri" w:hAnsi="Calibri"/>
          <w:sz w:val="21"/>
          <w:szCs w:val="21"/>
        </w:rPr>
        <w:t xml:space="preserve"> (miconazole 150.2 µM) and activity against multidrug-resistant </w:t>
      </w:r>
      <w:r>
        <w:rPr>
          <w:rFonts w:ascii="Calibri" w:cs="Calibri" w:eastAsia="Calibri" w:hAnsi="Calibri"/>
          <w:i/>
          <w:iCs/>
          <w:sz w:val="21"/>
          <w:szCs w:val="21"/>
        </w:rPr>
        <w:t xml:space="preserve">C. auris</w:t>
      </w:r>
      <w:r>
        <w:rPr>
          <w:rFonts w:ascii="Calibri" w:cs="Calibri" w:eastAsia="Calibri" w:hAnsi="Calibri"/>
          <w:sz w:val="21"/>
          <w:szCs w:val="21"/>
        </w:rPr>
        <w:t xml:space="preserve">; a clear example of the design-to-CYP51-docking pattern.</w:t>
      </w:r>
    </w:p>
    <w:p>
      <w:pPr>
        <w:pStyle w:val="ListParagraph"/>
        <w:numPr>
          <w:ilvl w:val="0"/>
          <w:numId w:val="2"/>
        </w:numPr>
        <w:spacing w:after="70" w:line="258"/>
      </w:pPr>
      <w:hyperlink w:history="1" r:id="rIdq0j1dfcks700zhtsj65at">
        <w:r>
          <w:rPr>
            <w:rStyle w:val="Hyperlink"/>
            <w:rFonts w:ascii="Calibri" w:cs="Calibri" w:eastAsia="Calibri" w:hAnsi="Calibri"/>
            <w:sz w:val="21"/>
            <w:szCs w:val="21"/>
          </w:rPr>
          <w:t xml:space="preserve">Design, synthesis, mechanistic studies and in silico ADME predictions of benzimidazole derivatives as novel antifungal agents</w:t>
        </w:r>
      </w:hyperlink>
      <w:r>
        <w:rPr>
          <w:rFonts w:ascii="Calibri" w:cs="Calibri" w:eastAsia="Calibri" w:hAnsi="Calibri"/>
          <w:color w:val="5B6B7A"/>
          <w:sz w:val="21"/>
          <w:szCs w:val="21"/>
        </w:rPr>
        <w:t xml:space="preserve"> — Martha M. Morcoss et al., 2020; 77 citations</w:t>
      </w:r>
      <w:r>
        <w:rPr>
          <w:rFonts w:ascii="Calibri" w:cs="Calibri" w:eastAsia="Calibri" w:hAnsi="Calibri"/>
          <w:sz w:val="21"/>
          <w:szCs w:val="21"/>
        </w:rPr>
        <w:t xml:space="preserve">. Benzimidazole hybrids whose CYP51 hypothesis was tested at enzyme level (IC50 0.19 µg/mL against 0.62 µg/mL for fluconazole), not only by docking.</w:t>
      </w:r>
    </w:p>
    <w:p>
      <w:pPr>
        <w:pStyle w:val="ListParagraph"/>
        <w:numPr>
          <w:ilvl w:val="0"/>
          <w:numId w:val="2"/>
        </w:numPr>
        <w:spacing w:after="70" w:line="258"/>
      </w:pPr>
      <w:hyperlink w:history="1" r:id="rIdt7le-liwbstrdivufrxyy">
        <w:r>
          <w:rPr>
            <w:rStyle w:val="Hyperlink"/>
            <w:rFonts w:ascii="Calibri" w:cs="Calibri" w:eastAsia="Calibri" w:hAnsi="Calibri"/>
            <w:sz w:val="21"/>
            <w:szCs w:val="21"/>
          </w:rPr>
          <w:t xml:space="preserve">Imidazole Antifungals Against Fungal Pathogens: Resistance Mechanisms and Emerging Delivery Strategies</w:t>
        </w:r>
      </w:hyperlink>
      <w:r>
        <w:rPr>
          <w:rFonts w:ascii="Calibri" w:cs="Calibri" w:eastAsia="Calibri" w:hAnsi="Calibri"/>
          <w:color w:val="5B6B7A"/>
          <w:sz w:val="21"/>
          <w:szCs w:val="21"/>
        </w:rPr>
        <w:t xml:space="preserve"> — Manita Saini et al., 2026; 2 citations</w:t>
      </w:r>
      <w:r>
        <w:rPr>
          <w:rFonts w:ascii="Calibri" w:cs="Calibri" w:eastAsia="Calibri" w:hAnsi="Calibri"/>
          <w:sz w:val="21"/>
          <w:szCs w:val="21"/>
        </w:rPr>
        <w:t xml:space="preserve">. A recent review of imidazole antifungals covering mechanism, resistance and delivery strategies.</w:t>
      </w:r>
    </w:p>
    <w:p>
      <w:pPr>
        <w:pStyle w:val="ListParagraph"/>
        <w:numPr>
          <w:ilvl w:val="0"/>
          <w:numId w:val="2"/>
        </w:numPr>
        <w:spacing w:after="70" w:line="258"/>
      </w:pPr>
      <w:hyperlink w:history="1" r:id="rIdpdryblqq-ubsdjp7kxpo4">
        <w:r>
          <w:rPr>
            <w:rStyle w:val="Hyperlink"/>
            <w:rFonts w:ascii="Calibri" w:cs="Calibri" w:eastAsia="Calibri" w:hAnsi="Calibri"/>
            <w:sz w:val="21"/>
            <w:szCs w:val="21"/>
          </w:rPr>
          <w:t xml:space="preserve">Understanding the mechanisms of resistance to azole antifungals in Candida species</w:t>
        </w:r>
      </w:hyperlink>
      <w:r>
        <w:rPr>
          <w:rFonts w:ascii="Calibri" w:cs="Calibri" w:eastAsia="Calibri" w:hAnsi="Calibri"/>
          <w:color w:val="5B6B7A"/>
          <w:sz w:val="21"/>
          <w:szCs w:val="21"/>
        </w:rPr>
        <w:t xml:space="preserve"> — Yunxiao Li et al., 2025; 57 citations</w:t>
      </w:r>
      <w:r>
        <w:rPr>
          <w:rFonts w:ascii="Calibri" w:cs="Calibri" w:eastAsia="Calibri" w:hAnsi="Calibri"/>
          <w:sz w:val="21"/>
          <w:szCs w:val="21"/>
        </w:rPr>
        <w:t xml:space="preserve">. Mechanisms of azole resistance in </w:t>
      </w:r>
      <w:r>
        <w:rPr>
          <w:rFonts w:ascii="Calibri" w:cs="Calibri" w:eastAsia="Calibri" w:hAnsi="Calibri"/>
          <w:i/>
          <w:iCs/>
          <w:sz w:val="21"/>
          <w:szCs w:val="21"/>
        </w:rPr>
        <w:t xml:space="preserve">Candida</w:t>
      </w:r>
      <w:r>
        <w:rPr>
          <w:rFonts w:ascii="Calibri" w:cs="Calibri" w:eastAsia="Calibri" w:hAnsi="Calibri"/>
          <w:sz w:val="21"/>
          <w:szCs w:val="21"/>
        </w:rPr>
        <w:t xml:space="preserve">; read it before designing against CYP51.</w:t>
      </w:r>
    </w:p>
    <w:p>
      <w:pPr>
        <w:pStyle w:val="ListParagraph"/>
        <w:numPr>
          <w:ilvl w:val="0"/>
          <w:numId w:val="2"/>
        </w:numPr>
        <w:spacing w:after="70" w:line="258"/>
      </w:pPr>
      <w:hyperlink w:history="1" r:id="rIduwc-sszkraxrfd-rzsz6l">
        <w:r>
          <w:rPr>
            <w:rStyle w:val="Hyperlink"/>
            <w:rFonts w:ascii="Calibri" w:cs="Calibri" w:eastAsia="Calibri" w:hAnsi="Calibri"/>
            <w:sz w:val="21"/>
            <w:szCs w:val="21"/>
          </w:rPr>
          <w:t xml:space="preserve">Inhibitors of glucosamine-6-phosphate synthase as potential antimicrobials or antidiabetics – synthesis and properties</w:t>
        </w:r>
      </w:hyperlink>
      <w:r>
        <w:rPr>
          <w:rFonts w:ascii="Calibri" w:cs="Calibri" w:eastAsia="Calibri" w:hAnsi="Calibri"/>
          <w:color w:val="5B6B7A"/>
          <w:sz w:val="21"/>
          <w:szCs w:val="21"/>
        </w:rPr>
        <w:t xml:space="preserve"> — Joanna Stefaniak et al., 2022; 27 citations</w:t>
      </w:r>
      <w:r>
        <w:rPr>
          <w:rFonts w:ascii="Calibri" w:cs="Calibri" w:eastAsia="Calibri" w:hAnsi="Calibri"/>
          <w:sz w:val="21"/>
          <w:szCs w:val="21"/>
        </w:rPr>
        <w:t xml:space="preserve">. The cautionary review on docking-only claims of enzyme inhibition (also Read 7); it was returned by the follow-up search on glucosamine-6-phosphate synthase.</w:t>
      </w:r>
    </w:p>
    <w:p>
      <w:pPr>
        <w:spacing w:after="60"/>
      </w:pPr>
    </w:p>
    <w:p>
      <w:pPr>
        <w:pStyle w:val="Heading3"/>
        <w:keepNext/>
      </w:pPr>
      <w:r>
        <w:rPr>
          <w:rFonts w:ascii="Calibri" w:cs="Calibri" w:eastAsia="Calibri" w:hAnsi="Calibri"/>
        </w:rPr>
        <w:t xml:space="preserve">4c. Search terms</w:t>
      </w:r>
    </w:p>
    <w:p>
      <w:pPr>
        <w:spacing w:after="120" w:before="0" w:line="264"/>
        <w:jc w:val="left"/>
      </w:pPr>
      <w:r>
        <w:rPr>
          <w:rFonts w:ascii="Calibri" w:cs="Calibri" w:eastAsia="Calibri" w:hAnsi="Calibri"/>
          <w:sz w:val="21"/>
          <w:szCs w:val="21"/>
        </w:rPr>
        <w:t xml:space="preserve">imidazole antifungal CYP51; lanosterol 14α-demethylase docking; azole resistance Candida ERG11; Candida auris azole; imidazole MRSA; benzimidazole antibacterial; ergosterol biosynthesis assay; glucosamine-6-phosphate synthase inhibitor; penicillin-binding protein 2a docking; minimum inhibitory concentration azole hybrid.</w:t>
      </w:r>
    </w:p>
    <w:p>
      <w:pPr>
        <w:pStyle w:val="Heading3"/>
        <w:keepNext/>
      </w:pPr>
      <w:r>
        <w:rPr>
          <w:rFonts w:ascii="Calibri" w:cs="Calibri" w:eastAsia="Calibri" w:hAnsi="Calibri"/>
        </w:rPr>
        <w:t xml:space="preserve">4d. Boolean search strings</w:t>
      </w:r>
    </w:p>
    <w:p>
      <w:pPr>
        <w:pBdr>
          <w:left w:val="single" w:color="1F7A8C" w:sz="12" w:space="6"/>
        </w:pBdr>
        <w:shd w:fill="F1F4F7" w:color="auto" w:val="clear"/>
        <w:spacing w:after="0" w:line="250"/>
        <w:ind w:left="120"/>
      </w:pPr>
      <w:r>
        <w:rPr>
          <w:rFonts w:ascii="Consolas" w:cs="Consolas" w:eastAsia="Consolas" w:hAnsi="Consolas"/>
          <w:sz w:val="19"/>
          <w:szCs w:val="19"/>
        </w:rPr>
        <w:t xml:space="preserve">(imidazole OR benzimidazole OR azole) AND (antifungal OR "Candida") AND ("CYP51" OR "lanosterol 14-alpha demethylase" OR ergosterol) AND (docking OR "molecular dynamics")</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(azole OR imidazole) AND (resistance OR efflux OR ERG11 OR biofilm) AND (Candida OR Aspergillus OR Cryptococcus)</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(imidazole OR benzimidazole) AND (antibacterial OR MRSA OR "Staphylococcus aureus") AND ("glucosamine-6-phosphate synthase" OR "penicillin-binding protein" OR docking)</w:t>
      </w:r>
    </w:p>
    <w:p>
      <w:pPr>
        <w:spacing w:after="120"/>
      </w:pPr>
    </w:p>
    <w:p>
      <w:pPr>
        <w:pStyle w:val="Heading2"/>
        <w:keepNext/>
      </w:pPr>
      <w:r>
        <w:rPr>
          <w:rFonts w:ascii="Calibri" w:cs="Calibri" w:eastAsia="Calibri" w:hAnsi="Calibri"/>
        </w:rPr>
        <w:t xml:space="preserve">4.4 Sub-area D: Antidiabetic, antiviral, neuroactive and other activities</w:t>
      </w:r>
    </w:p>
    <w:p>
      <w:pPr>
        <w:pStyle w:val="Heading3"/>
        <w:keepNext/>
      </w:pPr>
      <w:r>
        <w:rPr>
          <w:rFonts w:ascii="Calibri" w:cs="Calibri" w:eastAsia="Calibri" w:hAnsi="Calibri"/>
        </w:rPr>
        <w:t xml:space="preserve">4a. What the research shows</w:t>
      </w:r>
    </w:p>
    <w:p>
      <w:pPr>
        <w:spacing w:after="120" w:before="0" w:line="264"/>
        <w:jc w:val="left"/>
      </w:pPr>
      <w:r>
        <w:rPr>
          <w:rFonts w:ascii="Calibri" w:cs="Calibri" w:eastAsia="Calibri" w:hAnsi="Calibri"/>
          <w:sz w:val="21"/>
          <w:szCs w:val="21"/>
        </w:rPr>
        <w:t xml:space="preserve">Outside cancer and infection, the recurring targets are α-amylase and α-glucosidase for diabetes, cholinesterases and BACE-1 for Alzheimer's disease, and the SARS-CoV-2 main protease </w:t>
      </w:r>
      <w:r>
        <w:rPr>
          <w:rFonts w:ascii="Calibri" w:cs="Calibri" w:eastAsia="Calibri" w:hAnsi="Calibri"/>
          <w:b/>
          <w:bCs/>
          <w:sz w:val="21"/>
          <w:szCs w:val="21"/>
        </w:rPr>
        <w:t xml:space="preserve">(Mareguddi et al., 2026; Hawsawi et al., 2025; Chamoli et al., 2026; Babu et al., 2026)</w:t>
      </w:r>
      <w:r>
        <w:rPr>
          <w:rFonts w:ascii="Calibri" w:cs="Calibri" w:eastAsia="Calibri" w:hAnsi="Calibri"/>
          <w:sz w:val="21"/>
          <w:szCs w:val="21"/>
        </w:rPr>
        <w:t xml:space="preserve">. Several series report enzyme IC50 values below the reference drug in the same assay, for example imidazole–thiadiazole hybrids against acarbose </w:t>
      </w:r>
      <w:r>
        <w:rPr>
          <w:rFonts w:ascii="Calibri" w:cs="Calibri" w:eastAsia="Calibri" w:hAnsi="Calibri"/>
          <w:b/>
          <w:bCs/>
          <w:sz w:val="21"/>
          <w:szCs w:val="21"/>
        </w:rPr>
        <w:t xml:space="preserve">(Maqbool et al., 2024)</w:t>
      </w:r>
      <w:r>
        <w:rPr>
          <w:rFonts w:ascii="Calibri" w:cs="Calibri" w:eastAsia="Calibri" w:hAnsi="Calibri"/>
          <w:sz w:val="21"/>
          <w:szCs w:val="21"/>
        </w:rPr>
        <w:t xml:space="preserve">, while others are honest about modest results: quinoline–imidazole hybrids that did not outperform the standard drugs in any in vitro assay, and a best α-amylase IC50 slightly above acarbose </w:t>
      </w:r>
      <w:r>
        <w:rPr>
          <w:rFonts w:ascii="Calibri" w:cs="Calibri" w:eastAsia="Calibri" w:hAnsi="Calibri"/>
          <w:b/>
          <w:bCs/>
          <w:sz w:val="21"/>
          <w:szCs w:val="21"/>
        </w:rPr>
        <w:t xml:space="preserve">(Dalbanjan et al., 2025; Mareguddi et al., 2026)</w:t>
      </w:r>
      <w:r>
        <w:rPr>
          <w:rFonts w:ascii="Calibri" w:cs="Calibri" w:eastAsia="Calibri" w:hAnsi="Calibri"/>
          <w:sz w:val="21"/>
          <w:szCs w:val="21"/>
        </w:rPr>
        <w:t xml:space="preserve">. The antiviral studies we found rest on docking, molecular dynamics and DFT, and their abstracts report no antiviral assay </w:t>
      </w:r>
      <w:r>
        <w:rPr>
          <w:rFonts w:ascii="Calibri" w:cs="Calibri" w:eastAsia="Calibri" w:hAnsi="Calibri"/>
          <w:b/>
          <w:bCs/>
          <w:sz w:val="21"/>
          <w:szCs w:val="21"/>
        </w:rPr>
        <w:t xml:space="preserve">(Babu et al., 2026; Lorin et al., 2024)</w:t>
      </w:r>
      <w:r>
        <w:rPr>
          <w:rFonts w:ascii="Calibri" w:cs="Calibri" w:eastAsia="Calibri" w:hAnsi="Calibri"/>
          <w:sz w:val="21"/>
          <w:szCs w:val="21"/>
        </w:rPr>
        <w:t xml:space="preserve">.</w:t>
      </w:r>
    </w:p>
    <w:p>
      <w:pPr>
        <w:pStyle w:val="Heading3"/>
        <w:keepNext/>
      </w:pPr>
      <w:r>
        <w:rPr>
          <w:rFonts w:ascii="Calibri" w:cs="Calibri" w:eastAsia="Calibri" w:hAnsi="Calibri"/>
        </w:rPr>
        <w:t xml:space="preserve">4b. Key papers</w:t>
      </w:r>
    </w:p>
    <w:p>
      <w:pPr>
        <w:pStyle w:val="ListParagraph"/>
        <w:numPr>
          <w:ilvl w:val="0"/>
          <w:numId w:val="2"/>
        </w:numPr>
        <w:spacing w:after="70" w:line="258"/>
      </w:pPr>
      <w:hyperlink w:history="1" r:id="rIdfkjsezs6znuhvphq6g8ra">
        <w:r>
          <w:rPr>
            <w:rStyle w:val="Hyperlink"/>
            <w:rFonts w:ascii="Calibri" w:cs="Calibri" w:eastAsia="Calibri" w:hAnsi="Calibri"/>
            <w:sz w:val="21"/>
            <w:szCs w:val="21"/>
          </w:rPr>
          <w:t xml:space="preserve">Imidazole‐thiadiazole hybrids: A multitarget de novo drug design approach, in vitro evaluation, ADME/T, and in silico studies</w:t>
        </w:r>
      </w:hyperlink>
      <w:r>
        <w:rPr>
          <w:rFonts w:ascii="Calibri" w:cs="Calibri" w:eastAsia="Calibri" w:hAnsi="Calibri"/>
          <w:color w:val="5B6B7A"/>
          <w:sz w:val="21"/>
          <w:szCs w:val="21"/>
        </w:rPr>
        <w:t xml:space="preserve"> — Maryam Maqbool et al., 2024; 14 citations</w:t>
      </w:r>
      <w:r>
        <w:rPr>
          <w:rFonts w:ascii="Calibri" w:cs="Calibri" w:eastAsia="Calibri" w:hAnsi="Calibri"/>
          <w:sz w:val="21"/>
          <w:szCs w:val="21"/>
        </w:rPr>
        <w:t xml:space="preserve">. A multitarget imidazole–thiadiazole design with α-glucosidase and α-amylase IC50 values against acarbose in the same study, plus cholinesterase inhibition.</w:t>
      </w:r>
    </w:p>
    <w:p>
      <w:pPr>
        <w:pStyle w:val="ListParagraph"/>
        <w:numPr>
          <w:ilvl w:val="0"/>
          <w:numId w:val="2"/>
        </w:numPr>
        <w:spacing w:after="70" w:line="258"/>
      </w:pPr>
      <w:hyperlink w:history="1" r:id="rIdfcqw4gkboilmc9og3ih9d">
        <w:r>
          <w:rPr>
            <w:rStyle w:val="Hyperlink"/>
            <w:rFonts w:ascii="Calibri" w:cs="Calibri" w:eastAsia="Calibri" w:hAnsi="Calibri"/>
            <w:sz w:val="21"/>
            <w:szCs w:val="21"/>
          </w:rPr>
          <w:t xml:space="preserve">Synthesis of imidazole derivatives and in silico/in vitro evaluation of potential antidiabetic activity</w:t>
        </w:r>
      </w:hyperlink>
      <w:r>
        <w:rPr>
          <w:rFonts w:ascii="Calibri" w:cs="Calibri" w:eastAsia="Calibri" w:hAnsi="Calibri"/>
          <w:color w:val="5B6B7A"/>
          <w:sz w:val="21"/>
          <w:szCs w:val="21"/>
        </w:rPr>
        <w:t xml:space="preserve"> — Sanjana Mareguddi et al., 2026; 0 citations; returned by 2 searches</w:t>
      </w:r>
      <w:r>
        <w:rPr>
          <w:rFonts w:ascii="Calibri" w:cs="Calibri" w:eastAsia="Calibri" w:hAnsi="Calibri"/>
          <w:sz w:val="21"/>
          <w:szCs w:val="21"/>
        </w:rPr>
        <w:t xml:space="preserve">. Antidiabetic imidazoles with a best α-amylase IC50 of 21.5 µM against 18.9 µM for acarbose, low cytotoxicity, and an unvarnished comparison; returned by two searches.</w:t>
      </w:r>
    </w:p>
    <w:p>
      <w:pPr>
        <w:pStyle w:val="ListParagraph"/>
        <w:numPr>
          <w:ilvl w:val="0"/>
          <w:numId w:val="2"/>
        </w:numPr>
        <w:spacing w:after="70" w:line="258"/>
      </w:pPr>
      <w:hyperlink w:history="1" r:id="rIdg2oe2crxa2tjc0rfluyri">
        <w:r>
          <w:rPr>
            <w:rStyle w:val="Hyperlink"/>
            <w:rFonts w:ascii="Calibri" w:cs="Calibri" w:eastAsia="Calibri" w:hAnsi="Calibri"/>
            <w:sz w:val="21"/>
            <w:szCs w:val="21"/>
          </w:rPr>
          <w:t xml:space="preserve">Revealing Protein Ligand Interactions via DFT Calculation, Molecular Docking, and ADMET: Insight into the Role of Imidazole with Anti‐Alzheimer Activity</w:t>
        </w:r>
      </w:hyperlink>
      <w:r>
        <w:rPr>
          <w:rFonts w:ascii="Calibri" w:cs="Calibri" w:eastAsia="Calibri" w:hAnsi="Calibri"/>
          <w:color w:val="5B6B7A"/>
          <w:sz w:val="21"/>
          <w:szCs w:val="21"/>
        </w:rPr>
        <w:t xml:space="preserve"> — Mohammed B. Hawsawi et al., 2025; 0 citations</w:t>
      </w:r>
      <w:r>
        <w:rPr>
          <w:rFonts w:ascii="Calibri" w:cs="Calibri" w:eastAsia="Calibri" w:hAnsi="Calibri"/>
          <w:sz w:val="21"/>
          <w:szCs w:val="21"/>
        </w:rPr>
        <w:t xml:space="preserve">. Imidazole hydrazones against acetylcholinesterase (3.10 µM against donepezil 7.30 µM) combining DFT, docking and ADMET.</w:t>
      </w:r>
    </w:p>
    <w:p>
      <w:pPr>
        <w:pStyle w:val="ListParagraph"/>
        <w:numPr>
          <w:ilvl w:val="0"/>
          <w:numId w:val="2"/>
        </w:numPr>
        <w:spacing w:after="70" w:line="258"/>
      </w:pPr>
      <w:hyperlink w:history="1" r:id="rIdcagenv6uvgpgmhxvunvsf">
        <w:r>
          <w:rPr>
            <w:rStyle w:val="Hyperlink"/>
            <w:rFonts w:ascii="Calibri" w:cs="Calibri" w:eastAsia="Calibri" w:hAnsi="Calibri"/>
            <w:sz w:val="21"/>
            <w:szCs w:val="21"/>
          </w:rPr>
          <w:t xml:space="preserve">Biochemical and Computational Insights into the Therapeutic Potencies of Quinoline Appended Imidazole Compounds</w:t>
        </w:r>
      </w:hyperlink>
      <w:r>
        <w:rPr>
          <w:rFonts w:ascii="Calibri" w:cs="Calibri" w:eastAsia="Calibri" w:hAnsi="Calibri"/>
          <w:color w:val="5B6B7A"/>
          <w:sz w:val="21"/>
          <w:szCs w:val="21"/>
        </w:rPr>
        <w:t xml:space="preserve"> — N. P. Dalbanjan et al., 2025; 17 citations</w:t>
      </w:r>
      <w:r>
        <w:rPr>
          <w:rFonts w:ascii="Calibri" w:cs="Calibri" w:eastAsia="Calibri" w:hAnsi="Calibri"/>
          <w:sz w:val="21"/>
          <w:szCs w:val="21"/>
        </w:rPr>
        <w:t xml:space="preserve">. Quinoline-appended imidazoles whose authors state that none outperformed the standard drugs, a useful model of candid reporting.</w:t>
      </w:r>
    </w:p>
    <w:p>
      <w:pPr>
        <w:pStyle w:val="ListParagraph"/>
        <w:numPr>
          <w:ilvl w:val="0"/>
          <w:numId w:val="2"/>
        </w:numPr>
        <w:spacing w:after="70" w:line="258"/>
      </w:pPr>
      <w:hyperlink w:history="1" r:id="rIdyhvvg6_iw70bpcjjmi4qc">
        <w:r>
          <w:rPr>
            <w:rStyle w:val="Hyperlink"/>
            <w:rFonts w:ascii="Calibri" w:cs="Calibri" w:eastAsia="Calibri" w:hAnsi="Calibri"/>
            <w:sz w:val="21"/>
            <w:szCs w:val="21"/>
          </w:rPr>
          <w:t xml:space="preserve">Synthesis and multidimensional investigation of a tetra-substituted imidazole derivative: Spectroscopy, DFT/NLO properties, toxicity analysis, molecular docking, and dynamics simulation</w:t>
        </w:r>
      </w:hyperlink>
      <w:r>
        <w:rPr>
          <w:rFonts w:ascii="Calibri" w:cs="Calibri" w:eastAsia="Calibri" w:hAnsi="Calibri"/>
          <w:color w:val="5B6B7A"/>
          <w:sz w:val="21"/>
          <w:szCs w:val="21"/>
        </w:rPr>
        <w:t xml:space="preserve"> — R. M. Babu et al., 2026; 2 citations</w:t>
      </w:r>
      <w:r>
        <w:rPr>
          <w:rFonts w:ascii="Calibri" w:cs="Calibri" w:eastAsia="Calibri" w:hAnsi="Calibri"/>
          <w:sz w:val="21"/>
          <w:szCs w:val="21"/>
        </w:rPr>
        <w:t xml:space="preserve">. A tetrasubstituted imidazole with DFT, protease docking and 100 ns molecular dynamics but no reported antiviral assay; read it as an example of an in silico-only claim.</w:t>
      </w:r>
    </w:p>
    <w:p>
      <w:pPr>
        <w:spacing w:after="60"/>
      </w:pPr>
    </w:p>
    <w:p>
      <w:pPr>
        <w:pStyle w:val="Heading3"/>
        <w:keepNext/>
      </w:pPr>
      <w:r>
        <w:rPr>
          <w:rFonts w:ascii="Calibri" w:cs="Calibri" w:eastAsia="Calibri" w:hAnsi="Calibri"/>
        </w:rPr>
        <w:t xml:space="preserve">4c. Search terms</w:t>
      </w:r>
    </w:p>
    <w:p>
      <w:pPr>
        <w:spacing w:after="120" w:before="0" w:line="264"/>
        <w:jc w:val="left"/>
      </w:pPr>
      <w:r>
        <w:rPr>
          <w:rFonts w:ascii="Calibri" w:cs="Calibri" w:eastAsia="Calibri" w:hAnsi="Calibri"/>
          <w:sz w:val="21"/>
          <w:szCs w:val="21"/>
        </w:rPr>
        <w:t xml:space="preserve">imidazole α-glucosidase inhibitor; α-amylase inhibitor imidazole; imidazole acetylcholinesterase butyrylcholinesterase; BACE-1 imidazole; imidazole SARS-CoV-2 main protease; imidazole antioxidant; imidazole anti-inflammatory; imidazothiazole antitubercular; imidazole angiotensin-converting enzyme; multi-target Alzheimer's imidazole.</w:t>
      </w:r>
    </w:p>
    <w:p>
      <w:pPr>
        <w:pStyle w:val="Heading3"/>
        <w:keepNext/>
      </w:pPr>
      <w:r>
        <w:rPr>
          <w:rFonts w:ascii="Calibri" w:cs="Calibri" w:eastAsia="Calibri" w:hAnsi="Calibri"/>
        </w:rPr>
        <w:t xml:space="preserve">4d. Boolean search strings</w:t>
      </w:r>
    </w:p>
    <w:p>
      <w:pPr>
        <w:pBdr>
          <w:left w:val="single" w:color="1F7A8C" w:sz="12" w:space="6"/>
        </w:pBdr>
        <w:shd w:fill="F1F4F7" w:color="auto" w:val="clear"/>
        <w:spacing w:after="0" w:line="250"/>
        <w:ind w:left="120"/>
      </w:pPr>
      <w:r>
        <w:rPr>
          <w:rFonts w:ascii="Consolas" w:cs="Consolas" w:eastAsia="Consolas" w:hAnsi="Consolas"/>
          <w:sz w:val="19"/>
          <w:szCs w:val="19"/>
        </w:rPr>
        <w:t xml:space="preserve">imidazole AND (diabetes OR "alpha-glucosidase" OR "alpha-amylase" OR "aldose reductase") AND (docking OR "molecular dynamics" OR ADMET)</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(imidazole OR benzimidazole) AND (Alzheimer OR acetylcholinesterase OR butyrylcholinesterase OR BACE-1) AND ("multi-target" OR "dual inhibitor")</w:t>
      </w:r>
    </w:p>
    <w:p>
      <w:pPr>
        <w:spacing w:after="120"/>
      </w:pPr>
    </w:p>
    <w:p>
      <w:pPr>
        <w:pStyle w:val="Heading2"/>
        <w:keepNext/>
      </w:pPr>
      <w:r>
        <w:rPr>
          <w:rFonts w:ascii="Calibri" w:cs="Calibri" w:eastAsia="Calibri" w:hAnsi="Calibri"/>
        </w:rPr>
        <w:t xml:space="preserve">4.5 Sub-area E: In silico methodology and its reliability</w:t>
      </w:r>
    </w:p>
    <w:p>
      <w:pPr>
        <w:pStyle w:val="Heading3"/>
        <w:keepNext/>
      </w:pPr>
      <w:r>
        <w:rPr>
          <w:rFonts w:ascii="Calibri" w:cs="Calibri" w:eastAsia="Calibri" w:hAnsi="Calibri"/>
        </w:rPr>
        <w:t xml:space="preserve">4a. What the research shows</w:t>
      </w:r>
    </w:p>
    <w:p>
      <w:pPr>
        <w:spacing w:after="120" w:before="0" w:line="264"/>
        <w:jc w:val="left"/>
      </w:pPr>
      <w:r>
        <w:rPr>
          <w:rFonts w:ascii="Calibri" w:cs="Calibri" w:eastAsia="Calibri" w:hAnsi="Calibri"/>
          <w:sz w:val="21"/>
          <w:szCs w:val="21"/>
        </w:rPr>
        <w:t xml:space="preserve">Reviews agree that docking predicts binding poses acceptably but ranks binding affinity poorly, and that scoring functions of every type share this limit </w:t>
      </w:r>
      <w:r>
        <w:rPr>
          <w:rFonts w:ascii="Calibri" w:cs="Calibri" w:eastAsia="Calibri" w:hAnsi="Calibri"/>
          <w:b/>
          <w:bCs/>
          <w:sz w:val="21"/>
          <w:szCs w:val="21"/>
        </w:rPr>
        <w:t xml:space="preserve">(Guedes et al., 2018; Li et al., 2019)</w:t>
      </w:r>
      <w:r>
        <w:rPr>
          <w:rFonts w:ascii="Calibri" w:cs="Calibri" w:eastAsia="Calibri" w:hAnsi="Calibri"/>
          <w:sz w:val="21"/>
          <w:szCs w:val="21"/>
        </w:rPr>
        <w:t xml:space="preserve">. Pose success varies by program and inhibitor class </w:t>
      </w:r>
      <w:r>
        <w:rPr>
          <w:rFonts w:ascii="Calibri" w:cs="Calibri" w:eastAsia="Calibri" w:hAnsi="Calibri"/>
          <w:b/>
          <w:bCs/>
          <w:sz w:val="21"/>
          <w:szCs w:val="21"/>
        </w:rPr>
        <w:t xml:space="preserve">(Tripathi et al., 2025)</w:t>
      </w:r>
      <w:r>
        <w:rPr>
          <w:rFonts w:ascii="Calibri" w:cs="Calibri" w:eastAsia="Calibri" w:hAnsi="Calibri"/>
          <w:sz w:val="21"/>
          <w:szCs w:val="21"/>
        </w:rPr>
        <w:t xml:space="preserve">, a large analysis of synthesised and tested ligands found hit rates that plateau and then fall at the best docking scores </w:t>
      </w:r>
      <w:r>
        <w:rPr>
          <w:rFonts w:ascii="Calibri" w:cs="Calibri" w:eastAsia="Calibri" w:hAnsi="Calibri"/>
          <w:b/>
          <w:bCs/>
          <w:sz w:val="21"/>
          <w:szCs w:val="21"/>
        </w:rPr>
        <w:t xml:space="preserve">(Moesgaard et al., 2026)</w:t>
      </w:r>
      <w:r>
        <w:rPr>
          <w:rFonts w:ascii="Calibri" w:cs="Calibri" w:eastAsia="Calibri" w:hAnsi="Calibri"/>
          <w:sz w:val="21"/>
          <w:szCs w:val="21"/>
        </w:rPr>
        <w:t xml:space="preserve">, and end-point free-energy methods such as MM/GBSA separate better from worse ligands but depend on system and protocol </w:t>
      </w:r>
      <w:r>
        <w:rPr>
          <w:rFonts w:ascii="Calibri" w:cs="Calibri" w:eastAsia="Calibri" w:hAnsi="Calibri"/>
          <w:b/>
          <w:bCs/>
          <w:sz w:val="21"/>
          <w:szCs w:val="21"/>
        </w:rPr>
        <w:t xml:space="preserve">(Wang et al., 2019; Bello et al., 2023; Tuccinardi, 2021)</w:t>
      </w:r>
      <w:r>
        <w:rPr>
          <w:rFonts w:ascii="Calibri" w:cs="Calibri" w:eastAsia="Calibri" w:hAnsi="Calibri"/>
          <w:sz w:val="21"/>
          <w:szCs w:val="21"/>
        </w:rPr>
        <w:t xml:space="preserve">. Free ADMET web servers predict the relevant parameters only "more or less accurately" </w:t>
      </w:r>
      <w:r>
        <w:rPr>
          <w:rFonts w:ascii="Calibri" w:cs="Calibri" w:eastAsia="Calibri" w:hAnsi="Calibri"/>
          <w:b/>
          <w:bCs/>
          <w:sz w:val="21"/>
          <w:szCs w:val="21"/>
        </w:rPr>
        <w:t xml:space="preserve">(Dulsat et al., 2023)</w:t>
      </w:r>
      <w:r>
        <w:rPr>
          <w:rFonts w:ascii="Calibri" w:cs="Calibri" w:eastAsia="Calibri" w:hAnsi="Calibri"/>
          <w:sz w:val="21"/>
          <w:szCs w:val="21"/>
        </w:rPr>
        <w:t xml:space="preserve">. Preprints from 2025 and 2026 extend each of these points to co-folding models, machine-learning scoring and ADMET models </w:t>
      </w:r>
      <w:r>
        <w:rPr>
          <w:rFonts w:ascii="Calibri" w:cs="Calibri" w:eastAsia="Calibri" w:hAnsi="Calibri"/>
          <w:b/>
          <w:bCs/>
          <w:sz w:val="21"/>
          <w:szCs w:val="21"/>
        </w:rPr>
        <w:t xml:space="preserve">(Wan et al., 2026 (preprint); Kopko et al., 2025 (preprint); Zheng et al., 2026 (preprint); Elton and Estep, 2026 (preprint))</w:t>
      </w:r>
      <w:r>
        <w:rPr>
          <w:rFonts w:ascii="Calibri" w:cs="Calibri" w:eastAsia="Calibri" w:hAnsi="Calibri"/>
          <w:sz w:val="21"/>
          <w:szCs w:val="21"/>
        </w:rPr>
        <w:t xml:space="preserve">. None of the benchmarks we found was built on imidazole-specific data.</w:t>
      </w:r>
    </w:p>
    <w:p>
      <w:pPr>
        <w:pStyle w:val="Heading3"/>
        <w:keepNext/>
      </w:pPr>
      <w:r>
        <w:rPr>
          <w:rFonts w:ascii="Calibri" w:cs="Calibri" w:eastAsia="Calibri" w:hAnsi="Calibri"/>
        </w:rPr>
        <w:t xml:space="preserve">4b. Key papers</w:t>
      </w:r>
    </w:p>
    <w:p>
      <w:pPr>
        <w:pStyle w:val="ListParagraph"/>
        <w:numPr>
          <w:ilvl w:val="0"/>
          <w:numId w:val="2"/>
        </w:numPr>
        <w:spacing w:after="70" w:line="258"/>
      </w:pPr>
      <w:hyperlink w:history="1" r:id="rIdwrolcoylghaoptafgkljp">
        <w:r>
          <w:rPr>
            <w:rStyle w:val="Hyperlink"/>
            <w:rFonts w:ascii="Calibri" w:cs="Calibri" w:eastAsia="Calibri" w:hAnsi="Calibri"/>
            <w:sz w:val="21"/>
            <w:szCs w:val="21"/>
          </w:rPr>
          <w:t xml:space="preserve">End-Point Binding Free Energy Calculation with MM/PBSA and MM/GBSA: Strategies and Applications in Drug Design</w:t>
        </w:r>
      </w:hyperlink>
      <w:r>
        <w:rPr>
          <w:rFonts w:ascii="Calibri" w:cs="Calibri" w:eastAsia="Calibri" w:hAnsi="Calibri"/>
          <w:color w:val="5B6B7A"/>
          <w:sz w:val="21"/>
          <w:szCs w:val="21"/>
        </w:rPr>
        <w:t xml:space="preserve"> — Ercheng Wang et al., 2019; 2013 citations</w:t>
      </w:r>
      <w:r>
        <w:rPr>
          <w:rFonts w:ascii="Calibri" w:cs="Calibri" w:eastAsia="Calibri" w:hAnsi="Calibri"/>
          <w:sz w:val="21"/>
          <w:szCs w:val="21"/>
        </w:rPr>
        <w:t xml:space="preserve">. The reference review on MM/PBSA and MM/GBSA strategies and applications (2,013 citations), the most-cited free-energy paper in the set.</w:t>
      </w:r>
    </w:p>
    <w:p>
      <w:pPr>
        <w:pStyle w:val="ListParagraph"/>
        <w:numPr>
          <w:ilvl w:val="0"/>
          <w:numId w:val="2"/>
        </w:numPr>
        <w:spacing w:after="70" w:line="258"/>
      </w:pPr>
      <w:hyperlink w:history="1" r:id="rId3ojwjtpac6hrbtbzrybn2">
        <w:r>
          <w:rPr>
            <w:rStyle w:val="Hyperlink"/>
            <w:rFonts w:ascii="Calibri" w:cs="Calibri" w:eastAsia="Calibri" w:hAnsi="Calibri"/>
            <w:sz w:val="21"/>
            <w:szCs w:val="21"/>
          </w:rPr>
          <w:t xml:space="preserve">Empirical Scoring Functions for Structure-Based Virtual Screening: Applications, Critical Aspects, and Challenges</w:t>
        </w:r>
      </w:hyperlink>
      <w:r>
        <w:rPr>
          <w:rFonts w:ascii="Calibri" w:cs="Calibri" w:eastAsia="Calibri" w:hAnsi="Calibri"/>
          <w:color w:val="5B6B7A"/>
          <w:sz w:val="21"/>
          <w:szCs w:val="21"/>
        </w:rPr>
        <w:t xml:space="preserve"> — I. Guedes et al., 2018; 256 citations</w:t>
      </w:r>
      <w:r>
        <w:rPr>
          <w:rFonts w:ascii="Calibri" w:cs="Calibri" w:eastAsia="Calibri" w:hAnsi="Calibri"/>
          <w:sz w:val="21"/>
          <w:szCs w:val="21"/>
        </w:rPr>
        <w:t xml:space="preserve">. Explains why empirical scoring functions can recover poses but not affinities.</w:t>
      </w:r>
    </w:p>
    <w:p>
      <w:pPr>
        <w:pStyle w:val="ListParagraph"/>
        <w:numPr>
          <w:ilvl w:val="0"/>
          <w:numId w:val="2"/>
        </w:numPr>
        <w:spacing w:after="70" w:line="258"/>
      </w:pPr>
      <w:hyperlink w:history="1" r:id="rIdmaqbqrz4_dsnajh2wac8c">
        <w:r>
          <w:rPr>
            <w:rStyle w:val="Hyperlink"/>
            <w:rFonts w:ascii="Calibri" w:cs="Calibri" w:eastAsia="Calibri" w:hAnsi="Calibri"/>
            <w:sz w:val="21"/>
            <w:szCs w:val="21"/>
          </w:rPr>
          <w:t xml:space="preserve">Modeling the Sensitivity of Large-Scale Virtual Screening to Scoring Function Accuracy, Artifacts, and Library Composition</w:t>
        </w:r>
      </w:hyperlink>
      <w:r>
        <w:rPr>
          <w:rFonts w:ascii="Calibri" w:cs="Calibri" w:eastAsia="Calibri" w:hAnsi="Calibri"/>
          <w:color w:val="5B6B7A"/>
          <w:sz w:val="21"/>
          <w:szCs w:val="21"/>
        </w:rPr>
        <w:t xml:space="preserve"> — Laust Moesgaard et al., 2026; 1 citations</w:t>
      </w:r>
      <w:r>
        <w:rPr>
          <w:rFonts w:ascii="Calibri" w:cs="Calibri" w:eastAsia="Calibri" w:hAnsi="Calibri"/>
          <w:sz w:val="21"/>
          <w:szCs w:val="21"/>
        </w:rPr>
        <w:t xml:space="preserve">. Hit rate against docking score across three large campaigns with 2,682 synthesised and tested ligands, and the cost-versus-accuracy argument that follows.</w:t>
      </w:r>
    </w:p>
    <w:p>
      <w:pPr>
        <w:pStyle w:val="ListParagraph"/>
        <w:numPr>
          <w:ilvl w:val="0"/>
          <w:numId w:val="2"/>
        </w:numPr>
        <w:spacing w:after="70" w:line="258"/>
      </w:pPr>
      <w:hyperlink w:history="1" r:id="rIdz4gyydbf_vsjlu1qxb6os">
        <w:r>
          <w:rPr>
            <w:rStyle w:val="Hyperlink"/>
            <w:rFonts w:ascii="Calibri" w:cs="Calibri" w:eastAsia="Calibri" w:hAnsi="Calibri"/>
            <w:sz w:val="21"/>
            <w:szCs w:val="21"/>
          </w:rPr>
          <w:t xml:space="preserve">Assessing the accuracy of binding pose prediction for kinase proteins and 7-azaindole inhibitors: a study with AutoDock4, Vina, DOCK 6, and GNINA 1.0</w:t>
        </w:r>
      </w:hyperlink>
      <w:r>
        <w:rPr>
          <w:rFonts w:ascii="Calibri" w:cs="Calibri" w:eastAsia="Calibri" w:hAnsi="Calibri"/>
          <w:color w:val="5B6B7A"/>
          <w:sz w:val="21"/>
          <w:szCs w:val="21"/>
        </w:rPr>
        <w:t xml:space="preserve"> — A. Tripathi et al., 2025; 13 citations</w:t>
      </w:r>
      <w:r>
        <w:rPr>
          <w:rFonts w:ascii="Calibri" w:cs="Calibri" w:eastAsia="Calibri" w:hAnsi="Calibri"/>
          <w:sz w:val="21"/>
          <w:szCs w:val="21"/>
        </w:rPr>
        <w:t xml:space="preserve">. A concrete pose-prediction benchmark on kinase–7-azaindole complexes in which success rates differ by program.</w:t>
      </w:r>
    </w:p>
    <w:p>
      <w:pPr>
        <w:pStyle w:val="ListParagraph"/>
        <w:numPr>
          <w:ilvl w:val="0"/>
          <w:numId w:val="2"/>
        </w:numPr>
        <w:spacing w:after="70" w:line="258"/>
      </w:pPr>
      <w:hyperlink w:history="1" r:id="rIdabypbrdgtaallccnvxzh-">
        <w:r>
          <w:rPr>
            <w:rStyle w:val="Hyperlink"/>
            <w:rFonts w:ascii="Calibri" w:cs="Calibri" w:eastAsia="Calibri" w:hAnsi="Calibri"/>
            <w:sz w:val="21"/>
            <w:szCs w:val="21"/>
          </w:rPr>
          <w:t xml:space="preserve">Evaluation of Free Online ADMET Tools for Academic or Small Biotech Environments</w:t>
        </w:r>
      </w:hyperlink>
      <w:r>
        <w:rPr>
          <w:rFonts w:ascii="Calibri" w:cs="Calibri" w:eastAsia="Calibri" w:hAnsi="Calibri"/>
          <w:color w:val="5B6B7A"/>
          <w:sz w:val="21"/>
          <w:szCs w:val="21"/>
        </w:rPr>
        <w:t xml:space="preserve"> — Júlia Dulsat et al., 2023; 200 citations</w:t>
      </w:r>
      <w:r>
        <w:rPr>
          <w:rFonts w:ascii="Calibri" w:cs="Calibri" w:eastAsia="Calibri" w:hAnsi="Calibri"/>
          <w:sz w:val="21"/>
          <w:szCs w:val="21"/>
        </w:rPr>
        <w:t xml:space="preserve">. An independent evaluation of 18 free ADMET servers against 24 approved tyrosine kinase inhibitors.</w:t>
      </w:r>
    </w:p>
    <w:p>
      <w:pPr>
        <w:spacing w:after="60"/>
      </w:pPr>
    </w:p>
    <w:p>
      <w:pPr>
        <w:pBdr>
          <w:left w:val="single" w:color="1F3A5F" w:sz="18" w:space="8"/>
        </w:pBdr>
        <w:shd w:fill="EAF2F8" w:color="auto" w:val="clear"/>
        <w:spacing w:after="200" w:before="120" w:line="260"/>
        <w:ind w:left="160" w:right="120" w:hanging="0"/>
      </w:pPr>
      <w:r>
        <w:rPr>
          <w:rFonts w:ascii="Calibri" w:cs="Calibri" w:eastAsia="Calibri" w:hAnsi="Calibri"/>
          <w:b/>
          <w:bCs/>
          <w:sz w:val="20"/>
          <w:szCs w:val="20"/>
        </w:rPr>
        <w:t xml:space="preserve">Preprints from alphaXiv for this sub-area (not peer reviewed).</w:t>
      </w:r>
      <w:r>
        <w:rPr>
          <w:rFonts w:ascii="Calibri" w:cs="Calibri" w:eastAsia="Calibri" w:hAnsi="Calibri"/>
          <w:sz w:val="20"/>
          <w:szCs w:val="20"/>
        </w:rPr>
        <w:t xml:space="preserve"> </w:t>
      </w:r>
      <w:hyperlink w:history="1" r:id="rIdqpltnfmdqrpgrl72jp8ik">
        <w:r>
          <w:rPr>
            <w:rStyle w:val="Hyperlink"/>
            <w:rFonts w:ascii="Calibri" w:cs="Calibri" w:eastAsia="Calibri" w:hAnsi="Calibri"/>
            <w:sz w:val="20"/>
            <w:szCs w:val="20"/>
          </w:rPr>
          <w:t xml:space="preserve">On the Reliability of AI Methods in Drug Discovery: Evaluation of Boltz-2 for Structure and Binding Affinity Prediction</w:t>
        </w:r>
      </w:hyperlink>
      <w:r>
        <w:rPr>
          <w:rFonts w:ascii="Calibri" w:cs="Calibri" w:eastAsia="Calibri" w:hAnsi="Calibri"/>
          <w:color w:val="5B6B7A"/>
          <w:sz w:val="20"/>
          <w:szCs w:val="20"/>
        </w:rPr>
        <w:t xml:space="preserve"> — Shunzhou Wan et al., 2026; arXiv:2603.05532 [physics.chem-ph], 2 Mar 2026</w:t>
      </w:r>
      <w:r>
        <w:rPr>
          <w:rFonts w:ascii="Calibri" w:cs="Calibri" w:eastAsia="Calibri" w:hAnsi="Calibri"/>
          <w:sz w:val="20"/>
          <w:szCs w:val="20"/>
        </w:rPr>
        <w:t xml:space="preserve">; </w:t>
      </w:r>
      <w:hyperlink w:history="1" r:id="rIdj2hpumarrvrgrfpff6byn">
        <w:r>
          <w:rPr>
            <w:rStyle w:val="Hyperlink"/>
            <w:rFonts w:ascii="Calibri" w:cs="Calibri" w:eastAsia="Calibri" w:hAnsi="Calibri"/>
            <w:sz w:val="20"/>
            <w:szCs w:val="20"/>
          </w:rPr>
          <w:t xml:space="preserve">Beyond Scaffold Splits: Structural-Frontier Evaluation Reveals Hidden Failures in ADMET Models</w:t>
        </w:r>
      </w:hyperlink>
      <w:r>
        <w:rPr>
          <w:rFonts w:ascii="Calibri" w:cs="Calibri" w:eastAsia="Calibri" w:hAnsi="Calibri"/>
          <w:color w:val="5B6B7A"/>
          <w:sz w:val="20"/>
          <w:szCs w:val="20"/>
        </w:rPr>
        <w:t xml:space="preserve"> — Jiacheng Zheng et al., 2026; arXiv:2607.10729v4 [cs.LG], 6 Oct 2026</w:t>
      </w:r>
      <w:r>
        <w:rPr>
          <w:rFonts w:ascii="Calibri" w:cs="Calibri" w:eastAsia="Calibri" w:hAnsi="Calibri"/>
          <w:sz w:val="20"/>
          <w:szCs w:val="20"/>
        </w:rPr>
        <w:t xml:space="preserve">; </w:t>
      </w:r>
      <w:hyperlink w:history="1" r:id="rIdqqabqo6twdxl8mdzndsxv">
        <w:r>
          <w:rPr>
            <w:rStyle w:val="Hyperlink"/>
            <w:rFonts w:ascii="Calibri" w:cs="Calibri" w:eastAsia="Calibri" w:hAnsi="Calibri"/>
            <w:sz w:val="20"/>
            <w:szCs w:val="20"/>
          </w:rPr>
          <w:t xml:space="preserve">Benchmarking open-source tools for in silico antiviral drug discovery</w:t>
        </w:r>
      </w:hyperlink>
      <w:r>
        <w:rPr>
          <w:rFonts w:ascii="Calibri" w:cs="Calibri" w:eastAsia="Calibri" w:hAnsi="Calibri"/>
          <w:color w:val="5B6B7A"/>
          <w:sz w:val="20"/>
          <w:szCs w:val="20"/>
        </w:rPr>
        <w:t xml:space="preserve"> — Daniel C. Elton et al., 2026; arXiv:2605.04265 [q-bio.BM], 5 May 2026</w:t>
      </w:r>
      <w:r>
        <w:rPr>
          <w:rFonts w:ascii="Calibri" w:cs="Calibri" w:eastAsia="Calibri" w:hAnsi="Calibri"/>
          <w:sz w:val="20"/>
          <w:szCs w:val="20"/>
        </w:rPr>
        <w:t xml:space="preserve">; </w:t>
      </w:r>
      <w:hyperlink w:history="1" r:id="rIdw42ajkau_bnuzek_3tpx5">
        <w:r>
          <w:rPr>
            <w:rStyle w:val="Hyperlink"/>
            <w:rFonts w:ascii="Calibri" w:cs="Calibri" w:eastAsia="Calibri" w:hAnsi="Calibri"/>
            <w:sz w:val="20"/>
            <w:szCs w:val="20"/>
          </w:rPr>
          <w:t xml:space="preserve">Generalization Beyond Benchmarks: Evaluating Learnable Protein-Ligand Scoring Functions on Unseen Targets</w:t>
        </w:r>
      </w:hyperlink>
      <w:r>
        <w:rPr>
          <w:rFonts w:ascii="Calibri" w:cs="Calibri" w:eastAsia="Calibri" w:hAnsi="Calibri"/>
          <w:color w:val="5B6B7A"/>
          <w:sz w:val="20"/>
          <w:szCs w:val="20"/>
        </w:rPr>
        <w:t xml:space="preserve"> — Jakub Kopko et al., 2025; arXiv:2512.05386 [cs.LG], 5 Dec 2025</w:t>
      </w:r>
      <w:r>
        <w:rPr>
          <w:rFonts w:ascii="Calibri" w:cs="Calibri" w:eastAsia="Calibri" w:hAnsi="Calibri"/>
          <w:sz w:val="20"/>
          <w:szCs w:val="20"/>
        </w:rPr>
        <w:t xml:space="preserve">; </w:t>
      </w:r>
      <w:hyperlink w:history="1" r:id="rId-k7ejbtyldcy86sbj0jc0">
        <w:r>
          <w:rPr>
            <w:rStyle w:val="Hyperlink"/>
            <w:rFonts w:ascii="Calibri" w:cs="Calibri" w:eastAsia="Calibri" w:hAnsi="Calibri"/>
            <w:sz w:val="20"/>
            <w:szCs w:val="20"/>
          </w:rPr>
          <w:t xml:space="preserve">PMO-Dock: Benchmarking Docking, Specificity, and Generalization in Molecular Optimization</w:t>
        </w:r>
      </w:hyperlink>
      <w:r>
        <w:rPr>
          <w:rFonts w:ascii="Calibri" w:cs="Calibri" w:eastAsia="Calibri" w:hAnsi="Calibri"/>
          <w:color w:val="5B6B7A"/>
          <w:sz w:val="20"/>
          <w:szCs w:val="20"/>
        </w:rPr>
        <w:t xml:space="preserve"> — Gor Simonyan et al., 2026; arXiv:2610.19011v1 [cs.LG], 13 Oct 2026</w:t>
      </w:r>
      <w:r>
        <w:rPr>
          <w:rFonts w:ascii="Calibri" w:cs="Calibri" w:eastAsia="Calibri" w:hAnsi="Calibri"/>
          <w:sz w:val="20"/>
          <w:szCs w:val="20"/>
        </w:rPr>
        <w:t xml:space="preserve">.</w:t>
      </w:r>
    </w:p>
    <w:p>
      <w:pPr>
        <w:pStyle w:val="Heading3"/>
        <w:keepNext/>
      </w:pPr>
      <w:r>
        <w:rPr>
          <w:rFonts w:ascii="Calibri" w:cs="Calibri" w:eastAsia="Calibri" w:hAnsi="Calibri"/>
        </w:rPr>
        <w:t xml:space="preserve">4c. Search terms</w:t>
      </w:r>
    </w:p>
    <w:p>
      <w:pPr>
        <w:spacing w:after="120" w:before="0" w:line="264"/>
        <w:jc w:val="left"/>
      </w:pPr>
      <w:r>
        <w:rPr>
          <w:rFonts w:ascii="Calibri" w:cs="Calibri" w:eastAsia="Calibri" w:hAnsi="Calibri"/>
          <w:sz w:val="21"/>
          <w:szCs w:val="21"/>
        </w:rPr>
        <w:t xml:space="preserve">docking scoring function accuracy; redocking RMSD validation; consensus docking; MM/GBSA binding free energy accuracy; molecular dynamics RMSD RMSF stability; SwissADME ADMETlab comparison; applicability domain ADMET; scaffold split ADMET; co-folding Boltz-2 binding affinity; PoseBusters physical plausibility.</w:t>
      </w:r>
    </w:p>
    <w:p>
      <w:pPr>
        <w:pStyle w:val="Heading3"/>
        <w:keepNext/>
      </w:pPr>
      <w:r>
        <w:rPr>
          <w:rFonts w:ascii="Calibri" w:cs="Calibri" w:eastAsia="Calibri" w:hAnsi="Calibri"/>
        </w:rPr>
        <w:t xml:space="preserve">4d. Boolean search strings</w:t>
      </w:r>
    </w:p>
    <w:p>
      <w:pPr>
        <w:pBdr>
          <w:left w:val="single" w:color="1F7A8C" w:sz="12" w:space="6"/>
        </w:pBdr>
        <w:shd w:fill="F1F4F7" w:color="auto" w:val="clear"/>
        <w:spacing w:after="0" w:line="250"/>
        <w:ind w:left="120"/>
      </w:pPr>
      <w:r>
        <w:rPr>
          <w:rFonts w:ascii="Consolas" w:cs="Consolas" w:eastAsia="Consolas" w:hAnsi="Consolas"/>
          <w:sz w:val="19"/>
          <w:szCs w:val="19"/>
        </w:rPr>
        <w:t xml:space="preserve">("molecular docking" OR "scoring function" OR "virtual screening") AND (accuracy OR benchmark OR limitation OR validation) AND ("binding affinity" OR "pose prediction")</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("MM/GBSA" OR "MM/PBSA" OR "end-point free energy") AND (accuracy OR correlation OR benchmark) AND ("molecular dynamics" OR rescoring)</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(ADMET OR SwissADME OR ADMETlab OR pkCSM) AND (accuracy OR reliability OR "applicability domain" OR benchmark)</w:t>
      </w:r>
    </w:p>
    <w:p>
      <w:pPr>
        <w:spacing w:after="120"/>
      </w:pPr>
    </w:p>
    <w:p>
      <w:pPr>
        <w:pStyle w:val="Heading2"/>
        <w:keepNext/>
      </w:pPr>
      <w:r>
        <w:rPr>
          <w:rFonts w:ascii="Calibri" w:cs="Calibri" w:eastAsia="Calibri" w:hAnsi="Calibri"/>
        </w:rPr>
        <w:t xml:space="preserve">4.6 Sub-area F: Heme coordination and cytochrome P450 liability (emerging thread)</w:t>
      </w:r>
    </w:p>
    <w:p>
      <w:pPr>
        <w:pStyle w:val="Heading3"/>
        <w:keepNext/>
      </w:pPr>
      <w:r>
        <w:rPr>
          <w:rFonts w:ascii="Calibri" w:cs="Calibri" w:eastAsia="Calibri" w:hAnsi="Calibri"/>
        </w:rPr>
        <w:t xml:space="preserve">4a. What the research shows</w:t>
      </w:r>
    </w:p>
    <w:p>
      <w:pPr>
        <w:spacing w:after="120" w:before="0" w:line="264"/>
        <w:jc w:val="left"/>
      </w:pPr>
      <w:r>
        <w:rPr>
          <w:rFonts w:ascii="Calibri" w:cs="Calibri" w:eastAsia="Calibri" w:hAnsi="Calibri"/>
          <w:sz w:val="21"/>
          <w:szCs w:val="21"/>
        </w:rPr>
        <w:t xml:space="preserve">The unsubstituted pyridine-type nitrogen that makes imidazoles effective CYP51 inhibitors also coordinates the heme iron of human P450 enzymes. Five imidazole antifungals inhibited several human isoforms non-selectively, some at low nanomolar constants </w:t>
      </w:r>
      <w:r>
        <w:rPr>
          <w:rFonts w:ascii="Calibri" w:cs="Calibri" w:eastAsia="Calibri" w:hAnsi="Calibri"/>
          <w:b/>
          <w:bCs/>
          <w:sz w:val="21"/>
          <w:szCs w:val="21"/>
        </w:rPr>
        <w:t xml:space="preserve">(Zhang et al., 2002)</w:t>
      </w:r>
      <w:r>
        <w:rPr>
          <w:rFonts w:ascii="Calibri" w:cs="Calibri" w:eastAsia="Calibri" w:hAnsi="Calibri"/>
          <w:sz w:val="21"/>
          <w:szCs w:val="21"/>
        </w:rPr>
        <w:t xml:space="preserve">, imidazole-containing azoles bound both CYP3A4 and the neonatal CYP3A7 through the iron </w:t>
      </w:r>
      <w:r>
        <w:rPr>
          <w:rFonts w:ascii="Calibri" w:cs="Calibri" w:eastAsia="Calibri" w:hAnsi="Calibri"/>
          <w:b/>
          <w:bCs/>
          <w:sz w:val="21"/>
          <w:szCs w:val="21"/>
        </w:rPr>
        <w:t xml:space="preserve">(Godamudunage et al., 2018)</w:t>
      </w:r>
      <w:r>
        <w:rPr>
          <w:rFonts w:ascii="Calibri" w:cs="Calibri" w:eastAsia="Calibri" w:hAnsi="Calibri"/>
          <w:sz w:val="21"/>
          <w:szCs w:val="21"/>
        </w:rPr>
        <w:t xml:space="preserve">, and a structural study on CYP46A1 concluded that developing CYP51-specific agents will remain a challenge </w:t>
      </w:r>
      <w:r>
        <w:rPr>
          <w:rFonts w:ascii="Calibri" w:cs="Calibri" w:eastAsia="Calibri" w:hAnsi="Calibri"/>
          <w:b/>
          <w:bCs/>
          <w:sz w:val="21"/>
          <w:szCs w:val="21"/>
        </w:rPr>
        <w:t xml:space="preserve">(Mast et al., 2013)</w:t>
      </w:r>
      <w:r>
        <w:rPr>
          <w:rFonts w:ascii="Calibri" w:cs="Calibri" w:eastAsia="Calibri" w:hAnsi="Calibri"/>
          <w:sz w:val="21"/>
          <w:szCs w:val="21"/>
        </w:rPr>
        <w:t xml:space="preserve">. Replacing imidazole by a 1,2,3-triazole lowered heme affinity in a model system </w:t>
      </w:r>
      <w:r>
        <w:rPr>
          <w:rFonts w:ascii="Calibri" w:cs="Calibri" w:eastAsia="Calibri" w:hAnsi="Calibri"/>
          <w:b/>
          <w:bCs/>
          <w:sz w:val="21"/>
          <w:szCs w:val="21"/>
        </w:rPr>
        <w:t xml:space="preserve">(Conner et al., 2012)</w:t>
      </w:r>
      <w:r>
        <w:rPr>
          <w:rFonts w:ascii="Calibri" w:cs="Calibri" w:eastAsia="Calibri" w:hAnsi="Calibri"/>
          <w:sz w:val="21"/>
          <w:szCs w:val="21"/>
        </w:rPr>
        <w:t xml:space="preserve">. In the abstracts we reviewed, CYP51-directed imidazole studies reported only the fungal target, so this liability appears under-tested.</w:t>
      </w:r>
    </w:p>
    <w:p>
      <w:pPr>
        <w:pStyle w:val="Heading3"/>
        <w:keepNext/>
      </w:pPr>
      <w:r>
        <w:rPr>
          <w:rFonts w:ascii="Calibri" w:cs="Calibri" w:eastAsia="Calibri" w:hAnsi="Calibri"/>
        </w:rPr>
        <w:t xml:space="preserve">4b. Key papers</w:t>
      </w:r>
    </w:p>
    <w:p>
      <w:pPr>
        <w:pStyle w:val="ListParagraph"/>
        <w:numPr>
          <w:ilvl w:val="0"/>
          <w:numId w:val="2"/>
        </w:numPr>
        <w:spacing w:after="70" w:line="258"/>
      </w:pPr>
      <w:hyperlink w:history="1" r:id="rId0g3i6ijvkmcymekfhfwin">
        <w:r>
          <w:rPr>
            <w:rStyle w:val="Hyperlink"/>
            <w:rFonts w:ascii="Calibri" w:cs="Calibri" w:eastAsia="Calibri" w:hAnsi="Calibri"/>
            <w:sz w:val="21"/>
            <w:szCs w:val="21"/>
          </w:rPr>
          <w:t xml:space="preserve">Inhibition of cytochromes P450 by antifungal imidazole derivatives</w:t>
        </w:r>
      </w:hyperlink>
      <w:r>
        <w:rPr>
          <w:rFonts w:ascii="Calibri" w:cs="Calibri" w:eastAsia="Calibri" w:hAnsi="Calibri"/>
          <w:color w:val="5B6B7A"/>
          <w:sz w:val="21"/>
          <w:szCs w:val="21"/>
        </w:rPr>
        <w:t xml:space="preserve"> — Wenjian Zhang et al., 2002; 248 citations</w:t>
      </w:r>
      <w:r>
        <w:rPr>
          <w:rFonts w:ascii="Calibri" w:cs="Calibri" w:eastAsia="Calibri" w:hAnsi="Calibri"/>
          <w:sz w:val="21"/>
          <w:szCs w:val="21"/>
        </w:rPr>
        <w:t xml:space="preserve">. The earliest and most-cited CYP-liability study in the set, showing non-selective inhibition of several human P450 isoforms by five imidazole antifungals.</w:t>
      </w:r>
    </w:p>
    <w:p>
      <w:pPr>
        <w:pStyle w:val="ListParagraph"/>
        <w:numPr>
          <w:ilvl w:val="0"/>
          <w:numId w:val="2"/>
        </w:numPr>
        <w:spacing w:after="70" w:line="258"/>
      </w:pPr>
      <w:hyperlink w:history="1" r:id="rIdhigu48k050ucsthij2fa6">
        <w:r>
          <w:rPr>
            <w:rStyle w:val="Hyperlink"/>
            <w:rFonts w:ascii="Calibri" w:cs="Calibri" w:eastAsia="Calibri" w:hAnsi="Calibri"/>
            <w:sz w:val="21"/>
            <w:szCs w:val="21"/>
          </w:rPr>
          <w:t xml:space="preserve">Comparison of Antifungal Azole Interactions with Adult Cytochrome P450 3A4 versus Neonatal Cytochrome P450 3A7</w:t>
        </w:r>
      </w:hyperlink>
      <w:r>
        <w:rPr>
          <w:rFonts w:ascii="Calibri" w:cs="Calibri" w:eastAsia="Calibri" w:hAnsi="Calibri"/>
          <w:color w:val="5B6B7A"/>
          <w:sz w:val="21"/>
          <w:szCs w:val="21"/>
        </w:rPr>
        <w:t xml:space="preserve"> — M. P. Godamudunage et al., 2018; 50 citations</w:t>
      </w:r>
      <w:r>
        <w:rPr>
          <w:rFonts w:ascii="Calibri" w:cs="Calibri" w:eastAsia="Calibri" w:hAnsi="Calibri"/>
          <w:sz w:val="21"/>
          <w:szCs w:val="21"/>
        </w:rPr>
        <w:t xml:space="preserve">. Compares azole binding to adult CYP3A4 and neonatal CYP3A7 and shows heme coordination in every imidazole tested.</w:t>
      </w:r>
    </w:p>
    <w:p>
      <w:pPr>
        <w:pStyle w:val="ListParagraph"/>
        <w:numPr>
          <w:ilvl w:val="0"/>
          <w:numId w:val="2"/>
        </w:numPr>
        <w:spacing w:after="70" w:line="258"/>
      </w:pPr>
      <w:hyperlink w:history="1" r:id="rId-itxaywvx7nfzd94rpfph">
        <w:r>
          <w:rPr>
            <w:rStyle w:val="Hyperlink"/>
            <w:rFonts w:ascii="Calibri" w:cs="Calibri" w:eastAsia="Calibri" w:hAnsi="Calibri"/>
            <w:sz w:val="21"/>
            <w:szCs w:val="21"/>
          </w:rPr>
          <w:t xml:space="preserve">Antifungal Azoles: Structural Insights into Undesired Tight Binding to Cholesterol-Metabolizing CYP46A1</w:t>
        </w:r>
      </w:hyperlink>
      <w:r>
        <w:rPr>
          <w:rFonts w:ascii="Calibri" w:cs="Calibri" w:eastAsia="Calibri" w:hAnsi="Calibri"/>
          <w:color w:val="5B6B7A"/>
          <w:sz w:val="21"/>
          <w:szCs w:val="21"/>
        </w:rPr>
        <w:t xml:space="preserve"> — Natalia Mast et al., 2013; 72 citations</w:t>
      </w:r>
      <w:r>
        <w:rPr>
          <w:rFonts w:ascii="Calibri" w:cs="Calibri" w:eastAsia="Calibri" w:hAnsi="Calibri"/>
          <w:sz w:val="21"/>
          <w:szCs w:val="21"/>
        </w:rPr>
        <w:t xml:space="preserve">. Structural insight into tight azole binding to the brain enzyme CYP46A1 and the selectivity challenge it raises.</w:t>
      </w:r>
    </w:p>
    <w:p>
      <w:pPr>
        <w:pStyle w:val="ListParagraph"/>
        <w:numPr>
          <w:ilvl w:val="0"/>
          <w:numId w:val="2"/>
        </w:numPr>
        <w:spacing w:after="70" w:line="258"/>
      </w:pPr>
      <w:hyperlink w:history="1" r:id="rIdwordfhcc3qcsrxqbyugvs">
        <w:r>
          <w:rPr>
            <w:rStyle w:val="Hyperlink"/>
            <w:rFonts w:ascii="Calibri" w:cs="Calibri" w:eastAsia="Calibri" w:hAnsi="Calibri"/>
            <w:sz w:val="21"/>
            <w:szCs w:val="21"/>
          </w:rPr>
          <w:t xml:space="preserve">1,2,3-Triazole-Heme Interactions in Cytochrome P450: Functionally Competent Triazole-Water- Heme Complexes</w:t>
        </w:r>
      </w:hyperlink>
      <w:r>
        <w:rPr>
          <w:rFonts w:ascii="Calibri" w:cs="Calibri" w:eastAsia="Calibri" w:hAnsi="Calibri"/>
          <w:color w:val="5B6B7A"/>
          <w:sz w:val="21"/>
          <w:szCs w:val="21"/>
        </w:rPr>
        <w:t xml:space="preserve"> — Kip P. Conner et al., 2012; 65 citations</w:t>
      </w:r>
      <w:r>
        <w:rPr>
          <w:rFonts w:ascii="Calibri" w:cs="Calibri" w:eastAsia="Calibri" w:hAnsi="Calibri"/>
          <w:sz w:val="21"/>
          <w:szCs w:val="21"/>
        </w:rPr>
        <w:t xml:space="preserve">. Triazole–heme interactions, directly relevant to imidazole–triazole click hybrids.</w:t>
      </w:r>
    </w:p>
    <w:p>
      <w:pPr>
        <w:pStyle w:val="ListParagraph"/>
        <w:numPr>
          <w:ilvl w:val="0"/>
          <w:numId w:val="2"/>
        </w:numPr>
        <w:spacing w:after="70" w:line="258"/>
      </w:pPr>
      <w:hyperlink w:history="1" r:id="rId-dynpcalixwm2hlgm9yne">
        <w:r>
          <w:rPr>
            <w:rStyle w:val="Hyperlink"/>
            <w:rFonts w:ascii="Calibri" w:cs="Calibri" w:eastAsia="Calibri" w:hAnsi="Calibri"/>
            <w:sz w:val="21"/>
            <w:szCs w:val="21"/>
          </w:rPr>
          <w:t xml:space="preserve">Development of a high throughput cytochrome P450 ligand-binding assay</w:t>
        </w:r>
      </w:hyperlink>
      <w:r>
        <w:rPr>
          <w:rFonts w:ascii="Calibri" w:cs="Calibri" w:eastAsia="Calibri" w:hAnsi="Calibri"/>
          <w:color w:val="5B6B7A"/>
          <w:sz w:val="21"/>
          <w:szCs w:val="21"/>
        </w:rPr>
        <w:t xml:space="preserve"> — Elyse K. Frydendall et al., 2024; 6 citations</w:t>
      </w:r>
      <w:r>
        <w:rPr>
          <w:rFonts w:ascii="Calibri" w:cs="Calibri" w:eastAsia="Calibri" w:hAnsi="Calibri"/>
          <w:sz w:val="21"/>
          <w:szCs w:val="21"/>
        </w:rPr>
        <w:t xml:space="preserve">. A high-throughput spectral binding assay applied to about 100 imidazole-containing compounds, which makes a practical counter-screen.</w:t>
      </w:r>
    </w:p>
    <w:p>
      <w:pPr>
        <w:spacing w:after="60"/>
      </w:pPr>
    </w:p>
    <w:p>
      <w:pPr>
        <w:pStyle w:val="Heading3"/>
        <w:keepNext/>
      </w:pPr>
      <w:r>
        <w:rPr>
          <w:rFonts w:ascii="Calibri" w:cs="Calibri" w:eastAsia="Calibri" w:hAnsi="Calibri"/>
        </w:rPr>
        <w:t xml:space="preserve">4c. Search terms</w:t>
      </w:r>
    </w:p>
    <w:p>
      <w:pPr>
        <w:spacing w:after="120" w:before="0" w:line="264"/>
        <w:jc w:val="left"/>
      </w:pPr>
      <w:r>
        <w:rPr>
          <w:rFonts w:ascii="Calibri" w:cs="Calibri" w:eastAsia="Calibri" w:hAnsi="Calibri"/>
          <w:sz w:val="21"/>
          <w:szCs w:val="21"/>
        </w:rPr>
        <w:t xml:space="preserve">imidazole heme coordination; azole CYP3A4 inhibition; CYP46A1 azole; CYP8B1 inhibitor; triazole versus imidazole heme binding; type II spectral binding; azole drug–drug interaction; CYP51 selectivity human CYP; tetrazole antifungal; P450 ligand-binding assay.</w:t>
      </w:r>
    </w:p>
    <w:p>
      <w:pPr>
        <w:pStyle w:val="Heading3"/>
        <w:keepNext/>
      </w:pPr>
      <w:r>
        <w:rPr>
          <w:rFonts w:ascii="Calibri" w:cs="Calibri" w:eastAsia="Calibri" w:hAnsi="Calibri"/>
        </w:rPr>
        <w:t xml:space="preserve">4d. Boolean search strings</w:t>
      </w:r>
    </w:p>
    <w:p>
      <w:pPr>
        <w:pBdr>
          <w:left w:val="single" w:color="1F7A8C" w:sz="12" w:space="6"/>
        </w:pBdr>
        <w:shd w:fill="F1F4F7" w:color="auto" w:val="clear"/>
        <w:spacing w:after="0" w:line="250"/>
        <w:ind w:left="120"/>
      </w:pPr>
      <w:r>
        <w:rPr>
          <w:rFonts w:ascii="Consolas" w:cs="Consolas" w:eastAsia="Consolas" w:hAnsi="Consolas"/>
          <w:sz w:val="19"/>
          <w:szCs w:val="19"/>
        </w:rPr>
        <w:t xml:space="preserve">(imidazole OR azole OR "azole antifungal") AND ("cytochrome P450" OR CYP3A4 OR CYP2C9 OR CYP2C19) AND (inhibition OR "heme" OR "drug-drug interaction")</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("CYP51" OR "lanosterol demethylase") AND (selectivity OR "human CYP") AND (imidazole OR triazole OR tetrazole)</w:t>
      </w:r>
    </w:p>
    <w:p>
      <w:pPr>
        <w:spacing w:after="120"/>
      </w:pPr>
    </w:p>
    <w:p>
      <w:pPr>
        <w:pStyle w:val="Heading2"/>
        <w:keepNext/>
      </w:pPr>
      <w:r>
        <w:rPr>
          <w:rFonts w:ascii="Calibri" w:cs="Calibri" w:eastAsia="Calibri" w:hAnsi="Calibri"/>
        </w:rPr>
        <w:t xml:space="preserve">4.7 Sub-area G: QSAR, machine learning and closed-loop design (emerging thread)</w:t>
      </w:r>
    </w:p>
    <w:p>
      <w:pPr>
        <w:pStyle w:val="Heading3"/>
        <w:keepNext/>
      </w:pPr>
      <w:r>
        <w:rPr>
          <w:rFonts w:ascii="Calibri" w:cs="Calibri" w:eastAsia="Calibri" w:hAnsi="Calibri"/>
        </w:rPr>
        <w:t xml:space="preserve">4a. What the research shows</w:t>
      </w:r>
    </w:p>
    <w:p>
      <w:pPr>
        <w:spacing w:after="120" w:before="0" w:line="264"/>
        <w:jc w:val="left"/>
      </w:pPr>
      <w:r>
        <w:rPr>
          <w:rFonts w:ascii="Calibri" w:cs="Calibri" w:eastAsia="Calibri" w:hAnsi="Calibri"/>
          <w:sz w:val="21"/>
          <w:szCs w:val="21"/>
        </w:rPr>
        <w:t xml:space="preserve">QSAR and machine learning are used both to choose compounds and to screen libraries, and reliability depends on the training set. Models on a few dozen compounds are internally consistent but narrow </w:t>
      </w:r>
      <w:r>
        <w:rPr>
          <w:rFonts w:ascii="Calibri" w:cs="Calibri" w:eastAsia="Calibri" w:hAnsi="Calibri"/>
          <w:b/>
          <w:bCs/>
          <w:sz w:val="21"/>
          <w:szCs w:val="21"/>
        </w:rPr>
        <w:t xml:space="preserve">(Goudzal et al., 2022; Abchir et al., 2026)</w:t>
      </w:r>
      <w:r>
        <w:rPr>
          <w:rFonts w:ascii="Calibri" w:cs="Calibri" w:eastAsia="Calibri" w:hAnsi="Calibri"/>
          <w:sz w:val="21"/>
          <w:szCs w:val="21"/>
        </w:rPr>
        <w:t xml:space="preserve">, while larger programmes combine thousands of ChEMBL records with pharmacophore modelling and in vivo tests </w:t>
      </w:r>
      <w:r>
        <w:rPr>
          <w:rFonts w:ascii="Calibri" w:cs="Calibri" w:eastAsia="Calibri" w:hAnsi="Calibri"/>
          <w:b/>
          <w:bCs/>
          <w:sz w:val="21"/>
          <w:szCs w:val="21"/>
        </w:rPr>
        <w:t xml:space="preserve">(Kalitin et al., 2025)</w:t>
      </w:r>
      <w:r>
        <w:rPr>
          <w:rFonts w:ascii="Calibri" w:cs="Calibri" w:eastAsia="Calibri" w:hAnsi="Calibri"/>
          <w:sz w:val="21"/>
          <w:szCs w:val="21"/>
        </w:rPr>
        <w:t xml:space="preserve">. The most informative recent studies end in experiment: nitroimidazole classification followed by synthesis of three active hits </w:t>
      </w:r>
      <w:r>
        <w:rPr>
          <w:rFonts w:ascii="Calibri" w:cs="Calibri" w:eastAsia="Calibri" w:hAnsi="Calibri"/>
          <w:b/>
          <w:bCs/>
          <w:sz w:val="21"/>
          <w:szCs w:val="21"/>
        </w:rPr>
        <w:t xml:space="preserve">(Veríssimo et al., 2026)</w:t>
      </w:r>
      <w:r>
        <w:rPr>
          <w:rFonts w:ascii="Calibri" w:cs="Calibri" w:eastAsia="Calibri" w:hAnsi="Calibri"/>
          <w:sz w:val="21"/>
          <w:szCs w:val="21"/>
        </w:rPr>
        <w:t xml:space="preserve"> and a regression-guided imidazopyridine series with a modest best inhibition </w:t>
      </w:r>
      <w:r>
        <w:rPr>
          <w:rFonts w:ascii="Calibri" w:cs="Calibri" w:eastAsia="Calibri" w:hAnsi="Calibri"/>
          <w:b/>
          <w:bCs/>
          <w:sz w:val="21"/>
          <w:szCs w:val="21"/>
        </w:rPr>
        <w:t xml:space="preserve">(Walhekar et al., 2026)</w:t>
      </w:r>
      <w:r>
        <w:rPr>
          <w:rFonts w:ascii="Calibri" w:cs="Calibri" w:eastAsia="Calibri" w:hAnsi="Calibri"/>
          <w:sz w:val="21"/>
          <w:szCs w:val="21"/>
        </w:rPr>
        <w:t xml:space="preserve">. A machine-learning surrogate for docking that was about 1,000 times faster yielded only weak inhibitors when its selections were made, although that study concerned monoamine oxidase ligands and not imidazoles </w:t>
      </w:r>
      <w:r>
        <w:rPr>
          <w:rFonts w:ascii="Calibri" w:cs="Calibri" w:eastAsia="Calibri" w:hAnsi="Calibri"/>
          <w:b/>
          <w:bCs/>
          <w:sz w:val="21"/>
          <w:szCs w:val="21"/>
        </w:rPr>
        <w:t xml:space="preserve">(Cieślak et al., 2024)</w:t>
      </w:r>
      <w:r>
        <w:rPr>
          <w:rFonts w:ascii="Calibri" w:cs="Calibri" w:eastAsia="Calibri" w:hAnsi="Calibri"/>
          <w:sz w:val="21"/>
          <w:szCs w:val="21"/>
        </w:rPr>
        <w:t xml:space="preserve">. General reviews of generative design stress the gap to realistic drug-discovery end points </w:t>
      </w:r>
      <w:r>
        <w:rPr>
          <w:rFonts w:ascii="Calibri" w:cs="Calibri" w:eastAsia="Calibri" w:hAnsi="Calibri"/>
          <w:b/>
          <w:bCs/>
          <w:sz w:val="21"/>
          <w:szCs w:val="21"/>
        </w:rPr>
        <w:t xml:space="preserve">(Du et al., 2024)</w:t>
      </w:r>
      <w:r>
        <w:rPr>
          <w:rFonts w:ascii="Calibri" w:cs="Calibri" w:eastAsia="Calibri" w:hAnsi="Calibri"/>
          <w:sz w:val="21"/>
          <w:szCs w:val="21"/>
        </w:rPr>
        <w:t xml:space="preserve">.</w:t>
      </w:r>
    </w:p>
    <w:p>
      <w:pPr>
        <w:pStyle w:val="Heading3"/>
        <w:keepNext/>
      </w:pPr>
      <w:r>
        <w:rPr>
          <w:rFonts w:ascii="Calibri" w:cs="Calibri" w:eastAsia="Calibri" w:hAnsi="Calibri"/>
        </w:rPr>
        <w:t xml:space="preserve">4b. Key papers</w:t>
      </w:r>
    </w:p>
    <w:p>
      <w:pPr>
        <w:pStyle w:val="ListParagraph"/>
        <w:numPr>
          <w:ilvl w:val="0"/>
          <w:numId w:val="2"/>
        </w:numPr>
        <w:spacing w:after="70" w:line="258"/>
      </w:pPr>
      <w:hyperlink w:history="1" r:id="rId-v-sfe3egmffwmfpsrrns">
        <w:r>
          <w:rPr>
            <w:rStyle w:val="Hyperlink"/>
            <w:rFonts w:ascii="Calibri" w:cs="Calibri" w:eastAsia="Calibri" w:hAnsi="Calibri"/>
            <w:sz w:val="21"/>
            <w:szCs w:val="21"/>
          </w:rPr>
          <w:t xml:space="preserve">Machine Learning Classification Models for the Design of Novel Nitroimidazole Derivatives with Anti-Trichomonas vaginalis Activity</w:t>
        </w:r>
      </w:hyperlink>
      <w:r>
        <w:rPr>
          <w:rFonts w:ascii="Calibri" w:cs="Calibri" w:eastAsia="Calibri" w:hAnsi="Calibri"/>
          <w:color w:val="5B6B7A"/>
          <w:sz w:val="21"/>
          <w:szCs w:val="21"/>
        </w:rPr>
        <w:t xml:space="preserve"> — G. Veríssimo et al., 2026; 0 citations</w:t>
      </w:r>
      <w:r>
        <w:rPr>
          <w:rFonts w:ascii="Calibri" w:cs="Calibri" w:eastAsia="Calibri" w:hAnsi="Calibri"/>
          <w:sz w:val="21"/>
          <w:szCs w:val="21"/>
        </w:rPr>
        <w:t xml:space="preserve">. External validation (Matthews correlation coefficient 0.583 to 0.849) followed by synthesis of three nitroimidazoles, all active against </w:t>
      </w:r>
      <w:r>
        <w:rPr>
          <w:rFonts w:ascii="Calibri" w:cs="Calibri" w:eastAsia="Calibri" w:hAnsi="Calibri"/>
          <w:i/>
          <w:iCs/>
          <w:sz w:val="21"/>
          <w:szCs w:val="21"/>
        </w:rPr>
        <w:t xml:space="preserve">Trichomonas vaginalis</w:t>
      </w:r>
      <w:r>
        <w:rPr>
          <w:rFonts w:ascii="Calibri" w:cs="Calibri" w:eastAsia="Calibri" w:hAnsi="Calibri"/>
          <w:sz w:val="21"/>
          <w:szCs w:val="21"/>
        </w:rPr>
        <w:t xml:space="preserve">.</w:t>
      </w:r>
    </w:p>
    <w:p>
      <w:pPr>
        <w:pStyle w:val="ListParagraph"/>
        <w:numPr>
          <w:ilvl w:val="0"/>
          <w:numId w:val="2"/>
        </w:numPr>
        <w:spacing w:after="70" w:line="258"/>
      </w:pPr>
      <w:hyperlink w:history="1" r:id="rIdhuxsov1xjzaj0tod-exq2">
        <w:r>
          <w:rPr>
            <w:rStyle w:val="Hyperlink"/>
            <w:rFonts w:ascii="Calibri" w:cs="Calibri" w:eastAsia="Calibri" w:hAnsi="Calibri"/>
            <w:sz w:val="21"/>
            <w:szCs w:val="21"/>
          </w:rPr>
          <w:t xml:space="preserve">From in silico and machine learning model to validation: discovery of novel amide-functionalized imidazopyridines as PIM-1 kinase inhibitors using an integrated ligand and structure-based hopping approach</w:t>
        </w:r>
      </w:hyperlink>
      <w:r>
        <w:rPr>
          <w:rFonts w:ascii="Calibri" w:cs="Calibri" w:eastAsia="Calibri" w:hAnsi="Calibri"/>
          <w:color w:val="5B6B7A"/>
          <w:sz w:val="21"/>
          <w:szCs w:val="21"/>
        </w:rPr>
        <w:t xml:space="preserve"> — Vinayak Walhekar et al., 2026; 2 citations</w:t>
      </w:r>
      <w:r>
        <w:rPr>
          <w:rFonts w:ascii="Calibri" w:cs="Calibri" w:eastAsia="Calibri" w:hAnsi="Calibri"/>
          <w:sz w:val="21"/>
          <w:szCs w:val="21"/>
        </w:rPr>
        <w:t xml:space="preserve">. Twenty-seven designed candidates, selected compounds synthesised, best PIM1 inhibition 34.5% at 10 µM (also Read 6).</w:t>
      </w:r>
    </w:p>
    <w:p>
      <w:pPr>
        <w:pStyle w:val="ListParagraph"/>
        <w:numPr>
          <w:ilvl w:val="0"/>
          <w:numId w:val="2"/>
        </w:numPr>
        <w:spacing w:after="70" w:line="258"/>
      </w:pPr>
      <w:hyperlink w:history="1" r:id="rIdnchp7_hwrxwq_ttuqetgo">
        <w:r>
          <w:rPr>
            <w:rStyle w:val="Hyperlink"/>
            <w:rFonts w:ascii="Calibri" w:cs="Calibri" w:eastAsia="Calibri" w:hAnsi="Calibri"/>
            <w:sz w:val="21"/>
            <w:szCs w:val="21"/>
          </w:rPr>
          <w:t xml:space="preserve">Screening benzimidazole derivatives for atypical antipsychotic activity</w:t>
        </w:r>
      </w:hyperlink>
      <w:r>
        <w:rPr>
          <w:rFonts w:ascii="Calibri" w:cs="Calibri" w:eastAsia="Calibri" w:hAnsi="Calibri"/>
          <w:color w:val="5B6B7A"/>
          <w:sz w:val="21"/>
          <w:szCs w:val="21"/>
        </w:rPr>
        <w:t xml:space="preserve"> — K. Y. Kalitin et al., 2025; 0 citations</w:t>
      </w:r>
      <w:r>
        <w:rPr>
          <w:rFonts w:ascii="Calibri" w:cs="Calibri" w:eastAsia="Calibri" w:hAnsi="Calibri"/>
          <w:sz w:val="21"/>
          <w:szCs w:val="21"/>
        </w:rPr>
        <w:t xml:space="preserve">. QSAR on 2,615 ChEMBL compounds plus pharmacophore modelling, ending in in vivo tests in mice and rats.</w:t>
      </w:r>
    </w:p>
    <w:p>
      <w:pPr>
        <w:pStyle w:val="ListParagraph"/>
        <w:numPr>
          <w:ilvl w:val="0"/>
          <w:numId w:val="2"/>
        </w:numPr>
        <w:spacing w:after="70" w:line="258"/>
      </w:pPr>
      <w:hyperlink w:history="1" r:id="rId2vuter17j5phdg3ziaho0">
        <w:r>
          <w:rPr>
            <w:rStyle w:val="Hyperlink"/>
            <w:rFonts w:ascii="Calibri" w:cs="Calibri" w:eastAsia="Calibri" w:hAnsi="Calibri"/>
            <w:sz w:val="21"/>
            <w:szCs w:val="21"/>
          </w:rPr>
          <w:t xml:space="preserve">In Silico Design of Pyrimidine Derivatives as Potential α-Glucosidase Inhibitors: QSAR, Molecular Docking, ADMET, and Molecular Dynamics Studies</w:t>
        </w:r>
      </w:hyperlink>
      <w:r>
        <w:rPr>
          <w:rFonts w:ascii="Calibri" w:cs="Calibri" w:eastAsia="Calibri" w:hAnsi="Calibri"/>
          <w:color w:val="5B6B7A"/>
          <w:sz w:val="21"/>
          <w:szCs w:val="21"/>
        </w:rPr>
        <w:t xml:space="preserve"> — Oussama Abchir et al., 2026; 1 citations</w:t>
      </w:r>
      <w:r>
        <w:rPr>
          <w:rFonts w:ascii="Calibri" w:cs="Calibri" w:eastAsia="Calibri" w:hAnsi="Calibri"/>
          <w:sz w:val="21"/>
          <w:szCs w:val="21"/>
        </w:rPr>
        <w:t xml:space="preserve">. A QSAR study with applicability-domain testing, replicated molecular dynamics and a flagged CYP3A4 risk, which is rare for imidazole-fused work.</w:t>
      </w:r>
    </w:p>
    <w:p>
      <w:pPr>
        <w:pStyle w:val="ListParagraph"/>
        <w:numPr>
          <w:ilvl w:val="0"/>
          <w:numId w:val="2"/>
        </w:numPr>
        <w:spacing w:after="70" w:line="258"/>
      </w:pPr>
      <w:hyperlink w:history="1" r:id="rIdobp1sl6uinisvwjqe9igy">
        <w:r>
          <w:rPr>
            <w:rStyle w:val="Hyperlink"/>
            <w:rFonts w:ascii="Calibri" w:cs="Calibri" w:eastAsia="Calibri" w:hAnsi="Calibri"/>
            <w:sz w:val="21"/>
            <w:szCs w:val="21"/>
          </w:rPr>
          <w:t xml:space="preserve">Machine learning-aided generative molecular design</w:t>
        </w:r>
      </w:hyperlink>
      <w:r>
        <w:rPr>
          <w:rFonts w:ascii="Calibri" w:cs="Calibri" w:eastAsia="Calibri" w:hAnsi="Calibri"/>
          <w:color w:val="5B6B7A"/>
          <w:sz w:val="21"/>
          <w:szCs w:val="21"/>
        </w:rPr>
        <w:t xml:space="preserve"> — Yuanqi Du et al., 2024; 213 citations</w:t>
      </w:r>
      <w:r>
        <w:rPr>
          <w:rFonts w:ascii="Calibri" w:cs="Calibri" w:eastAsia="Calibri" w:hAnsi="Calibri"/>
          <w:sz w:val="21"/>
          <w:szCs w:val="21"/>
        </w:rPr>
        <w:t xml:space="preserve">. A widely cited review of machine-learning-aided generative design (213 citations) for context beyond imidazoles.</w:t>
      </w:r>
    </w:p>
    <w:p>
      <w:pPr>
        <w:spacing w:after="60"/>
      </w:pPr>
    </w:p>
    <w:p>
      <w:pPr>
        <w:pStyle w:val="Heading3"/>
        <w:keepNext/>
      </w:pPr>
      <w:r>
        <w:rPr>
          <w:rFonts w:ascii="Calibri" w:cs="Calibri" w:eastAsia="Calibri" w:hAnsi="Calibri"/>
        </w:rPr>
        <w:t xml:space="preserve">4c. Search terms</w:t>
      </w:r>
    </w:p>
    <w:p>
      <w:pPr>
        <w:spacing w:after="120" w:before="0" w:line="264"/>
        <w:jc w:val="left"/>
      </w:pPr>
      <w:r>
        <w:rPr>
          <w:rFonts w:ascii="Calibri" w:cs="Calibri" w:eastAsia="Calibri" w:hAnsi="Calibri"/>
          <w:sz w:val="21"/>
          <w:szCs w:val="21"/>
        </w:rPr>
        <w:t xml:space="preserve">QSAR imidazole; Q-RASAR benzimidazole; 3D-QSAR trisubstituted imidazole; pharmacophore virtual screening benzimidazole; machine learning classification nitroimidazole; generative design imidazole; applicability domain QSAR; machine-learning docking surrogate; prospective validation machine learning drug discovery; ChEMBL benzimidazole bioactivity model.</w:t>
      </w:r>
    </w:p>
    <w:p>
      <w:pPr>
        <w:pStyle w:val="Heading3"/>
        <w:keepNext/>
      </w:pPr>
      <w:r>
        <w:rPr>
          <w:rFonts w:ascii="Calibri" w:cs="Calibri" w:eastAsia="Calibri" w:hAnsi="Calibri"/>
        </w:rPr>
        <w:t xml:space="preserve">4d. Boolean search strings</w:t>
      </w:r>
    </w:p>
    <w:p>
      <w:pPr>
        <w:pBdr>
          <w:left w:val="single" w:color="1F7A8C" w:sz="12" w:space="6"/>
        </w:pBdr>
        <w:shd w:fill="F1F4F7" w:color="auto" w:val="clear"/>
        <w:spacing w:after="0" w:line="250"/>
        <w:ind w:left="120"/>
      </w:pPr>
      <w:r>
        <w:rPr>
          <w:rFonts w:ascii="Consolas" w:cs="Consolas" w:eastAsia="Consolas" w:hAnsi="Consolas"/>
          <w:sz w:val="19"/>
          <w:szCs w:val="19"/>
        </w:rPr>
        <w:t xml:space="preserve">(QSAR OR "machine learning" OR "deep learning") AND (imidazole OR benzimidazole OR imidazopyridine) AND (synthesis OR "in vitro" OR "experimental validation")</w:t>
      </w:r>
    </w:p>
    <w:p>
      <w:pPr>
        <w:spacing w:after="120"/>
      </w:pPr>
    </w:p>
    <w:p>
      <w:pPr>
        <w:pBdr>
          <w:left w:val="single" w:color="1F7A8C" w:sz="12" w:space="6"/>
        </w:pBdr>
        <w:shd w:fill="F1F4F7" w:color="auto" w:val="clear"/>
        <w:spacing w:after="0" w:line="250"/>
        <w:ind w:left="120"/>
      </w:pPr>
      <w:r>
        <w:rPr>
          <w:rFonts w:ascii="Consolas" w:cs="Consolas" w:eastAsia="Consolas" w:hAnsi="Consolas"/>
          <w:sz w:val="19"/>
          <w:szCs w:val="19"/>
        </w:rPr>
        <w:t xml:space="preserve">("generative design" OR "de novo design") AND (imidazole OR heterocycle) AND ("synthesised" OR "experimentally validated") AND ("docking" OR "binding affinity")</w:t>
      </w:r>
    </w:p>
    <w:p>
      <w:pPr>
        <w:spacing w:after="120"/>
      </w:pPr>
    </w:p>
    <w:p>
      <w:pPr>
        <w:pStyle w:val="Heading1"/>
        <w:keepNext/>
      </w:pPr>
      <w:r>
        <w:rPr>
          <w:rFonts w:ascii="Calibri" w:cs="Calibri" w:eastAsia="Calibri" w:hAnsi="Calibri"/>
        </w:rPr>
        <w:t xml:space="preserve">5. Key Research Groups</w:t>
      </w:r>
    </w:p>
    <w:p>
      <w:pPr>
        <w:spacing w:after="120" w:before="0" w:line="264"/>
        <w:jc w:val="left"/>
      </w:pPr>
      <w:r>
        <w:rPr>
          <w:rFonts w:ascii="Calibri" w:cs="Calibri" w:eastAsia="Calibri" w:hAnsi="Calibri"/>
          <w:sz w:val="21"/>
          <w:szCs w:val="21"/>
        </w:rPr>
        <w:t xml:space="preserve">Consensus returns only the first author of each record, so the clusters below are recurrences of a first author across the 377 papers received. They are leads to follow, not verified laboratories. Affiliations are given only where the full text of a preprint was read.</w:t>
      </w:r>
    </w:p>
    <w:p>
      <w:pPr>
        <w:pStyle w:val="Heading2"/>
        <w:keepNext/>
      </w:pPr>
      <w:r>
        <w:rPr>
          <w:rFonts w:ascii="Calibri" w:cs="Calibri" w:eastAsia="Calibri" w:hAnsi="Calibri"/>
        </w:rPr>
        <w:t xml:space="preserve">5.1 Dalbanjan et al.</w:t>
      </w:r>
    </w:p>
    <w:p>
      <w:pPr>
        <w:spacing w:after="120" w:before="0" w:line="264"/>
        <w:jc w:val="left"/>
      </w:pPr>
      <w:r>
        <w:rPr>
          <w:rFonts w:ascii="Calibri" w:cs="Calibri" w:eastAsia="Calibri" w:hAnsi="Calibri"/>
          <w:sz w:val="21"/>
          <w:szCs w:val="21"/>
        </w:rPr>
        <w:t xml:space="preserve">Three papers with this first author were returned, all from 2025, one of which is in the selected set. It pairs biochemical assays with computational analysis of quinoline-appended imidazoles and reports that none of the compounds outperformed the standard drugs (</w:t>
      </w:r>
      <w:hyperlink w:history="1" r:id="rIdpw0vfzkgrwre8msx5_i9r">
        <w:r>
          <w:rPr>
            <w:rStyle w:val="Hyperlink"/>
            <w:rFonts w:ascii="Calibri" w:cs="Calibri" w:eastAsia="Calibri" w:hAnsi="Calibri"/>
            <w:sz w:val="21"/>
            <w:szCs w:val="21"/>
          </w:rPr>
          <w:t xml:space="preserve">Biochemical and Computational Insights into the Therapeutic Potencies of Quinoline Appended Imidazole Compounds</w:t>
        </w:r>
      </w:hyperlink>
      <w:r>
        <w:rPr>
          <w:rFonts w:ascii="Calibri" w:cs="Calibri" w:eastAsia="Calibri" w:hAnsi="Calibri"/>
          <w:color w:val="5B6B7A"/>
          <w:sz w:val="21"/>
          <w:szCs w:val="21"/>
        </w:rPr>
        <w:t xml:space="preserve"> — N. P. Dalbanjan et al., 2025; 17 citations</w:t>
      </w:r>
      <w:r>
        <w:rPr>
          <w:rFonts w:ascii="Calibri" w:cs="Calibri" w:eastAsia="Calibri" w:hAnsi="Calibri"/>
          <w:sz w:val="21"/>
          <w:szCs w:val="21"/>
        </w:rPr>
        <w:t xml:space="preserve">). Start here to see how a candid negative result is written.</w:t>
      </w:r>
    </w:p>
    <w:p>
      <w:pPr>
        <w:pStyle w:val="Heading2"/>
        <w:keepNext/>
      </w:pPr>
      <w:r>
        <w:rPr>
          <w:rFonts w:ascii="Calibri" w:cs="Calibri" w:eastAsia="Calibri" w:hAnsi="Calibri"/>
        </w:rPr>
        <w:t xml:space="preserve">5.2 Dwarakanath et al.</w:t>
      </w:r>
    </w:p>
    <w:p>
      <w:pPr>
        <w:spacing w:after="120" w:before="0" w:line="264"/>
        <w:jc w:val="left"/>
      </w:pPr>
      <w:r>
        <w:rPr>
          <w:rFonts w:ascii="Calibri" w:cs="Calibri" w:eastAsia="Calibri" w:hAnsi="Calibri"/>
          <w:sz w:val="21"/>
          <w:szCs w:val="21"/>
        </w:rPr>
        <w:t xml:space="preserve">Two papers, 2024 and 2025, on imidazo[2,1-b][1,3,4]thiadiazole and imidazole–thiazole series that combine antimicrobial and anticancer testing with in silico work (</w:t>
      </w:r>
      <w:hyperlink w:history="1" r:id="rId8agfqjqndx8e4t8qnzc7p">
        <w:r>
          <w:rPr>
            <w:rStyle w:val="Hyperlink"/>
            <w:rFonts w:ascii="Calibri" w:cs="Calibri" w:eastAsia="Calibri" w:hAnsi="Calibri"/>
            <w:sz w:val="21"/>
            <w:szCs w:val="21"/>
          </w:rPr>
          <w:t xml:space="preserve">In vitro and in silico insights into antimicrobial and anticancer activities of novel imidazo[2,1-b][1,3,4]thiadiazoles</w:t>
        </w:r>
      </w:hyperlink>
      <w:r>
        <w:rPr>
          <w:rFonts w:ascii="Calibri" w:cs="Calibri" w:eastAsia="Calibri" w:hAnsi="Calibri"/>
          <w:color w:val="5B6B7A"/>
          <w:sz w:val="21"/>
          <w:szCs w:val="21"/>
        </w:rPr>
        <w:t xml:space="preserve"> — Deepika Dwarakanath et al., 2024; 5 citations</w:t>
      </w:r>
      <w:r>
        <w:rPr>
          <w:rFonts w:ascii="Calibri" w:cs="Calibri" w:eastAsia="Calibri" w:hAnsi="Calibri"/>
          <w:sz w:val="21"/>
          <w:szCs w:val="21"/>
        </w:rPr>
        <w:t xml:space="preserve">; </w:t>
      </w:r>
      <w:hyperlink w:history="1" r:id="rId9vokvpmtmev2aknsk5qvq">
        <w:r>
          <w:rPr>
            <w:rStyle w:val="Hyperlink"/>
            <w:rFonts w:ascii="Calibri" w:cs="Calibri" w:eastAsia="Calibri" w:hAnsi="Calibri"/>
            <w:sz w:val="21"/>
            <w:szCs w:val="21"/>
          </w:rPr>
          <w:t xml:space="preserve">Synthesis, characterization and in silico studies of novel multifunctional imidazole-thiazole hybrids with potent antimicrobial and anticancer properties</w:t>
        </w:r>
      </w:hyperlink>
      <w:r>
        <w:rPr>
          <w:rFonts w:ascii="Calibri" w:cs="Calibri" w:eastAsia="Calibri" w:hAnsi="Calibri"/>
          <w:color w:val="5B6B7A"/>
          <w:sz w:val="21"/>
          <w:szCs w:val="21"/>
        </w:rPr>
        <w:t xml:space="preserve"> — Deepika Dwarakanath et al., 2025; 10 citations; returned by 3 searches</w:t>
      </w:r>
      <w:r>
        <w:rPr>
          <w:rFonts w:ascii="Calibri" w:cs="Calibri" w:eastAsia="Calibri" w:hAnsi="Calibri"/>
          <w:sz w:val="21"/>
          <w:szCs w:val="21"/>
        </w:rPr>
        <w:t xml:space="preserve">). Values reported across the two include MIC values of 0.14 to 0.59 mM and cytotoxicity IC50 values of 35.81 and 33.52 µM, so they are useful practice for judging how a "promising" series compares with a reference drug.</w:t>
      </w:r>
    </w:p>
    <w:p>
      <w:pPr>
        <w:pStyle w:val="Heading2"/>
        <w:keepNext/>
      </w:pPr>
      <w:r>
        <w:rPr>
          <w:rFonts w:ascii="Calibri" w:cs="Calibri" w:eastAsia="Calibri" w:hAnsi="Calibri"/>
        </w:rPr>
        <w:t xml:space="preserve">5.3 Panda et al.</w:t>
      </w:r>
    </w:p>
    <w:p>
      <w:pPr>
        <w:spacing w:after="120" w:before="0" w:line="264"/>
        <w:jc w:val="left"/>
      </w:pPr>
      <w:r>
        <w:rPr>
          <w:rFonts w:ascii="Calibri" w:cs="Calibri" w:eastAsia="Calibri" w:hAnsi="Calibri"/>
          <w:sz w:val="21"/>
          <w:szCs w:val="21"/>
        </w:rPr>
        <w:t xml:space="preserve">Two papers, 2025 and 2026: a design, synthesis and computational study of vanillyl–imidazolidinyl–sulfamethoxazole derivatives (</w:t>
      </w:r>
      <w:hyperlink w:history="1" r:id="rIdpot5kbwbcpfqhnr223nse">
        <w:r>
          <w:rPr>
            <w:rStyle w:val="Hyperlink"/>
            <w:rFonts w:ascii="Calibri" w:cs="Calibri" w:eastAsia="Calibri" w:hAnsi="Calibri"/>
            <w:sz w:val="21"/>
            <w:szCs w:val="21"/>
          </w:rPr>
          <w:t xml:space="preserve">Design, synthesis and computational approach of vanillyl–imidazolidinyl–sulfamethoxazole derivatives as potent antimicrobial candidates tackling microbial resistance</w:t>
        </w:r>
      </w:hyperlink>
      <w:r>
        <w:rPr>
          <w:rFonts w:ascii="Calibri" w:cs="Calibri" w:eastAsia="Calibri" w:hAnsi="Calibri"/>
          <w:color w:val="5B6B7A"/>
          <w:sz w:val="21"/>
          <w:szCs w:val="21"/>
        </w:rPr>
        <w:t xml:space="preserve"> — Preetesh Kumar Panda et al., 2025; 10 citations</w:t>
      </w:r>
      <w:r>
        <w:rPr>
          <w:rFonts w:ascii="Calibri" w:cs="Calibri" w:eastAsia="Calibri" w:hAnsi="Calibri"/>
          <w:sz w:val="21"/>
          <w:szCs w:val="21"/>
        </w:rPr>
        <w:t xml:space="preserve">) and a review of the imidazolone pharmacophore (</w:t>
      </w:r>
      <w:hyperlink w:history="1" r:id="rIdvj9as8utakzefijfl_4bv">
        <w:r>
          <w:rPr>
            <w:rStyle w:val="Hyperlink"/>
            <w:rFonts w:ascii="Calibri" w:cs="Calibri" w:eastAsia="Calibri" w:hAnsi="Calibri"/>
            <w:sz w:val="21"/>
            <w:szCs w:val="21"/>
          </w:rPr>
          <w:t xml:space="preserve">The State of Imidazolone as an Evolving Pharmacophore: Current Progress and Clinical Significance in Oncology and AMR</w:t>
        </w:r>
      </w:hyperlink>
      <w:r>
        <w:rPr>
          <w:rFonts w:ascii="Calibri" w:cs="Calibri" w:eastAsia="Calibri" w:hAnsi="Calibri"/>
          <w:color w:val="5B6B7A"/>
          <w:sz w:val="21"/>
          <w:szCs w:val="21"/>
        </w:rPr>
        <w:t xml:space="preserve"> — Preetesh Kumar Panda et al., 2026; 1 citations; returned by 2 searches</w:t>
      </w:r>
      <w:r>
        <w:rPr>
          <w:rFonts w:ascii="Calibri" w:cs="Calibri" w:eastAsia="Calibri" w:hAnsi="Calibri"/>
          <w:sz w:val="21"/>
          <w:szCs w:val="21"/>
        </w:rPr>
        <w:t xml:space="preserve">). Read the review for the imidazolone landscape and the primary paper for how the computational part is reported.</w:t>
      </w:r>
    </w:p>
    <w:p>
      <w:pPr>
        <w:pStyle w:val="Heading2"/>
        <w:keepNext/>
      </w:pPr>
      <w:r>
        <w:rPr>
          <w:rFonts w:ascii="Calibri" w:cs="Calibri" w:eastAsia="Calibri" w:hAnsi="Calibri"/>
        </w:rPr>
        <w:t xml:space="preserve">5.4 Çelik and Işık</w:t>
      </w:r>
    </w:p>
    <w:p>
      <w:pPr>
        <w:spacing w:after="120" w:before="0" w:line="264"/>
        <w:jc w:val="left"/>
      </w:pPr>
      <w:r>
        <w:rPr>
          <w:rFonts w:ascii="Calibri" w:cs="Calibri" w:eastAsia="Calibri" w:hAnsi="Calibri"/>
          <w:sz w:val="21"/>
          <w:szCs w:val="21"/>
        </w:rPr>
        <w:t xml:space="preserve">Two first-author clusters, each with two papers in the 377 (I. Çelik 2021 and 2022; A. Işık 2018 and 2024), publish benzimidazole-based antimicrobial studies that combine synthesis with DFT, docking and, in one case, molecular dynamics (</w:t>
      </w:r>
      <w:hyperlink w:history="1" r:id="rIdkrltte8mzqonm7j6uczxs">
        <w:r>
          <w:rPr>
            <w:rStyle w:val="Hyperlink"/>
            <w:rFonts w:ascii="Calibri" w:cs="Calibri" w:eastAsia="Calibri" w:hAnsi="Calibri"/>
            <w:sz w:val="21"/>
            <w:szCs w:val="21"/>
          </w:rPr>
          <w:t xml:space="preserve">Synthesis, Molecular Docking, Dynamics, Quantum-Chemical Computation, and Antimicrobial Activity Studies of Some New Benzimidazole–Thiadiazole Hybrids</w:t>
        </w:r>
      </w:hyperlink>
      <w:r>
        <w:rPr>
          <w:rFonts w:ascii="Calibri" w:cs="Calibri" w:eastAsia="Calibri" w:hAnsi="Calibri"/>
          <w:color w:val="5B6B7A"/>
          <w:sz w:val="21"/>
          <w:szCs w:val="21"/>
        </w:rPr>
        <w:t xml:space="preserve"> — I. Celik et al., 2022; 31 citations</w:t>
      </w:r>
      <w:r>
        <w:rPr>
          <w:rFonts w:ascii="Calibri" w:cs="Calibri" w:eastAsia="Calibri" w:hAnsi="Calibri"/>
          <w:sz w:val="21"/>
          <w:szCs w:val="21"/>
        </w:rPr>
        <w:t xml:space="preserve">; </w:t>
      </w:r>
      <w:hyperlink w:history="1" r:id="rId0nrft7g__qwgmwkbkjeg8">
        <w:r>
          <w:rPr>
            <w:rStyle w:val="Hyperlink"/>
            <w:rFonts w:ascii="Calibri" w:cs="Calibri" w:eastAsia="Calibri" w:hAnsi="Calibri"/>
            <w:sz w:val="21"/>
            <w:szCs w:val="21"/>
          </w:rPr>
          <w:t xml:space="preserve">Synthesis, DFT Calculations, In Silico Studies, and Antimicrobial Evaluation of Benzimidazole-Thiadiazole Derivatives</w:t>
        </w:r>
      </w:hyperlink>
      <w:r>
        <w:rPr>
          <w:rFonts w:ascii="Calibri" w:cs="Calibri" w:eastAsia="Calibri" w:hAnsi="Calibri"/>
          <w:color w:val="5B6B7A"/>
          <w:sz w:val="21"/>
          <w:szCs w:val="21"/>
        </w:rPr>
        <w:t xml:space="preserve"> — A. Işık et al., 2024; 32 citations</w:t>
      </w:r>
      <w:r>
        <w:rPr>
          <w:rFonts w:ascii="Calibri" w:cs="Calibri" w:eastAsia="Calibri" w:hAnsi="Calibri"/>
          <w:sz w:val="21"/>
          <w:szCs w:val="21"/>
        </w:rPr>
        <w:t xml:space="preserve">). We did not verify whether they are the same laboratory. The 2022 paper is a good example of a DFT frontier-orbital gap being linked to activity.</w:t>
      </w:r>
    </w:p>
    <w:p>
      <w:pPr>
        <w:pStyle w:val="Heading2"/>
        <w:keepNext/>
      </w:pPr>
      <w:r>
        <w:rPr>
          <w:rFonts w:ascii="Calibri" w:cs="Calibri" w:eastAsia="Calibri" w:hAnsi="Calibri"/>
        </w:rPr>
        <w:t xml:space="preserve">5.5 The benchmarking preprints: Wan and Coveney; Elton and Estep; Zheng and colleagues; Kopko and colleagues</w:t>
      </w:r>
    </w:p>
    <w:p>
      <w:pPr>
        <w:spacing w:after="120" w:before="0" w:line="264"/>
        <w:jc w:val="left"/>
      </w:pPr>
      <w:r>
        <w:rPr>
          <w:rFonts w:ascii="Calibri" w:cs="Calibri" w:eastAsia="Calibri" w:hAnsi="Calibri"/>
          <w:sz w:val="21"/>
          <w:szCs w:val="21"/>
        </w:rPr>
        <w:t xml:space="preserve">This is a convergence of results and not one group. Wan and Coveney (Centre for Computational Science, University College London) compare Boltz-2 with ensemble free-energy simulations (</w:t>
      </w:r>
      <w:hyperlink w:history="1" r:id="rIdj0vhlz5jrge1b9osdqenh">
        <w:r>
          <w:rPr>
            <w:rStyle w:val="Hyperlink"/>
            <w:rFonts w:ascii="Calibri" w:cs="Calibri" w:eastAsia="Calibri" w:hAnsi="Calibri"/>
            <w:sz w:val="21"/>
            <w:szCs w:val="21"/>
          </w:rPr>
          <w:t xml:space="preserve">On the Reliability of AI Methods in Drug Discovery: Evaluation of Boltz-2 for Structure and Binding Affinity Prediction</w:t>
        </w:r>
      </w:hyperlink>
      <w:r>
        <w:rPr>
          <w:rFonts w:ascii="Calibri" w:cs="Calibri" w:eastAsia="Calibri" w:hAnsi="Calibri"/>
          <w:color w:val="5B6B7A"/>
          <w:sz w:val="21"/>
          <w:szCs w:val="21"/>
        </w:rPr>
        <w:t xml:space="preserve"> — Shunzhou Wan et al., 2026; arXiv:2603.05532 [physics.chem-ph], 2 Mar 2026</w:t>
      </w:r>
      <w:r>
        <w:rPr>
          <w:rFonts w:ascii="Calibri" w:cs="Calibri" w:eastAsia="Calibri" w:hAnsi="Calibri"/>
          <w:sz w:val="21"/>
          <w:szCs w:val="21"/>
        </w:rPr>
        <w:t xml:space="preserve">); Elton and Estep (Rapid Deployment Vaccine Collaborative) benchmark 15 open-source docking and screening tools on antiviral compounds (</w:t>
      </w:r>
      <w:hyperlink w:history="1" r:id="rIdppg_sz9z1mvnvxabu70er">
        <w:r>
          <w:rPr>
            <w:rStyle w:val="Hyperlink"/>
            <w:rFonts w:ascii="Calibri" w:cs="Calibri" w:eastAsia="Calibri" w:hAnsi="Calibri"/>
            <w:sz w:val="21"/>
            <w:szCs w:val="21"/>
          </w:rPr>
          <w:t xml:space="preserve">Benchmarking open-source tools for in silico antiviral drug discovery</w:t>
        </w:r>
      </w:hyperlink>
      <w:r>
        <w:rPr>
          <w:rFonts w:ascii="Calibri" w:cs="Calibri" w:eastAsia="Calibri" w:hAnsi="Calibri"/>
          <w:color w:val="5B6B7A"/>
          <w:sz w:val="21"/>
          <w:szCs w:val="21"/>
        </w:rPr>
        <w:t xml:space="preserve"> — Daniel C. Elton et al., 2026; arXiv:2605.04265 [q-bio.BM], 5 May 2026</w:t>
      </w:r>
      <w:r>
        <w:rPr>
          <w:rFonts w:ascii="Calibri" w:cs="Calibri" w:eastAsia="Calibri" w:hAnsi="Calibri"/>
          <w:sz w:val="21"/>
          <w:szCs w:val="21"/>
        </w:rPr>
        <w:t xml:space="preserve">); Zheng and colleagues test ADMET models on structurally distant scaffolds (</w:t>
      </w:r>
      <w:hyperlink w:history="1" r:id="rId1qpavxpy9muo4b8o3biiw">
        <w:r>
          <w:rPr>
            <w:rStyle w:val="Hyperlink"/>
            <w:rFonts w:ascii="Calibri" w:cs="Calibri" w:eastAsia="Calibri" w:hAnsi="Calibri"/>
            <w:sz w:val="21"/>
            <w:szCs w:val="21"/>
          </w:rPr>
          <w:t xml:space="preserve">Beyond Scaffold Splits: Structural-Frontier Evaluation Reveals Hidden Failures in ADMET Models</w:t>
        </w:r>
      </w:hyperlink>
      <w:r>
        <w:rPr>
          <w:rFonts w:ascii="Calibri" w:cs="Calibri" w:eastAsia="Calibri" w:hAnsi="Calibri"/>
          <w:color w:val="5B6B7A"/>
          <w:sz w:val="21"/>
          <w:szCs w:val="21"/>
        </w:rPr>
        <w:t xml:space="preserve"> — Jiacheng Zheng et al., 2026; arXiv:2607.10729v4 [cs.LG], 6 Oct 2026</w:t>
      </w:r>
      <w:r>
        <w:rPr>
          <w:rFonts w:ascii="Calibri" w:cs="Calibri" w:eastAsia="Calibri" w:hAnsi="Calibri"/>
          <w:sz w:val="21"/>
          <w:szCs w:val="21"/>
        </w:rPr>
        <w:t xml:space="preserve">); Kopko and colleagues test machine-learning scoring functions on unseen targets (</w:t>
      </w:r>
      <w:hyperlink w:history="1" r:id="rIdkvygetusuztzj_nkbtxrl">
        <w:r>
          <w:rPr>
            <w:rStyle w:val="Hyperlink"/>
            <w:rFonts w:ascii="Calibri" w:cs="Calibri" w:eastAsia="Calibri" w:hAnsi="Calibri"/>
            <w:sz w:val="21"/>
            <w:szCs w:val="21"/>
          </w:rPr>
          <w:t xml:space="preserve">Generalization Beyond Benchmarks: Evaluating Learnable Protein-Ligand Scoring Functions on Unseen Targets</w:t>
        </w:r>
      </w:hyperlink>
      <w:r>
        <w:rPr>
          <w:rFonts w:ascii="Calibri" w:cs="Calibri" w:eastAsia="Calibri" w:hAnsi="Calibri"/>
          <w:color w:val="5B6B7A"/>
          <w:sz w:val="21"/>
          <w:szCs w:val="21"/>
        </w:rPr>
        <w:t xml:space="preserve"> — Jakub Kopko et al., 2025; arXiv:2512.05386 [cs.LG], 5 Dec 2025</w:t>
      </w:r>
      <w:r>
        <w:rPr>
          <w:rFonts w:ascii="Calibri" w:cs="Calibri" w:eastAsia="Calibri" w:hAnsi="Calibri"/>
          <w:sz w:val="21"/>
          <w:szCs w:val="21"/>
        </w:rPr>
        <w:t xml:space="preserve">). Affiliations are as printed in the preprints we read. All four are preprints and have not been peer reviewed.</w:t>
      </w:r>
    </w:p>
    <w:p>
      <w:pPr>
        <w:pStyle w:val="Heading1"/>
        <w:keepNext/>
      </w:pPr>
      <w:r>
        <w:rPr>
          <w:rFonts w:ascii="Calibri" w:cs="Calibri" w:eastAsia="Calibri" w:hAnsi="Calibri"/>
        </w:rPr>
        <w:t xml:space="preserve">6. Open Questions and Gaps</w:t>
      </w:r>
    </w:p>
    <w:p>
      <w:pPr>
        <w:pStyle w:val="Heading2"/>
        <w:keepNext/>
      </w:pPr>
      <w:r>
        <w:rPr>
          <w:rFonts w:ascii="Calibri" w:cs="Calibri" w:eastAsia="Calibri" w:hAnsi="Calibri"/>
        </w:rPr>
        <w:t xml:space="preserve">6.1 Methodological gaps</w:t>
      </w:r>
    </w:p>
    <w:p>
      <w:pPr>
        <w:pStyle w:val="ListParagraph"/>
        <w:numPr>
          <w:ilvl w:val="0"/>
          <w:numId w:val="2"/>
        </w:numPr>
        <w:spacing w:after="70" w:line="258"/>
      </w:pPr>
      <w:r>
        <w:rPr>
          <w:rFonts w:ascii="Calibri" w:cs="Calibri" w:eastAsia="Calibri" w:hAnsi="Calibri"/>
          <w:b/>
          <w:bCs/>
          <w:sz w:val="21"/>
          <w:szCs w:val="21"/>
        </w:rPr>
        <w:t xml:space="preserve">Docked targets are often not measured.</w:t>
      </w:r>
      <w:r>
        <w:rPr>
          <w:rFonts w:ascii="Calibri" w:cs="Calibri" w:eastAsia="Calibri" w:hAnsi="Calibri"/>
          <w:sz w:val="21"/>
          <w:szCs w:val="21"/>
        </w:rPr>
        <w:t xml:space="preserve"> In a keyword screen of the abstracts of 56 primary studies in the selected set (our own coding, approximate and lower-bound), 51 reported docking, but the docked protein was also measured in an assay in 25 of those 51, and in only 2 of 14 antimicrobial studies; 2 of 56 reported any in vivo result. The companion review article gives the method and the breakdown.</w:t>
      </w:r>
    </w:p>
    <w:p>
      <w:pPr>
        <w:pStyle w:val="ListParagraph"/>
        <w:numPr>
          <w:ilvl w:val="0"/>
          <w:numId w:val="2"/>
        </w:numPr>
        <w:spacing w:after="70" w:line="258"/>
      </w:pPr>
      <w:r>
        <w:rPr>
          <w:rFonts w:ascii="Calibri" w:cs="Calibri" w:eastAsia="Calibri" w:hAnsi="Calibri"/>
          <w:b/>
          <w:bCs/>
          <w:sz w:val="21"/>
          <w:szCs w:val="21"/>
        </w:rPr>
        <w:t xml:space="preserve">Docking scores read as potency.</w:t>
      </w:r>
      <w:r>
        <w:rPr>
          <w:rFonts w:ascii="Calibri" w:cs="Calibri" w:eastAsia="Calibri" w:hAnsi="Calibri"/>
          <w:sz w:val="21"/>
          <w:szCs w:val="21"/>
        </w:rPr>
        <w:t xml:space="preserve"> Independent benchmarks show weak score–affinity correlations and hit rates that fall at the best scores </w:t>
      </w:r>
      <w:r>
        <w:rPr>
          <w:rFonts w:ascii="Calibri" w:cs="Calibri" w:eastAsia="Calibri" w:hAnsi="Calibri"/>
          <w:b/>
          <w:bCs/>
          <w:sz w:val="21"/>
          <w:szCs w:val="21"/>
        </w:rPr>
        <w:t xml:space="preserve">(Moesgaard et al., 2026; Kopko et al., 2025 (preprint); Elton and Estep, 2026 (preprint))</w:t>
      </w:r>
      <w:r>
        <w:rPr>
          <w:rFonts w:ascii="Calibri" w:cs="Calibri" w:eastAsia="Calibri" w:hAnsi="Calibri"/>
          <w:sz w:val="21"/>
          <w:szCs w:val="21"/>
        </w:rPr>
        <w:t xml:space="preserve">. We found no benchmark built on imidazole-specific data, and protonation and tautomer handling are a recognised failure point for this ring </w:t>
      </w:r>
      <w:r>
        <w:rPr>
          <w:rFonts w:ascii="Calibri" w:cs="Calibri" w:eastAsia="Calibri" w:hAnsi="Calibri"/>
          <w:b/>
          <w:bCs/>
          <w:sz w:val="21"/>
          <w:szCs w:val="21"/>
        </w:rPr>
        <w:t xml:space="preserve">(Altharawi et al., 2026)</w:t>
      </w:r>
      <w:r>
        <w:rPr>
          <w:rFonts w:ascii="Calibri" w:cs="Calibri" w:eastAsia="Calibri" w:hAnsi="Calibri"/>
          <w:sz w:val="21"/>
          <w:szCs w:val="21"/>
        </w:rPr>
        <w:t xml:space="preserve">. A test of scoring functions on imidazole sets with known affinities and explicit tautomer states would fill a real gap.</w:t>
      </w:r>
    </w:p>
    <w:p>
      <w:pPr>
        <w:pStyle w:val="ListParagraph"/>
        <w:numPr>
          <w:ilvl w:val="0"/>
          <w:numId w:val="2"/>
        </w:numPr>
        <w:spacing w:after="70" w:line="258"/>
      </w:pPr>
      <w:r>
        <w:rPr>
          <w:rFonts w:ascii="Calibri" w:cs="Calibri" w:eastAsia="Calibri" w:hAnsi="Calibri"/>
          <w:b/>
          <w:bCs/>
          <w:sz w:val="21"/>
          <w:szCs w:val="21"/>
        </w:rPr>
        <w:t xml:space="preserve">Molecular dynamics stability read as evidence of activity.</w:t>
      </w:r>
      <w:r>
        <w:rPr>
          <w:rFonts w:ascii="Calibri" w:cs="Calibri" w:eastAsia="Calibri" w:hAnsi="Calibri"/>
          <w:sz w:val="21"/>
          <w:szCs w:val="21"/>
        </w:rPr>
        <w:t xml:space="preserve"> Typical studies run 100 to 200 ns on a single docked pose of one or a few compounds </w:t>
      </w:r>
      <w:r>
        <w:rPr>
          <w:rFonts w:ascii="Calibri" w:cs="Calibri" w:eastAsia="Calibri" w:hAnsi="Calibri"/>
          <w:b/>
          <w:bCs/>
          <w:sz w:val="21"/>
          <w:szCs w:val="21"/>
        </w:rPr>
        <w:t xml:space="preserve">(Mareguddi et al., 2026; Celik et al., 2022)</w:t>
      </w:r>
      <w:r>
        <w:rPr>
          <w:rFonts w:ascii="Calibri" w:cs="Calibri" w:eastAsia="Calibri" w:hAnsi="Calibri"/>
          <w:sz w:val="21"/>
          <w:szCs w:val="21"/>
        </w:rPr>
        <w:t xml:space="preserve">. Whether stability tracks potency depends on protocol and system </w:t>
      </w:r>
      <w:r>
        <w:rPr>
          <w:rFonts w:ascii="Calibri" w:cs="Calibri" w:eastAsia="Calibri" w:hAnsi="Calibri"/>
          <w:b/>
          <w:bCs/>
          <w:sz w:val="21"/>
          <w:szCs w:val="21"/>
        </w:rPr>
        <w:t xml:space="preserve">(Bello et al., 2023; Wang et al., 2019)</w:t>
      </w:r>
      <w:r>
        <w:rPr>
          <w:rFonts w:ascii="Calibri" w:cs="Calibri" w:eastAsia="Calibri" w:hAnsi="Calibri"/>
          <w:sz w:val="21"/>
          <w:szCs w:val="21"/>
        </w:rPr>
        <w:t xml:space="preserve">; replicated runs and a check against known affinities for the same target were not described in most of the abstracts we read.</w:t>
      </w:r>
    </w:p>
    <w:p>
      <w:pPr>
        <w:pStyle w:val="ListParagraph"/>
        <w:numPr>
          <w:ilvl w:val="0"/>
          <w:numId w:val="2"/>
        </w:numPr>
        <w:spacing w:after="70" w:line="258"/>
      </w:pPr>
      <w:r>
        <w:rPr>
          <w:rFonts w:ascii="Calibri" w:cs="Calibri" w:eastAsia="Calibri" w:hAnsi="Calibri"/>
          <w:b/>
          <w:bCs/>
          <w:sz w:val="21"/>
          <w:szCs w:val="21"/>
        </w:rPr>
        <w:t xml:space="preserve">Green-chemistry claims without metrics.</w:t>
      </w:r>
      <w:r>
        <w:rPr>
          <w:rFonts w:ascii="Calibri" w:cs="Calibri" w:eastAsia="Calibri" w:hAnsi="Calibri"/>
          <w:sz w:val="21"/>
          <w:szCs w:val="21"/>
        </w:rPr>
        <w:t xml:space="preserve"> Syntheses are called green on qualitative grounds, and comparisons between catalysts use yield and time </w:t>
      </w:r>
      <w:r>
        <w:rPr>
          <w:rFonts w:ascii="Calibri" w:cs="Calibri" w:eastAsia="Calibri" w:hAnsi="Calibri"/>
          <w:b/>
          <w:bCs/>
          <w:sz w:val="21"/>
          <w:szCs w:val="21"/>
        </w:rPr>
        <w:t xml:space="preserve">(Kaldybayeva et al., 2026; Patel et al., 2021)</w:t>
      </w:r>
      <w:r>
        <w:rPr>
          <w:rFonts w:ascii="Calibri" w:cs="Calibri" w:eastAsia="Calibri" w:hAnsi="Calibri"/>
          <w:sz w:val="21"/>
          <w:szCs w:val="21"/>
        </w:rPr>
        <w:t xml:space="preserve">. Quantified metrics (E-factor, atom economy) and scale-up data would be an easy contribution.</w:t>
      </w:r>
    </w:p>
    <w:p>
      <w:pPr>
        <w:pStyle w:val="ListParagraph"/>
        <w:numPr>
          <w:ilvl w:val="0"/>
          <w:numId w:val="2"/>
        </w:numPr>
        <w:spacing w:after="70" w:line="258"/>
      </w:pPr>
      <w:r>
        <w:rPr>
          <w:rFonts w:ascii="Calibri" w:cs="Calibri" w:eastAsia="Calibri" w:hAnsi="Calibri"/>
          <w:b/>
          <w:bCs/>
          <w:sz w:val="21"/>
          <w:szCs w:val="21"/>
        </w:rPr>
        <w:t xml:space="preserve">ADMET predictions outside their training chemistry.</w:t>
      </w:r>
      <w:r>
        <w:rPr>
          <w:rFonts w:ascii="Calibri" w:cs="Calibri" w:eastAsia="Calibri" w:hAnsi="Calibri"/>
          <w:sz w:val="21"/>
          <w:szCs w:val="21"/>
        </w:rPr>
        <w:t xml:space="preserve"> Free web servers are only "more or less" accurate, and structural-frontier splits expose failures that random splits hide </w:t>
      </w:r>
      <w:r>
        <w:rPr>
          <w:rFonts w:ascii="Calibri" w:cs="Calibri" w:eastAsia="Calibri" w:hAnsi="Calibri"/>
          <w:b/>
          <w:bCs/>
          <w:sz w:val="21"/>
          <w:szCs w:val="21"/>
        </w:rPr>
        <w:t xml:space="preserve">(Dulsat et al., 2023; Zheng et al., 2026 (preprint); Agrawal et al., 2026)</w:t>
      </w:r>
      <w:r>
        <w:rPr>
          <w:rFonts w:ascii="Calibri" w:cs="Calibri" w:eastAsia="Calibri" w:hAnsi="Calibri"/>
          <w:sz w:val="21"/>
          <w:szCs w:val="21"/>
        </w:rPr>
        <w:t xml:space="preserve">. An applicability domain was tested in at least one imidazole-fused QSAR study </w:t>
      </w:r>
      <w:r>
        <w:rPr>
          <w:rFonts w:ascii="Calibri" w:cs="Calibri" w:eastAsia="Calibri" w:hAnsi="Calibri"/>
          <w:b/>
          <w:bCs/>
          <w:sz w:val="21"/>
          <w:szCs w:val="21"/>
        </w:rPr>
        <w:t xml:space="preserve">(Abchir et al., 2026)</w:t>
      </w:r>
      <w:r>
        <w:rPr>
          <w:rFonts w:ascii="Calibri" w:cs="Calibri" w:eastAsia="Calibri" w:hAnsi="Calibri"/>
          <w:sz w:val="21"/>
          <w:szCs w:val="21"/>
        </w:rPr>
        <w:t xml:space="preserve">; stating it for ADMET predictions is an easy improvement.</w:t>
      </w:r>
    </w:p>
    <w:p>
      <w:pPr>
        <w:spacing w:after="60"/>
      </w:pPr>
    </w:p>
    <w:p>
      <w:pPr>
        <w:pStyle w:val="Heading2"/>
        <w:keepNext/>
      </w:pPr>
      <w:r>
        <w:rPr>
          <w:rFonts w:ascii="Calibri" w:cs="Calibri" w:eastAsia="Calibri" w:hAnsi="Calibri"/>
        </w:rPr>
        <w:t xml:space="preserve">6.2 Population and context gaps (chemical series, targets and biological systems)</w:t>
      </w:r>
    </w:p>
    <w:p>
      <w:pPr>
        <w:pStyle w:val="ListParagraph"/>
        <w:numPr>
          <w:ilvl w:val="0"/>
          <w:numId w:val="2"/>
        </w:numPr>
        <w:spacing w:after="70" w:line="258"/>
      </w:pPr>
      <w:r>
        <w:rPr>
          <w:rFonts w:ascii="Calibri" w:cs="Calibri" w:eastAsia="Calibri" w:hAnsi="Calibri"/>
          <w:b/>
          <w:bCs/>
          <w:sz w:val="21"/>
          <w:szCs w:val="21"/>
        </w:rPr>
        <w:t xml:space="preserve">A few scaffold–target pairs dominate.</w:t>
      </w:r>
      <w:r>
        <w:rPr>
          <w:rFonts w:ascii="Calibri" w:cs="Calibri" w:eastAsia="Calibri" w:hAnsi="Calibri"/>
          <w:sz w:val="21"/>
          <w:szCs w:val="21"/>
        </w:rPr>
        <w:t xml:space="preserve"> Benzimidazole and imidazo-fused kinase inhibitors, CYP51 antifungals, glucosamine-6-phosphate synthase antibacterials and α-amylase or α-glucosidase inhibitors account for much of the recent primary literature, and the same few crystal structures recur in their docking sections, for example EGFR entries 6LUD and 6V5N </w:t>
      </w:r>
      <w:r>
        <w:rPr>
          <w:rFonts w:ascii="Calibri" w:cs="Calibri" w:eastAsia="Calibri" w:hAnsi="Calibri"/>
          <w:b/>
          <w:bCs/>
          <w:sz w:val="21"/>
          <w:szCs w:val="21"/>
        </w:rPr>
        <w:t xml:space="preserve">(Sunil Kumar et al., 2026; Hekal et al., 2026; Antoniolli et al., 2026)</w:t>
      </w:r>
      <w:r>
        <w:rPr>
          <w:rFonts w:ascii="Calibri" w:cs="Calibri" w:eastAsia="Calibri" w:hAnsi="Calibri"/>
          <w:sz w:val="21"/>
          <w:szCs w:val="21"/>
        </w:rPr>
        <w:t xml:space="preserve">.</w:t>
      </w:r>
    </w:p>
    <w:p>
      <w:pPr>
        <w:pStyle w:val="ListParagraph"/>
        <w:numPr>
          <w:ilvl w:val="0"/>
          <w:numId w:val="2"/>
        </w:numPr>
        <w:spacing w:after="70" w:line="258"/>
      </w:pPr>
      <w:r>
        <w:rPr>
          <w:rFonts w:ascii="Calibri" w:cs="Calibri" w:eastAsia="Calibri" w:hAnsi="Calibri"/>
          <w:b/>
          <w:bCs/>
          <w:sz w:val="21"/>
          <w:szCs w:val="21"/>
        </w:rPr>
        <w:t xml:space="preserve">In vivo and pharmacokinetic data are scarce.</w:t>
      </w:r>
      <w:r>
        <w:rPr>
          <w:rFonts w:ascii="Calibri" w:cs="Calibri" w:eastAsia="Calibri" w:hAnsi="Calibri"/>
          <w:sz w:val="21"/>
          <w:szCs w:val="21"/>
        </w:rPr>
        <w:t xml:space="preserve"> The systematic review of imidazo[1,2-a]pyridines says so directly </w:t>
      </w:r>
      <w:r>
        <w:rPr>
          <w:rFonts w:ascii="Calibri" w:cs="Calibri" w:eastAsia="Calibri" w:hAnsi="Calibri"/>
          <w:b/>
          <w:bCs/>
          <w:sz w:val="21"/>
          <w:szCs w:val="21"/>
        </w:rPr>
        <w:t xml:space="preserve">(Antoniolli et al., 2026)</w:t>
      </w:r>
      <w:r>
        <w:rPr>
          <w:rFonts w:ascii="Calibri" w:cs="Calibri" w:eastAsia="Calibri" w:hAnsi="Calibri"/>
          <w:sz w:val="21"/>
          <w:szCs w:val="21"/>
        </w:rPr>
        <w:t xml:space="preserve">; the exceptions include an imidazothiazole–thiazolidinone series tested in a paw-oedema model and a benzimidazole lead tested in rodents </w:t>
      </w:r>
      <w:r>
        <w:rPr>
          <w:rFonts w:ascii="Calibri" w:cs="Calibri" w:eastAsia="Calibri" w:hAnsi="Calibri"/>
          <w:b/>
          <w:bCs/>
          <w:sz w:val="21"/>
          <w:szCs w:val="21"/>
        </w:rPr>
        <w:t xml:space="preserve">(Kamboj et al., 2024; Kalitin et al., 2025)</w:t>
      </w:r>
      <w:r>
        <w:rPr>
          <w:rFonts w:ascii="Calibri" w:cs="Calibri" w:eastAsia="Calibri" w:hAnsi="Calibri"/>
          <w:sz w:val="21"/>
          <w:szCs w:val="21"/>
        </w:rPr>
        <w:t xml:space="preserve">.</w:t>
      </w:r>
    </w:p>
    <w:p>
      <w:pPr>
        <w:pStyle w:val="ListParagraph"/>
        <w:numPr>
          <w:ilvl w:val="0"/>
          <w:numId w:val="2"/>
        </w:numPr>
        <w:spacing w:after="70" w:line="258"/>
      </w:pPr>
      <w:r>
        <w:rPr>
          <w:rFonts w:ascii="Calibri" w:cs="Calibri" w:eastAsia="Calibri" w:hAnsi="Calibri"/>
          <w:b/>
          <w:bCs/>
          <w:sz w:val="21"/>
          <w:szCs w:val="21"/>
        </w:rPr>
        <w:t xml:space="preserve">Selectivity is rarely tested where it matters.</w:t>
      </w:r>
      <w:r>
        <w:rPr>
          <w:rFonts w:ascii="Calibri" w:cs="Calibri" w:eastAsia="Calibri" w:hAnsi="Calibri"/>
          <w:sz w:val="21"/>
          <w:szCs w:val="21"/>
        </w:rPr>
        <w:t xml:space="preserve"> CYP51-directed studies reported only the fungal enzyme in the abstracts we read, while human CYP inhibition by imidazoles is well documented </w:t>
      </w:r>
      <w:r>
        <w:rPr>
          <w:rFonts w:ascii="Calibri" w:cs="Calibri" w:eastAsia="Calibri" w:hAnsi="Calibri"/>
          <w:b/>
          <w:bCs/>
          <w:sz w:val="21"/>
          <w:szCs w:val="21"/>
        </w:rPr>
        <w:t xml:space="preserve">(Zhang et al., 2002; Godamudunage et al., 2018; Frydendall et al., 2024)</w:t>
      </w:r>
      <w:r>
        <w:rPr>
          <w:rFonts w:ascii="Calibri" w:cs="Calibri" w:eastAsia="Calibri" w:hAnsi="Calibri"/>
          <w:sz w:val="21"/>
          <w:szCs w:val="21"/>
        </w:rPr>
        <w:t xml:space="preserve">. Normal-cell selectivity was reported for at least one series </w:t>
      </w:r>
      <w:r>
        <w:rPr>
          <w:rFonts w:ascii="Calibri" w:cs="Calibri" w:eastAsia="Calibri" w:hAnsi="Calibri"/>
          <w:b/>
          <w:bCs/>
          <w:sz w:val="21"/>
          <w:szCs w:val="21"/>
        </w:rPr>
        <w:t xml:space="preserve">(Khan et al., 2022)</w:t>
      </w:r>
      <w:r>
        <w:rPr>
          <w:rFonts w:ascii="Calibri" w:cs="Calibri" w:eastAsia="Calibri" w:hAnsi="Calibri"/>
          <w:sz w:val="21"/>
          <w:szCs w:val="21"/>
        </w:rPr>
        <w:t xml:space="preserve">.</w:t>
      </w:r>
    </w:p>
    <w:p>
      <w:pPr>
        <w:pStyle w:val="ListParagraph"/>
        <w:numPr>
          <w:ilvl w:val="0"/>
          <w:numId w:val="2"/>
        </w:numPr>
        <w:spacing w:after="70" w:line="258"/>
      </w:pPr>
      <w:r>
        <w:rPr>
          <w:rFonts w:ascii="Calibri" w:cs="Calibri" w:eastAsia="Calibri" w:hAnsi="Calibri"/>
          <w:b/>
          <w:bCs/>
          <w:sz w:val="21"/>
          <w:szCs w:val="21"/>
        </w:rPr>
        <w:t xml:space="preserve">Resistance is treated unevenly.</w:t>
      </w:r>
      <w:r>
        <w:rPr>
          <w:rFonts w:ascii="Calibri" w:cs="Calibri" w:eastAsia="Calibri" w:hAnsi="Calibri"/>
          <w:sz w:val="21"/>
          <w:szCs w:val="21"/>
        </w:rPr>
        <w:t xml:space="preserve"> Some designs address resistant targets (EGFR T790M, multidrug-resistant </w:t>
      </w:r>
      <w:r>
        <w:rPr>
          <w:rFonts w:ascii="Calibri" w:cs="Calibri" w:eastAsia="Calibri" w:hAnsi="Calibri"/>
          <w:i/>
          <w:iCs/>
          <w:sz w:val="21"/>
          <w:szCs w:val="21"/>
        </w:rPr>
        <w:t xml:space="preserve">Candida auris</w:t>
      </w:r>
      <w:r>
        <w:rPr>
          <w:rFonts w:ascii="Calibri" w:cs="Calibri" w:eastAsia="Calibri" w:hAnsi="Calibri"/>
          <w:sz w:val="21"/>
          <w:szCs w:val="21"/>
        </w:rPr>
        <w:t xml:space="preserve">) </w:t>
      </w:r>
      <w:r>
        <w:rPr>
          <w:rFonts w:ascii="Calibri" w:cs="Calibri" w:eastAsia="Calibri" w:hAnsi="Calibri"/>
          <w:b/>
          <w:bCs/>
          <w:sz w:val="21"/>
          <w:szCs w:val="21"/>
        </w:rPr>
        <w:t xml:space="preserve">(Theodore et al., 2023; Alsirhani et al., 2025; Reis et al., 2023)</w:t>
      </w:r>
      <w:r>
        <w:rPr>
          <w:rFonts w:ascii="Calibri" w:cs="Calibri" w:eastAsia="Calibri" w:hAnsi="Calibri"/>
          <w:sz w:val="21"/>
          <w:szCs w:val="21"/>
        </w:rPr>
        <w:t xml:space="preserve">, while the resistance mechanisms (ERG11 and UPC2 mutation, efflux, biofilm) are discussed mainly in the reviews in the retrieved set </w:t>
      </w:r>
      <w:r>
        <w:rPr>
          <w:rFonts w:ascii="Calibri" w:cs="Calibri" w:eastAsia="Calibri" w:hAnsi="Calibri"/>
          <w:b/>
          <w:bCs/>
          <w:sz w:val="21"/>
          <w:szCs w:val="21"/>
        </w:rPr>
        <w:t xml:space="preserve">(Czajka et al., 2023; Li et al., 2025; Roohi et al., 2026)</w:t>
      </w:r>
      <w:r>
        <w:rPr>
          <w:rFonts w:ascii="Calibri" w:cs="Calibri" w:eastAsia="Calibri" w:hAnsi="Calibri"/>
          <w:sz w:val="21"/>
          <w:szCs w:val="21"/>
        </w:rPr>
        <w:t xml:space="preserve">.</w:t>
      </w:r>
    </w:p>
    <w:p>
      <w:pPr>
        <w:spacing w:after="60"/>
      </w:pPr>
    </w:p>
    <w:p>
      <w:pPr>
        <w:pStyle w:val="Heading2"/>
        <w:keepNext/>
      </w:pPr>
      <w:r>
        <w:rPr>
          <w:rFonts w:ascii="Calibri" w:cs="Calibri" w:eastAsia="Calibri" w:hAnsi="Calibri"/>
        </w:rPr>
        <w:t xml:space="preserve">6.3 Conceptual gaps</w:t>
      </w:r>
    </w:p>
    <w:p>
      <w:pPr>
        <w:pStyle w:val="ListParagraph"/>
        <w:numPr>
          <w:ilvl w:val="0"/>
          <w:numId w:val="2"/>
        </w:numPr>
        <w:spacing w:after="70" w:line="258"/>
      </w:pPr>
      <w:r>
        <w:rPr>
          <w:rFonts w:ascii="Calibri" w:cs="Calibri" w:eastAsia="Calibri" w:hAnsi="Calibri"/>
          <w:b/>
          <w:bCs/>
          <w:sz w:val="21"/>
          <w:szCs w:val="21"/>
        </w:rPr>
        <w:t xml:space="preserve">What counts as validation of an in silico design?</w:t>
      </w:r>
      <w:r>
        <w:rPr>
          <w:rFonts w:ascii="Calibri" w:cs="Calibri" w:eastAsia="Calibri" w:hAnsi="Calibri"/>
          <w:sz w:val="21"/>
          <w:szCs w:val="21"/>
        </w:rPr>
        <w:t xml:space="preserve"> Only 36.5% of computer-aided drug design papers in one survey reported any experimental follow-up </w:t>
      </w:r>
      <w:r>
        <w:rPr>
          <w:rFonts w:ascii="Calibri" w:cs="Calibri" w:eastAsia="Calibri" w:hAnsi="Calibri"/>
          <w:b/>
          <w:bCs/>
          <w:sz w:val="21"/>
          <w:szCs w:val="21"/>
        </w:rPr>
        <w:t xml:space="preserve">(Sabe et al., 2021)</w:t>
      </w:r>
      <w:r>
        <w:rPr>
          <w:rFonts w:ascii="Calibri" w:cs="Calibri" w:eastAsia="Calibri" w:hAnsi="Calibri"/>
          <w:sz w:val="21"/>
          <w:szCs w:val="21"/>
        </w:rPr>
        <w:t xml:space="preserve">. The closed-loop studies that do exist report modest potencies, which is an honest baseline and also a reminder that a good prediction has not yet meant a potent lead </w:t>
      </w:r>
      <w:r>
        <w:rPr>
          <w:rFonts w:ascii="Calibri" w:cs="Calibri" w:eastAsia="Calibri" w:hAnsi="Calibri"/>
          <w:b/>
          <w:bCs/>
          <w:sz w:val="21"/>
          <w:szCs w:val="21"/>
        </w:rPr>
        <w:t xml:space="preserve">(Walhekar et al., 2026; Veríssimo et al., 2026)</w:t>
      </w:r>
      <w:r>
        <w:rPr>
          <w:rFonts w:ascii="Calibri" w:cs="Calibri" w:eastAsia="Calibri" w:hAnsi="Calibri"/>
          <w:sz w:val="21"/>
          <w:szCs w:val="21"/>
        </w:rPr>
        <w:t xml:space="preserve">.</w:t>
      </w:r>
    </w:p>
    <w:p>
      <w:pPr>
        <w:pStyle w:val="ListParagraph"/>
        <w:numPr>
          <w:ilvl w:val="0"/>
          <w:numId w:val="2"/>
        </w:numPr>
        <w:spacing w:after="70" w:line="258"/>
      </w:pPr>
      <w:r>
        <w:rPr>
          <w:rFonts w:ascii="Calibri" w:cs="Calibri" w:eastAsia="Calibri" w:hAnsi="Calibri"/>
          <w:b/>
          <w:bCs/>
          <w:sz w:val="21"/>
          <w:szCs w:val="21"/>
        </w:rPr>
        <w:t xml:space="preserve">When is heme binding a feature and when a liability?</w:t>
      </w:r>
      <w:r>
        <w:rPr>
          <w:rFonts w:ascii="Calibri" w:cs="Calibri" w:eastAsia="Calibri" w:hAnsi="Calibri"/>
          <w:sz w:val="21"/>
          <w:szCs w:val="21"/>
        </w:rPr>
        <w:t xml:space="preserve"> The same coordination chemistry that makes imidazoles effective against CYP51 drives off-target P450 inhibition </w:t>
      </w:r>
      <w:r>
        <w:rPr>
          <w:rFonts w:ascii="Calibri" w:cs="Calibri" w:eastAsia="Calibri" w:hAnsi="Calibri"/>
          <w:b/>
          <w:bCs/>
          <w:sz w:val="21"/>
          <w:szCs w:val="21"/>
        </w:rPr>
        <w:t xml:space="preserve">(Zhang et al., 2002; Saini et al., 2026)</w:t>
      </w:r>
      <w:r>
        <w:rPr>
          <w:rFonts w:ascii="Calibri" w:cs="Calibri" w:eastAsia="Calibri" w:hAnsi="Calibri"/>
          <w:sz w:val="21"/>
          <w:szCs w:val="21"/>
        </w:rPr>
        <w:t xml:space="preserve">. Replacing imidazole with triazole or tetrazole changes heme affinity </w:t>
      </w:r>
      <w:r>
        <w:rPr>
          <w:rFonts w:ascii="Calibri" w:cs="Calibri" w:eastAsia="Calibri" w:hAnsi="Calibri"/>
          <w:b/>
          <w:bCs/>
          <w:sz w:val="21"/>
          <w:szCs w:val="21"/>
        </w:rPr>
        <w:t xml:space="preserve">(Conner et al., 2012; Teixeira et al., 2022; Yin et al., 2026)</w:t>
      </w:r>
      <w:r>
        <w:rPr>
          <w:rFonts w:ascii="Calibri" w:cs="Calibri" w:eastAsia="Calibri" w:hAnsi="Calibri"/>
          <w:sz w:val="21"/>
          <w:szCs w:val="21"/>
        </w:rPr>
        <w:t xml:space="preserve">, but how to design for selectivity within imidazole chemistry is unresolved </w:t>
      </w:r>
      <w:r>
        <w:rPr>
          <w:rFonts w:ascii="Calibri" w:cs="Calibri" w:eastAsia="Calibri" w:hAnsi="Calibri"/>
          <w:b/>
          <w:bCs/>
          <w:sz w:val="21"/>
          <w:szCs w:val="21"/>
        </w:rPr>
        <w:t xml:space="preserve">(Mast et al., 2013)</w:t>
      </w:r>
      <w:r>
        <w:rPr>
          <w:rFonts w:ascii="Calibri" w:cs="Calibri" w:eastAsia="Calibri" w:hAnsi="Calibri"/>
          <w:sz w:val="21"/>
          <w:szCs w:val="21"/>
        </w:rPr>
        <w:t xml:space="preserve">.</w:t>
      </w:r>
    </w:p>
    <w:p>
      <w:pPr>
        <w:pStyle w:val="ListParagraph"/>
        <w:numPr>
          <w:ilvl w:val="0"/>
          <w:numId w:val="2"/>
        </w:numPr>
        <w:spacing w:after="70" w:line="258"/>
      </w:pPr>
      <w:r>
        <w:rPr>
          <w:rFonts w:ascii="Calibri" w:cs="Calibri" w:eastAsia="Calibri" w:hAnsi="Calibri"/>
          <w:b/>
          <w:bCs/>
          <w:sz w:val="21"/>
          <w:szCs w:val="21"/>
        </w:rPr>
        <w:t xml:space="preserve">Does machine-learning-guided design find better molecules than conventional design?</w:t>
      </w:r>
      <w:r>
        <w:rPr>
          <w:rFonts w:ascii="Calibri" w:cs="Calibri" w:eastAsia="Calibri" w:hAnsi="Calibri"/>
          <w:sz w:val="21"/>
          <w:szCs w:val="21"/>
        </w:rPr>
        <w:t xml:space="preserve"> Prospective examples exist but are few and use different endpoints </w:t>
      </w:r>
      <w:r>
        <w:rPr>
          <w:rFonts w:ascii="Calibri" w:cs="Calibri" w:eastAsia="Calibri" w:hAnsi="Calibri"/>
          <w:b/>
          <w:bCs/>
          <w:sz w:val="21"/>
          <w:szCs w:val="21"/>
        </w:rPr>
        <w:t xml:space="preserve">(Veríssimo et al., 2026; Kalitin et al., 2025; Cieślak et al., 2024)</w:t>
      </w:r>
      <w:r>
        <w:rPr>
          <w:rFonts w:ascii="Calibri" w:cs="Calibri" w:eastAsia="Calibri" w:hAnsi="Calibri"/>
          <w:sz w:val="21"/>
          <w:szCs w:val="21"/>
        </w:rPr>
        <w:t xml:space="preserve">; general reviews stress the distance between benchmark performance and realistic discovery tasks </w:t>
      </w:r>
      <w:r>
        <w:rPr>
          <w:rFonts w:ascii="Calibri" w:cs="Calibri" w:eastAsia="Calibri" w:hAnsi="Calibri"/>
          <w:b/>
          <w:bCs/>
          <w:sz w:val="21"/>
          <w:szCs w:val="21"/>
        </w:rPr>
        <w:t xml:space="preserve">(Du et al., 2024)</w:t>
      </w:r>
      <w:r>
        <w:rPr>
          <w:rFonts w:ascii="Calibri" w:cs="Calibri" w:eastAsia="Calibri" w:hAnsi="Calibri"/>
          <w:sz w:val="21"/>
          <w:szCs w:val="21"/>
        </w:rPr>
        <w:t xml:space="preserve">.</w:t>
      </w:r>
    </w:p>
    <w:p>
      <w:pPr>
        <w:pStyle w:val="ListParagraph"/>
        <w:numPr>
          <w:ilvl w:val="0"/>
          <w:numId w:val="2"/>
        </w:numPr>
        <w:spacing w:after="70" w:line="258"/>
      </w:pPr>
      <w:r>
        <w:rPr>
          <w:rFonts w:ascii="Calibri" w:cs="Calibri" w:eastAsia="Calibri" w:hAnsi="Calibri"/>
          <w:b/>
          <w:bCs/>
          <w:sz w:val="21"/>
          <w:szCs w:val="21"/>
        </w:rPr>
        <w:t xml:space="preserve">A shared reporting standard.</w:t>
      </w:r>
      <w:r>
        <w:rPr>
          <w:rFonts w:ascii="Calibri" w:cs="Calibri" w:eastAsia="Calibri" w:hAnsi="Calibri"/>
          <w:sz w:val="21"/>
          <w:szCs w:val="21"/>
        </w:rPr>
        <w:t xml:space="preserve"> Section 10 of the companion review article proposes ten minimum reporting items for in silico-guided imidazole studies. They are our synthesis of the evidence and not a published guideline.</w:t>
      </w:r>
    </w:p>
    <w:p>
      <w:pPr>
        <w:spacing w:after="60"/>
      </w:pPr>
    </w:p>
    <w:p>
      <w:pPr>
        <w:pStyle w:val="Heading1"/>
        <w:keepNext/>
      </w:pPr>
      <w:r>
        <w:rPr>
          <w:rFonts w:ascii="Calibri" w:cs="Calibri" w:eastAsia="Calibri" w:hAnsi="Calibri"/>
        </w:rPr>
        <w:t xml:space="preserve">7. Bibliography</w:t>
      </w:r>
    </w:p>
    <w:p>
      <w:pPr>
        <w:spacing w:after="120" w:before="0" w:line="264"/>
        <w:jc w:val="left"/>
      </w:pPr>
      <w:r>
        <w:rPr>
          <w:rFonts w:ascii="Calibri" w:cs="Calibri" w:eastAsia="Calibri" w:hAnsi="Calibri"/>
          <w:sz w:val="21"/>
          <w:szCs w:val="21"/>
        </w:rPr>
        <w:t xml:space="preserve">Alphabetical by first author. Each entry links to the Consensus record (alphaXiv for preprints), and to the DOI where Consensus supplied one. Preprints are marked and are not peer reviewed.</w:t>
      </w:r>
    </w:p>
    <w:p>
      <w:pPr>
        <w:spacing w:after="70" w:line="235"/>
        <w:ind w:left="360" w:hanging="360"/>
      </w:pPr>
      <w:r>
        <w:rPr>
          <w:rFonts w:ascii="Calibri" w:cs="Calibri" w:eastAsia="Calibri" w:hAnsi="Calibri"/>
          <w:sz w:val="18"/>
          <w:szCs w:val="18"/>
        </w:rPr>
        <w:t xml:space="preserve">Oussama Abchir et al. (2026). In Silico Design of Pyrimidine Derivatives as Potential α-Glucosidase Inhibitors: QSAR, Molecular Docking, ADMET, and Molecular Dynamics Studies. International Journal of Molecular Sciences. </w:t>
      </w:r>
      <w:hyperlink w:history="1" r:id="rIdnxoebtzr1vx8jeercsfzn">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g_ovktm70evhlyipx_gj9">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Sagar Agrawal et al. (2026). In silico ADMET: Supporting new drug discovery. Future Health. </w:t>
      </w:r>
      <w:hyperlink w:history="1" r:id="rIdmvhmu8bkqzz5dxyfelgdp">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olmyixjwqs0l23uchjtqv">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Aisha A. K. Al-Ashmawy et al. (2025). Novel Benzimidazole‐Pyridine‐Phenylalkanesulfonate Hybrids: Design, Synthesis, Antimicrobial Screening, Lanosterol 14α‐Demethylase Inhibition Properties and in Silico Studies. Drug Development Research. </w:t>
      </w:r>
      <w:hyperlink w:history="1" r:id="rIdqgn7gtalr-xcqrrcd1zut">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0gxouyvpqrtm5tncfrvry">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F. Al-blewi et al. (2021). Design and Synthesis of Novel Imidazole Derivatives Possessing Triazole Pharmacophore with Potent Anticancer Activity, and In Silico ADMET with GSK-3β Molecular Docking Investigations. International Journal of Molecular Sciences. </w:t>
      </w:r>
      <w:hyperlink w:history="1" r:id="rIdlym4a2v7dknnapmni9fvl">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rla3pftbm_negjiseyq2-">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S. Al-Hussain et al. (2025). Insight into the Anticancer Potential of Imidazole-Based Derivatives Targeting Receptor Tyrosine Kinases. Pharmaceuticals. </w:t>
      </w:r>
      <w:hyperlink w:history="1" r:id="rIdwsifyrxyytr0nhb2d5kzp">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f-i51wmvnogi85imtfrde">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A. M. Alsirhani et al. (2025). Rational Design, Green Synthesis, and Biological Evaluation of Novel Imidazole Derivatives as Potent EGFR Inhibitors via One‐Pot Four‐Component Reaction. Archiv der Pharmazie. </w:t>
      </w:r>
      <w:hyperlink w:history="1" r:id="rId8xllwxhsessgndmwph8bt">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2mn-i7339jncqxalbu4e_">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A. Altharawi et al. (2026). Integrative Computational Chemistry Approaches in Modern Drug Discovery: Advances in Docking, Pharmacophore Modeling, Molecular Dynamics, and Virtual Screening. Pharmaceutics. </w:t>
      </w:r>
      <w:hyperlink w:history="1" r:id="rIdgg_xhkyjpbqlpztayzw6u">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fy-gaqsix06xglb1y8olk">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Giorgio Antoniolli et al. (2026). Imidazo[1,2‑a]pyridines as Privileged Scaffolds: Synthetic Advances, Biological Activities, and Translational Challenges. ACS Omega. </w:t>
      </w:r>
      <w:hyperlink w:history="1" r:id="rIdqjzwynler6azyiplidj8r">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5uwqrqffy0tnx7taxpafe">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R. M. Babu et al. (2026). Synthesis and multidimensional investigation of a tetra-substituted imidazole derivative: Spectroscopy, DFT/NLO properties, toxicity analysis, molecular docking, and dynamics simulation. Drug and Chemical Toxicology. </w:t>
      </w:r>
      <w:hyperlink w:history="1" r:id="rIdw38176vyv3c6glh_i7xgz">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hse9sha4tyk-k9mmjpkuk">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 Bello et al. (2023). Evaluating the ability of end-point methods to predict the binding affinity tendency of protein kinase inhibitors. RSC Advances. </w:t>
      </w:r>
      <w:hyperlink w:history="1" r:id="rIdmazpnswj17upfq_rfkpyf">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qu0-ng9zzjnb67xnbf1kh">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I. Celik et al. (2022). Synthesis, Molecular Docking, Dynamics, Quantum-Chemical Computation, and Antimicrobial Activity Studies of Some New Benzimidazole–Thiadiazole Hybrids. ACS Omega. </w:t>
      </w:r>
      <w:hyperlink w:history="1" r:id="rIdhkv-9vmisl9yyweex27hi">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y7rod0x5jd5egveji6kpf">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Mrynal Chamoli et al. (2026). Design and Neuroprotective Screening of Imidazole Derivatives As Multi-Target Agents for Alzheimer’s Disease. Oriental Journal Of Chemistry. </w:t>
      </w:r>
      <w:hyperlink w:history="1" r:id="rId2_8hmourfmrikzl6ckzio">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fe5n_0ayrjdudtbob4s1t">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Marcin Cieślak et al. (2024). Machine learning accelerates pharmacophore-based virtual screening of MAO inhibitors. Scientific Reports. </w:t>
      </w:r>
      <w:hyperlink w:history="1" r:id="rIdkdmhlgzdu9zlikt608o_b">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2-4zyrzk7lybzoiz5kurt">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Kip P. Conner et al. (2012). 1,2,3-Triazole-Heme Interactions in Cytochrome P450: Functionally Competent Triazole-Water- Heme Complexes. Biochemistry. </w:t>
      </w:r>
      <w:hyperlink w:history="1" r:id="rIdgz6crdh3yg5-_hpenpn1k">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q50lbxbugaya_gc0u6rr5">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Karolina M. Czajka et al. (2023). Molecular Mechanisms Associated with Antifungal Resistance in Pathogenic Candida Species. Cells. </w:t>
      </w:r>
      <w:hyperlink w:history="1" r:id="rIdksn_aq6buuwv4snfsn0ef">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e9kzyawrt93ul6jutejph">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N. P. Dalbanjan et al. (2025). Biochemical and Computational Insights into the Therapeutic Potencies of Quinoline Appended Imidazole Compounds. ChemistrySelect. </w:t>
      </w:r>
      <w:hyperlink w:history="1" r:id="rIdokqupxuvgxsyyxr5aeuwx">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wlox5umw0l80romxt70og">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Yuanqi Du et al. (2024). Machine learning-aided generative molecular design. Nature Machine Intelligence. </w:t>
      </w:r>
      <w:hyperlink w:history="1" r:id="rId0_nv4vj_y-ymwwavughdz">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huhmpcclnreymhqgscowx">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Júlia Dulsat et al. (2023). Evaluation of Free Online ADMET Tools for Academic or Small Biotech Environments. Molecules. </w:t>
      </w:r>
      <w:hyperlink w:history="1" r:id="rIdrxg4z_jhxb5sr5bqm47ys">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jtrhf8m6fmrywajfr3itl">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Deepika Dwarakanath et al. (2024). In vitro and in silico insights into antimicrobial and anticancer activities of novel imidazo[2,1-b][1,3,4]thiadiazoles. Scientific Reports. </w:t>
      </w:r>
      <w:hyperlink w:history="1" r:id="rIdigxp-jp_el4qn50k9tz13">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geg4n7tnwr3ohdmuf7kcf">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Deepika Dwarakanath et al. (2025). Synthesis, characterization and in silico studies of novel multifunctional imidazole-thiazole hybrids with potent antimicrobial and anticancer properties. Scientific Reports. </w:t>
      </w:r>
      <w:hyperlink w:history="1" r:id="rIdz0nmfwapuvgq5hxezbva4">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s95-sw3wwvcmf49qdn9na">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Mahmoud S. Elkotamy et al. (2024). Novel imidazo[2,1-b]thiazoles and imidazo[1,2-a]pyridines tethered with indolinone motif as VEGFR-2 inhibitors and apoptotic inducers: Design, synthesis and biological evaluations. Bioorganic chemistry. </w:t>
      </w:r>
      <w:hyperlink w:history="1" r:id="rIdd0k-rsk1uaghgjviy7be3">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m_3vk_9nwacuqu9kngygh">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Daniel C. Elton; Preston W. Estep (2026). Benchmarking open-source tools for in silico antiviral drug discovery. arXiv:2605.04265 [q-bio.BM], 5 May 2026. [Preprint, not peer reviewed] </w:t>
      </w:r>
      <w:hyperlink w:history="1" r:id="rIdyguqiozbbpb64f3a6o0c1">
        <w:r>
          <w:rPr>
            <w:rStyle w:val="Hyperlink"/>
            <w:rFonts w:ascii="Calibri" w:cs="Calibri" w:eastAsia="Calibri" w:hAnsi="Calibri"/>
            <w:sz w:val="18"/>
            <w:szCs w:val="18"/>
          </w:rPr>
          <w:t xml:space="preserve">View on alphaXiv</w:t>
        </w:r>
      </w:hyperlink>
    </w:p>
    <w:p>
      <w:pPr>
        <w:spacing w:after="70" w:line="235"/>
        <w:ind w:left="360" w:hanging="360"/>
      </w:pPr>
      <w:r>
        <w:rPr>
          <w:rFonts w:ascii="Calibri" w:cs="Calibri" w:eastAsia="Calibri" w:hAnsi="Calibri"/>
          <w:sz w:val="18"/>
          <w:szCs w:val="18"/>
        </w:rPr>
        <w:t xml:space="preserve">Larissa A. Ferreira et al. (2026). Imidazo[1,2‑a]pyridines in Medicinal Chemistry: Recent Advances in Synthesis and Biological Activities. ACS Omega. </w:t>
      </w:r>
      <w:hyperlink w:history="1" r:id="rIdvciwfczc9iyhwuxzumpzo">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ynmaqz8ivfjmn4hp0v5lq">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Elyse K. Frydendall et al. (2024). Development of a high throughput cytochrome P450 ligand-binding assay. The Journal of Biological Chemistry. </w:t>
      </w:r>
      <w:hyperlink w:history="1" r:id="rIdnrj4mkpadv5o0mtlq5fqz">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edq257fmep5eesoaiydmm">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 P. Godamudunage et al. (2018). Comparison of Antifungal Azole Interactions with Adult Cytochrome P450 3A4 versus Neonatal Cytochrome P450 3A7. Drug Metabolism and Disposition. </w:t>
      </w:r>
      <w:hyperlink w:history="1" r:id="rId9n50qnrvyevyg1ffpswy2">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clpnhxogitjv_5xp6maeq">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A. Goudzal et al. (2022). 3D-QSAR modeling and molecular docking studies on a series of 2, 4, 5-trisubstituted imidazole derivatives as CK2 inhibitors. Journal of Biomolecular Structure and Dynamics. </w:t>
      </w:r>
      <w:hyperlink w:history="1" r:id="rIdhg1dk2i_p2u26rvlkdfzj">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nuxhqlzyfgm5nazulyiuo">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I. Guedes et al. (2018). Empirical Scoring Functions for Structure-Based Virtual Screening: Applications, Critical Aspects, and Challenges. Frontiers in Pharmacology. </w:t>
      </w:r>
      <w:hyperlink w:history="1" r:id="rIdfw4ro6nekgixpotyobvb8">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5k7tvms2lshoyxtbbplga">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Ferhat Güneş et al. (2026). Diazole Derivatives as Anti‐Inflammatory Agents: Synthetic Approaches, Biological Evaluation, and Therapeutic Potential. ChemistrySelect. </w:t>
      </w:r>
      <w:hyperlink w:history="1" r:id="rIdlt4hwwkttisiezogbl4gs">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uf53uotaateg-xzte_iev">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Abdeljalil Hamdi et al. (2024). Various synthesis and biological evaluation of some tri -tetra-substituted imidazoles derivatives: A review. Heliyon. </w:t>
      </w:r>
      <w:hyperlink w:history="1" r:id="rId2juigxbj9hijo80ryrsr5">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vldv7hr1hkz496tnesk_d">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Mohammed B. Hawsawi et al. (2025). Revealing Protein Ligand Interactions via DFT Calculation, Molecular Docking, and ADMET: Insight into the Role of Imidazole with Anti‐Alzheimer Activity. ChemistrySelect. </w:t>
      </w:r>
      <w:hyperlink w:history="1" r:id="rIdcp7nbdwrioa5t7hoyhad-">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sfsp0p2ug02v0fbqpmgjr">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Mohamed H. Hekal et al. (2026). Synthesis, anti-proliferative evaluation, DFT, in silico ADME and molecular modeling studies of novel imidazolones as potential EGFR inhibitors. RSC Advances. </w:t>
      </w:r>
      <w:hyperlink w:history="1" r:id="rIdhzrozmdk_2kl82-lcm7at">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1kwuhw0_tajz_8ucuddvd">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D. A. Hilal et al. (2026). Synthesis of 1,2,4,5-Tetrasubstituted Imidazoles via ultrasound-assisted method and in vitro assessment of their anti-inflammatory and Hemocompatibility activity. Results in Chemistry. </w:t>
      </w:r>
      <w:hyperlink w:history="1" r:id="rIdr3i9j-94_9fxvta7eflfy">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cajdfedvrljd53hsftzyl">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Sahar Ilaghi-Hoseini et al. (2026). Comparative QSAR and Q-RASAR modeling of benzimidazole derivatives as dual AChE/BuChE inhibitors and design of novel anti-Alzheimer drug candidates supported by molecular docking, ADMET and molecular dynamic simulation. Journal of molecular graphics &amp; modelling. </w:t>
      </w:r>
      <w:hyperlink w:history="1" r:id="rIdwa8gqyyrfbo2-qha9js0t">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yyzzvdlmny6qi2-rdwzrm">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A. Işık et al. (2024). Synthesis, DFT Calculations, In Silico Studies, and Antimicrobial Evaluation of Benzimidazole-Thiadiazole Derivatives. ACS Omega. </w:t>
      </w:r>
      <w:hyperlink w:history="1" r:id="rIdsfpp_swjvejr5vl-btagk">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dnyffputntkas3zawbz95">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A. Kaldybayeva et al. (2026). Recent Progress in the Sustainable Synthesis of Imidazole Derivatives: Advances in Multicomponent Reactions, Catalysis, and Green Chemistry. Molecules. </w:t>
      </w:r>
      <w:hyperlink w:history="1" r:id="rIdyq4ptftgrqelcn_79z1-z">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rezy-lhaaveg3tounphdm">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K. Y. Kalitin et al. (2025). Screening benzimidazole derivatives for atypical antipsychotic activity. Pharmacy &amp; Pharmacology. </w:t>
      </w:r>
      <w:hyperlink w:history="1" r:id="rIdlr-meba0hnto2mz_p9ks9">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c-prkbi3xs8wqitsvy6ix">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Payal Kamboj et al. (2024). Design, synthesis, biological assessment and molecular modeling studies of novel imidazothiazole-thiazolidinone hybrids as potential anticancer and anti-inflammatory agents. Scientific Reports. </w:t>
      </w:r>
      <w:hyperlink w:history="1" r:id="rIdnactu8i7nlrnupleecm1o">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vmtrslvgri_gu7xt6b52o">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Shadan Kermanizadeh et al. (2023). An efficient and eco-compatible multicomponent synthesis of 2,4,5-trisubstituted imidazole derivatives using modified-silica-coated cobalt ferrite nanoparticles with tungstic acid. Dalton transactions. </w:t>
      </w:r>
      <w:hyperlink w:history="1" r:id="rIdzebqgh1qx4jkui7x1d0gr">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rk3e4jjop3zottxuhkyjm">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Majid Khan et al. (2022). Efficient Synthesis with Green Chemistry Approach of Novel Pharmacophores of Imidazole-Based Hybrids for Tumor Treatment: Mechanistic Insights from In Situ to In Silico. Cancers. </w:t>
      </w:r>
      <w:hyperlink w:history="1" r:id="rIdyt8oui-3ctizcpzzuysh1">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wfapfxdw74p0ltzhxc6xo">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Jakub Kopko; David Graber; Saltuk Mustafa Eyrilmez; Stanislav Mazurenko; David Bednar; Jiri Sedlar; Josef Sivic (2025). Generalization Beyond Benchmarks: Evaluating Learnable Protein-Ligand Scoring Functions on Unseen Targets. arXiv:2512.05386 [cs.LG], 5 Dec 2025. [Preprint, not peer reviewed] </w:t>
      </w:r>
      <w:hyperlink w:history="1" r:id="rId6m2i1ktvvzx_ofvbrr1r8">
        <w:r>
          <w:rPr>
            <w:rStyle w:val="Hyperlink"/>
            <w:rFonts w:ascii="Calibri" w:cs="Calibri" w:eastAsia="Calibri" w:hAnsi="Calibri"/>
            <w:sz w:val="18"/>
            <w:szCs w:val="18"/>
          </w:rPr>
          <w:t xml:space="preserve">View on alphaXiv</w:t>
        </w:r>
      </w:hyperlink>
    </w:p>
    <w:p>
      <w:pPr>
        <w:spacing w:after="70" w:line="235"/>
        <w:ind w:left="360" w:hanging="360"/>
      </w:pPr>
      <w:r>
        <w:rPr>
          <w:rFonts w:ascii="Calibri" w:cs="Calibri" w:eastAsia="Calibri" w:hAnsi="Calibri"/>
          <w:sz w:val="18"/>
          <w:szCs w:val="18"/>
        </w:rPr>
        <w:t xml:space="preserve">Arun Kumar et al. (2024). An insight into recent developments in imidazole based heterocyclic compounds as anticancer agents: Synthesis, SARs, and mechanism of actions. European journal of medicinal chemistry. </w:t>
      </w:r>
      <w:hyperlink w:history="1" r:id="rIdeh-gb9wnnnzo1aqi6rbmp">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3d9qsjsgvhicm9rddedwg">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Potharaju Sunil Kumar et al. (2026). Design, Synthesis, Molecular Docking Studies and Biological Evaluation of Novel Imidazole–1,2,3-Triazole Hybrid Derivatives as Anticancer and Antimicrobial Agents. Asian Journal of Chemistry. </w:t>
      </w:r>
      <w:hyperlink w:history="1" r:id="rIdj8bxsi4evhp-otn29nidu">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b3zwccwmiwhppkjqqtu__">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Yeuan Ting Lee et al. (2022). Benzimidazole and its derivatives as cancer therapeutics: The potential role from traditional to precision medicine. Acta Pharmaceutica Sinica. B. </w:t>
      </w:r>
      <w:hyperlink w:history="1" r:id="rId4bpjsokdynljojdi_86wn">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6fefz7wgdzv5st7bjoibe">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Jin Li et al. (2019). An Overview of Scoring Functions Used for Protein–Ligand Interactions in Molecular Docking. Interdisciplinary Sciences: Computational Life Sciences. </w:t>
      </w:r>
      <w:hyperlink w:history="1" r:id="rId1ruw_abuyyh_bjdsrjx5_">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nsxiozaawmahdramaekjp">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Yunxiao Li et al. (2025). Understanding the mechanisms of resistance to azole antifungals in Candida species. JAC-Antimicrobial Resistance. </w:t>
      </w:r>
      <w:hyperlink w:history="1" r:id="rIdlcajckl3pt2bchj4rhuce">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mkpshnkpvb7obf6cmo2km">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Solo Lorin et al. (2024). A comprehensive investigation on one-pot synthesis of imidazole derivatives: quantum computational analysis, molecular docking, molecular dynamics simulations and antiviral activity against SARS-CoV-2. Molecular Physics. </w:t>
      </w:r>
      <w:hyperlink w:history="1" r:id="rIdzan610dcy_6xghtf9y1qf">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jr2vq-rrmalixpn1oyzxe">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 Mahapatra et al. (2023). In-vitro anticancer evaluation of newly designed and characterized tri/tetra-substituted imidazole congeners- maternal embryonic leucine zipper kinase inhibitors: Molecular docking and MD simulation approaches. International journal of biological macromolecules. </w:t>
      </w:r>
      <w:hyperlink w:history="1" r:id="rIdctcbh6k78seapkuoldmun">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ehctmyufs5r7x-hx4y2wu">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F. Manteghi et al. (2021). MIL-101(Cr), an Efficient Heterogeneous Catalyst for One Pot Synthesis of 2,4,5-tri Substituted Imidazoles under Solvent Free Conditions. Nanomaterials. </w:t>
      </w:r>
      <w:hyperlink w:history="1" r:id="rIdqqqlgzkvtfmjrhr9cxiy_">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xzhdyi-lywxufgnmjiafl">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Maryam Maqbool et al. (2024). Imidazole‐thiadiazole hybrids: A multitarget de novo drug design approach, in vitro evaluation, ADME/T, and in silico studies. Archiv der Pharmazie. </w:t>
      </w:r>
      <w:hyperlink w:history="1" r:id="rId4omctwyrixblyzg26ao55">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_maz6wvc8dckwl47sybad">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Sanjana Mareguddi et al. (2026). Synthesis of imidazole derivatives and in silico/in vitro evaluation of potential antidiabetic activity. Indian Journal of Biochemistry and Biophysics. </w:t>
      </w:r>
      <w:hyperlink w:history="1" r:id="rIddgb6ewnuwh3bfphaleacl">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xptizvbrlzufxwvzd_eoo">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Natalia Mast et al. (2013). Antifungal Azoles: Structural Insights into Undesired Tight Binding to Cholesterol-Metabolizing CYP46A1. Molecular Pharmacology. </w:t>
      </w:r>
      <w:hyperlink w:history="1" r:id="rIdstnthtzmpvzqrzniosulc">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tv5dc1ozmkfppcsookrjl">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Laust Moesgaard et al. (2026). Modeling the Sensitivity of Large-Scale Virtual Screening to Scoring Function Accuracy, Artifacts, and Library Composition. Journal of Chemical Information and Modeling. </w:t>
      </w:r>
      <w:hyperlink w:history="1" r:id="rIdu1z2baloetcwozydsanva">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klirfauga5jkkr1sbqtev">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Fatemeh Mohammad et al. (2025). Green synthesis of imidazole derivatives in a ternary deep eutectic solvent system. Scientific Reports. </w:t>
      </w:r>
      <w:hyperlink w:history="1" r:id="rIdebbgkpaaxoo2-yprk06v4">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b_fodbnrp01a2_gncuoa">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Martha M. Morcoss et al. (2020). Design, synthesis, mechanistic studies and in silico ADME predictions of benzimidazole derivatives as novel antifungal agents. Bioorganic chemistry. </w:t>
      </w:r>
      <w:hyperlink w:history="1" r:id="rIdlgsfs4t2zfbkfewruuunl">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qpzcv2oojhbidor45yusc">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Preetesh Kumar Panda et al. (2025). Design, synthesis and computational approach of vanillyl–imidazolidinyl–sulfamethoxazole derivatives as potent antimicrobial candidates tackling microbial resistance. RSC Medicinal Chemistry. </w:t>
      </w:r>
      <w:hyperlink w:history="1" r:id="rIdsqztlhij7qoh35n300nvu">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otimkvbk5sjcfrkqi-xgi">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Preetesh Kumar Panda et al. (2026). The State of Imidazolone as an Evolving Pharmacophore: Current Progress and Clinical Significance in Oncology and AMR. ACS Omega. </w:t>
      </w:r>
      <w:hyperlink w:history="1" r:id="rId7ut08zfl1sbxe6njmgu3g">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9k8phr0aqwv3sb4a1usef">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Geetika Patel et al. (2021). Green approaches for the synthesis of poly-functionalized imidazole derivatives: A comprehensive review. Current Research in Green and Sustainable Chemistry. </w:t>
      </w:r>
      <w:hyperlink w:history="1" r:id="rId_pn7v8bqdixkr0hknctvm">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juayqz-rjqlojjvnbwj1d">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S. Poyraz et al. (2024). Recent pharmacological insights about imidazole hybrids: a comprehensive review. Medicinal Chemistry Research. </w:t>
      </w:r>
      <w:hyperlink w:history="1" r:id="rIdjunljhv-0l5lqwurefmvo">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kremmezpjn1i2a2bqfcet">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R. C. F. M. Reis et al. (2023). New miconazole-based azoles derived from eugenol show activity against Candida spp. and Cryptococcus gattii by inhibiting the fungal ergosterol biosynthesis. European journal of medicinal chemistry. </w:t>
      </w:r>
      <w:hyperlink w:history="1" r:id="rIdyuutk6ijy825c8msdjaha">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iw3sgexugukpv5xdh2-sx">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B. Roohi et al. (2026). The dual role of azoles: lifesaving antifungals and drivers of resistance – a One Health perspective. Nature Communications. </w:t>
      </w:r>
      <w:hyperlink w:history="1" r:id="rIduruts3evnh_bj4oytlv5p">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jodz5yydthokjeg1lgbml">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V. T. Sabe et al. (2021). Current trends in computer aided drug design and a highlight of drugs discovered via computational techniques: A review. European journal of medicinal chemistry. </w:t>
      </w:r>
      <w:hyperlink w:history="1" r:id="rIdl1tqhgpzbipa6z48ntvcr">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5iqynqqtgh8sfr_ps6y7a">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D. Saha et al. (2024). Current progress in the synthesis of imidazoles and their derivatives via the use of green tools. Heterocyclic Communications. </w:t>
      </w:r>
      <w:hyperlink w:history="1" r:id="rIdmd8xxhye2ocdqqzh4_zme">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uzjps3ceeuxlorihdi120">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Manita Saini et al. (2026). Imidazole Antifungals Against Fungal Pathogens: Resistance Mechanisms and Emerging Delivery Strategies. Micro. </w:t>
      </w:r>
      <w:hyperlink w:history="1" r:id="rId-dmrvrm7cgqjgtcsj15th">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hbwjqd2lux7h2vt3_mbub">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Pankaj Sharma et al. (2021). Imidazoles as Potential Anticancer Agents: An Update on Recent Studies. Molecules. </w:t>
      </w:r>
      <w:hyperlink w:history="1" r:id="rIdepizm2lbwtiztubzu_69v">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siun-e6xz4oqu7aimwnsg">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F. M. D. Da Silva et al. (2024). Sustainable synthesis of imidazoles using a catalyst-free approach and ethyl lactate as a bio-based green solvent in the Debus-Japp-Radziszewski reaction. Synthetic Communications. </w:t>
      </w:r>
      <w:hyperlink w:history="1" r:id="rIdszlkuo9vum_vu7d9j69un">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fgdmkqgc07fhpkwp_u6l_">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Gor Simonyan; Tatevik Abrahamyan; Narek Abelyan; Tigran Fahradyan; Hrant Khachatrian (2026). PMO-Dock: Benchmarking Docking, Specificity, and Generalization in Molecular Optimization. arXiv:2610.19011v1 [cs.LG], 13 Oct 2026. [Preprint, not peer reviewed] </w:t>
      </w:r>
      <w:hyperlink w:history="1" r:id="rIdt7jxq6lrfitt4kheyuonb">
        <w:r>
          <w:rPr>
            <w:rStyle w:val="Hyperlink"/>
            <w:rFonts w:ascii="Calibri" w:cs="Calibri" w:eastAsia="Calibri" w:hAnsi="Calibri"/>
            <w:sz w:val="18"/>
            <w:szCs w:val="18"/>
          </w:rPr>
          <w:t xml:space="preserve">View on alphaXiv</w:t>
        </w:r>
      </w:hyperlink>
    </w:p>
    <w:p>
      <w:pPr>
        <w:spacing w:after="70" w:line="235"/>
        <w:ind w:left="360" w:hanging="360"/>
      </w:pPr>
      <w:r>
        <w:rPr>
          <w:rFonts w:ascii="Calibri" w:cs="Calibri" w:eastAsia="Calibri" w:hAnsi="Calibri"/>
          <w:sz w:val="18"/>
          <w:szCs w:val="18"/>
        </w:rPr>
        <w:t xml:space="preserve">Joanna Stefaniak et al. (2022). Inhibitors of glucosamine-6-phosphate synthase as potential antimicrobials or antidiabetics – synthesis and properties. Journal of Enzyme Inhibition and Medicinal Chemistry. </w:t>
      </w:r>
      <w:hyperlink w:history="1" r:id="rIdoxpwpfvp6yyiapitp5lvt">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mrmm7hs33-3qaljuzc82w">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M. Teixeira et al. (2022). New Antifungal Agents with Azole Moieties. Pharmaceuticals. </w:t>
      </w:r>
      <w:hyperlink w:history="1" r:id="rIdsn22aa5rcxn000ggobmpc">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fz3jdxmr4bdfqaocpmcom">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C. E. Theodore et al. (2023). Design, synthesis, anticancer activity and molecular docking of novel 1H-benzo[d]imidazole derivatives as potential EGFR inhibitors. Journal of Molecular Structure. </w:t>
      </w:r>
      <w:hyperlink w:history="1" r:id="rIdre-wpckb6vemi00wv5glk">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edgj20hnbhox_pkfgzngw">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H. Tolomeu et al. (2023). Imidazole: Synthesis, Functionalization and Physicochemical Properties of a Privileged Structure in Medicinal Chemistry. Molecules. </w:t>
      </w:r>
      <w:hyperlink w:history="1" r:id="rIdzj7rikgtrg8dy9lwlrqbv">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rtzopi8bqqgeh7juetqea">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A. Tripathi et al. (2025). Assessing the accuracy of binding pose prediction for kinase proteins and 7-azaindole inhibitors: a study with AutoDock4, Vina, DOCK 6, and GNINA 1.0. RSC Advances. </w:t>
      </w:r>
      <w:hyperlink w:history="1" r:id="rIdvj4lixhe9qdlzsoldqwgj">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h0ns0sdu9uti86sn-it-0">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T. Tuccinardi (2021). What is the current value of MM/PBSA and MM/GBSA methods in drug discovery?. Expert Opinion on Drug Discovery. </w:t>
      </w:r>
      <w:hyperlink w:history="1" r:id="rIdg2ohfatnaun9pszm_piac">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sc_kscp31mh7mg1hsa1jo">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G. Veríssimo et al. (2026). Machine Learning Classification Models for the Design of Novel Nitroimidazole Derivatives with Anti-Trichomonas vaginalis Activity. ACS Omega. </w:t>
      </w:r>
      <w:hyperlink w:history="1" r:id="rIdcddrhfozqvgnaz0d12ty6">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svcj1tsbkcbzbf8roaicb">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A. Vijesh et al. (2013). Molecular docking studies of some new imidazole derivatives for antimicrobial properties. Arabian Journal of Chemistry. </w:t>
      </w:r>
      <w:hyperlink w:history="1" r:id="rIddrgxbpvkengayxmxcuqgp">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2jknimtv0lx4ll5ahnkqu">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Vinayak Walhekar et al. (2026). From in silico and machine learning model to validation: discovery of novel amide-functionalized imidazopyridines as PIM-1 kinase inhibitors using an integrated ligand and structure-based hopping approach. RSC Advances. </w:t>
      </w:r>
      <w:hyperlink w:history="1" r:id="rId3qn6osy6beiwihn4ewq-9">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8j2qgorch3lbyfiobnjth">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Shunzhou Wan; Xibei Zhang; Xiao Xue; Peter V. Coveney (2026). On the Reliability of AI Methods in Drug Discovery: Evaluation of Boltz-2 for Structure and Binding Affinity Prediction. arXiv:2603.05532 [physics.chem-ph], 2 Mar 2026. [Preprint, not peer reviewed] </w:t>
      </w:r>
      <w:hyperlink w:history="1" r:id="rIdpj8bfv0ls5z1mduplc5nn">
        <w:r>
          <w:rPr>
            <w:rStyle w:val="Hyperlink"/>
            <w:rFonts w:ascii="Calibri" w:cs="Calibri" w:eastAsia="Calibri" w:hAnsi="Calibri"/>
            <w:sz w:val="18"/>
            <w:szCs w:val="18"/>
          </w:rPr>
          <w:t xml:space="preserve">View on alphaXiv</w:t>
        </w:r>
      </w:hyperlink>
    </w:p>
    <w:p>
      <w:pPr>
        <w:spacing w:after="70" w:line="235"/>
        <w:ind w:left="360" w:hanging="360"/>
      </w:pPr>
      <w:r>
        <w:rPr>
          <w:rFonts w:ascii="Calibri" w:cs="Calibri" w:eastAsia="Calibri" w:hAnsi="Calibri"/>
          <w:sz w:val="18"/>
          <w:szCs w:val="18"/>
        </w:rPr>
        <w:t xml:space="preserve">Li-Min Wang et al. (2006). Ytterbium triflate as an efficient catalyst for one-pot synthesis of substituted imidazoles through three-component condensation of benzil, aldehydes and ammonium acetate. Journal of Fluorine Chemistry. </w:t>
      </w:r>
      <w:hyperlink w:history="1" r:id="rIdzhg-30fqk9c-ngfduoyfs">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zm9an37y2hgnankqpg4pc">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Ercheng Wang et al. (2019). End-Point Binding Free Energy Calculation with MM/PBSA and MM/GBSA: Strategies and Applications in Drug Design. Chemical reviews. </w:t>
      </w:r>
      <w:hyperlink w:history="1" r:id="rIdvoxob6wgzcka2ko7wigob">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iyom2tq_apdpoz78anmz">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Ya-Jing Yin et al. (2026). Advances in Azole Antifungal Agents: From Structural Foundations to Resistance Challenges. Journal of Fungi. </w:t>
      </w:r>
      <w:hyperlink w:history="1" r:id="rIdr12bdplcjs1lv-aqey_qw">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fn6n_b3ondmk-l4rv6_bx">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E. Zarenezhad et al. (2023). Synthesis, Anti-microbial, Antifungal and In Silico Assessment of Some 2,4,5-Trisubstituted Imidazole Analogues. Journal of Molecular Structure. </w:t>
      </w:r>
      <w:hyperlink w:history="1" r:id="rIdjjoapldbxsclejcwl2zi_">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rrtyvkxk9tuesgetnssvg">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Wenjian Zhang et al. (2002). Inhibition of cytochromes P450 by antifungal imidazole derivatives. Drug metabolism and disposition: the biological fate of chemicals. </w:t>
      </w:r>
      <w:hyperlink w:history="1" r:id="rId5wd8yymahgkzogqologyk">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0ymrzxpjegfpf_izhnayk">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Ling Zhang et al. (2014). Comprehensive Review in Current Developments of Imidazole‐Based Medicinal Chemistry. Medicinal Research Reviews. </w:t>
      </w:r>
      <w:hyperlink w:history="1" r:id="rIdz-tba5cszisa3cwamej08">
        <w:r>
          <w:rPr>
            <w:rStyle w:val="Hyperlink"/>
            <w:rFonts w:ascii="Calibri" w:cs="Calibri" w:eastAsia="Calibri" w:hAnsi="Calibri"/>
            <w:sz w:val="18"/>
            <w:szCs w:val="18"/>
          </w:rPr>
          <w:t xml:space="preserve">View on Consensus</w:t>
        </w:r>
      </w:hyperlink>
      <w:r>
        <w:rPr>
          <w:rFonts w:ascii="Calibri" w:cs="Calibri" w:eastAsia="Calibri" w:hAnsi="Calibri"/>
          <w:sz w:val="18"/>
          <w:szCs w:val="18"/>
        </w:rPr>
        <w:t xml:space="preserve">  ·  </w:t>
      </w:r>
      <w:hyperlink w:history="1" r:id="rIdum-3ytqyczlqj-mmwhcwj">
        <w:r>
          <w:rPr>
            <w:rStyle w:val="Hyperlink"/>
            <w:rFonts w:ascii="Calibri" w:cs="Calibri" w:eastAsia="Calibri" w:hAnsi="Calibri"/>
            <w:sz w:val="18"/>
            <w:szCs w:val="18"/>
          </w:rPr>
          <w:t xml:space="preserve">DOI</w:t>
        </w:r>
      </w:hyperlink>
    </w:p>
    <w:p>
      <w:pPr>
        <w:spacing w:after="70" w:line="235"/>
        <w:ind w:left="360" w:hanging="360"/>
      </w:pPr>
      <w:r>
        <w:rPr>
          <w:rFonts w:ascii="Calibri" w:cs="Calibri" w:eastAsia="Calibri" w:hAnsi="Calibri"/>
          <w:sz w:val="18"/>
          <w:szCs w:val="18"/>
        </w:rPr>
        <w:t xml:space="preserve">Jiacheng Zheng; Chang Guo; Zixuan Wang; Xinyu Liu; Hao Chen (2026). Beyond Scaffold Splits: Structural-Frontier Evaluation Reveals Hidden Failures in ADMET Models. arXiv:2607.10729v4 [cs.LG], 6 Oct 2026. [Preprint, not peer reviewed] </w:t>
      </w:r>
      <w:hyperlink w:history="1" r:id="rId83ohqm7nupf-jsrjpzjs3">
        <w:r>
          <w:rPr>
            <w:rStyle w:val="Hyperlink"/>
            <w:rFonts w:ascii="Calibri" w:cs="Calibri" w:eastAsia="Calibri" w:hAnsi="Calibri"/>
            <w:sz w:val="18"/>
            <w:szCs w:val="18"/>
          </w:rPr>
          <w:t xml:space="preserve">View on alphaXiv</w:t>
        </w:r>
      </w:hyperlink>
    </w:p>
    <w:p>
      <w:pPr>
        <w:pStyle w:val="Heading1"/>
        <w:keepNext/>
      </w:pPr>
      <w:r>
        <w:rPr>
          <w:rFonts w:ascii="Calibri" w:cs="Calibri" w:eastAsia="Calibri" w:hAnsi="Calibri"/>
        </w:rPr>
        <w:t xml:space="preserve">8. Audit Log</w:t>
      </w:r>
    </w:p>
    <w:p>
      <w:pPr>
        <w:pStyle w:val="Heading2"/>
        <w:keepNext/>
      </w:pPr>
      <w:r>
        <w:rPr>
          <w:rFonts w:ascii="Calibri" w:cs="Calibri" w:eastAsia="Calibri" w:hAnsi="Calibri"/>
        </w:rPr>
        <w:t xml:space="preserve">8.1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00"/>
        <w:gridCol w:w="5260"/>
      </w:tblGrid>
      <w:tr>
        <w:trPr>
          <w:cantSplit/>
          <w:tblHeader/>
        </w:trPr>
        <w:tc>
          <w:tcPr>
            <w:tcW w:type="dxa" w:w="4100"/>
            <w:tcBorders>
              <w:top w:val="single" w:color="BFC7CF" w:sz="4"/>
              <w:left w:val="single" w:color="BFC7CF" w:sz="4"/>
              <w:bottom w:val="single" w:color="BFC7CF" w:sz="4"/>
              <w:right w:val="single" w:color="BFC7CF" w:sz="4"/>
            </w:tcBorders>
            <w:shd w:fill="D5E3EE" w:color="auto" w:val="clear"/>
            <w:tcMar>
              <w:top w:type="dxa" w:w="60"/>
              <w:left w:type="dxa" w:w="100"/>
              <w:bottom w:type="dxa" w:w="60"/>
              <w:right w:type="dxa" w:w="100"/>
            </w:tcMar>
            <w:vAlign w:val="top"/>
          </w:tcPr>
          <w:p>
            <w:pPr>
              <w:spacing w:after="0" w:line="245"/>
            </w:pPr>
            <w:r>
              <w:rPr>
                <w:rFonts w:ascii="Calibri" w:cs="Calibri" w:eastAsia="Calibri" w:hAnsi="Calibri"/>
                <w:b/>
                <w:bCs/>
                <w:sz w:val="18"/>
                <w:szCs w:val="18"/>
              </w:rPr>
              <w:t xml:space="preserve">Item</w:t>
            </w:r>
          </w:p>
        </w:tc>
        <w:tc>
          <w:tcPr>
            <w:tcW w:type="dxa" w:w="5260"/>
            <w:tcBorders>
              <w:top w:val="single" w:color="BFC7CF" w:sz="4"/>
              <w:left w:val="single" w:color="BFC7CF" w:sz="4"/>
              <w:bottom w:val="single" w:color="BFC7CF" w:sz="4"/>
              <w:right w:val="single" w:color="BFC7CF" w:sz="4"/>
            </w:tcBorders>
            <w:shd w:fill="D5E3EE" w:color="auto" w:val="clear"/>
            <w:tcMar>
              <w:top w:type="dxa" w:w="60"/>
              <w:left w:type="dxa" w:w="100"/>
              <w:bottom w:type="dxa" w:w="60"/>
              <w:right w:type="dxa" w:w="100"/>
            </w:tcMar>
            <w:vAlign w:val="top"/>
          </w:tcPr>
          <w:p>
            <w:pPr>
              <w:spacing w:after="0" w:line="245"/>
            </w:pPr>
            <w:r>
              <w:rPr>
                <w:rFonts w:ascii="Calibri" w:cs="Calibri" w:eastAsia="Calibri" w:hAnsi="Calibri"/>
                <w:b/>
                <w:bCs/>
                <w:sz w:val="18"/>
                <w:szCs w:val="18"/>
              </w:rPr>
              <w:t xml:space="preserve">Value</w:t>
            </w:r>
          </w:p>
        </w:tc>
      </w:tr>
      <w:tr>
        <w:trPr>
          <w:cantSplit/>
          <w:tblHeader w:val="false"/>
        </w:trPr>
        <w:tc>
          <w:tcPr>
            <w:tcW w:type="dxa" w:w="4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Consensus searches executed</w:t>
            </w:r>
          </w:p>
        </w:tc>
        <w:tc>
          <w:tcPr>
            <w:tcW w:type="dxa" w:w="52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21 (1 reconnaissance, 5 sub-area, 5 review-article, 4 era-gated, 3 follow-up on highly cited papers, 3 on emerging threads)</w:t>
            </w:r>
          </w:p>
        </w:tc>
      </w:tr>
      <w:tr>
        <w:trPr>
          <w:cantSplit/>
          <w:tblHeader w:val="false"/>
        </w:trPr>
        <w:tc>
          <w:tcPr>
            <w:tcW w:type="dxa" w:w="4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Failed searches and retries</w:t>
            </w:r>
          </w:p>
        </w:tc>
        <w:tc>
          <w:tcPr>
            <w:tcW w:type="dxa" w:w="52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0 failed, 0 retried</w:t>
            </w:r>
          </w:p>
        </w:tc>
      </w:tr>
      <w:tr>
        <w:trPr>
          <w:cantSplit/>
          <w:tblHeader w:val="false"/>
        </w:trPr>
        <w:tc>
          <w:tcPr>
            <w:tcW w:type="dxa" w:w="4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Records returned by Consensus</w:t>
            </w:r>
          </w:p>
        </w:tc>
        <w:tc>
          <w:tcPr>
            <w:tcW w:type="dxa" w:w="52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419 (20 per search; one search returned 19)</w:t>
            </w:r>
          </w:p>
        </w:tc>
      </w:tr>
      <w:tr>
        <w:trPr>
          <w:cantSplit/>
          <w:tblHeader w:val="false"/>
        </w:trPr>
        <w:tc>
          <w:tcPr>
            <w:tcW w:type="dxa" w:w="4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Unique papers received (deduplicated)</w:t>
            </w:r>
          </w:p>
        </w:tc>
        <w:tc>
          <w:tcPr>
            <w:tcW w:type="dxa" w:w="52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377</w:t>
            </w:r>
          </w:p>
        </w:tc>
      </w:tr>
      <w:tr>
        <w:trPr>
          <w:cantSplit/>
          <w:tblHeader w:val="false"/>
        </w:trPr>
        <w:tc>
          <w:tcPr>
            <w:tcW w:type="dxa" w:w="4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Consensus tier detected</w:t>
            </w:r>
          </w:p>
        </w:tc>
        <w:tc>
          <w:tcPr>
            <w:tcW w:type="dxa" w:w="52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Pro-level, up to 20 results per search</w:t>
            </w:r>
          </w:p>
        </w:tc>
      </w:tr>
      <w:tr>
        <w:trPr>
          <w:cantSplit/>
          <w:tblHeader w:val="false"/>
        </w:trPr>
        <w:tc>
          <w:tcPr>
            <w:tcW w:type="dxa" w:w="4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alphaXiv</w:t>
            </w:r>
          </w:p>
        </w:tc>
        <w:tc>
          <w:tcPr>
            <w:tcW w:type="dxa" w:w="52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3 discovery queries; 42 records returned (41 unique); 7 read in full text</w:t>
            </w:r>
          </w:p>
        </w:tc>
      </w:tr>
      <w:tr>
        <w:trPr>
          <w:cantSplit/>
          <w:tblHeader w:val="false"/>
        </w:trPr>
        <w:tc>
          <w:tcPr>
            <w:tcW w:type="dxa" w:w="4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Selection cap</w:t>
            </w:r>
          </w:p>
        </w:tc>
        <w:tc>
          <w:tcPr>
            <w:tcW w:type="dxa" w:w="52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150 papers in total, set by the user: 143 Consensus plus 7 alphaXiv; all 150 are cited in the companion review article</w:t>
            </w:r>
          </w:p>
        </w:tc>
      </w:tr>
      <w:tr>
        <w:trPr>
          <w:cantSplit/>
          <w:tblHeader w:val="false"/>
        </w:trPr>
        <w:tc>
          <w:tcPr>
            <w:tcW w:type="dxa" w:w="4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Papers cited in this guide</w:t>
            </w:r>
          </w:p>
        </w:tc>
        <w:tc>
          <w:tcPr>
            <w:tcW w:type="dxa" w:w="52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83 (78 Consensus plus 5 alphaXiv)</w:t>
            </w:r>
          </w:p>
        </w:tc>
      </w:tr>
      <w:tr>
        <w:trPr>
          <w:cantSplit/>
          <w:tblHeader w:val="false"/>
        </w:trPr>
        <w:tc>
          <w:tcPr>
            <w:tcW w:type="dxa" w:w="410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Papers cited from outside the retrieved sets</w:t>
            </w:r>
          </w:p>
        </w:tc>
        <w:tc>
          <w:tcPr>
            <w:tcW w:type="dxa" w:w="5260"/>
            <w:tcBorders>
              <w:top w:val="single" w:color="BFC7CF" w:sz="4"/>
              <w:left w:val="single" w:color="BFC7CF" w:sz="4"/>
              <w:bottom w:val="single" w:color="BFC7CF" w:sz="4"/>
              <w:right w:val="single" w:color="BFC7CF" w:sz="4"/>
            </w:tcBorders>
            <w:tcMar>
              <w:top w:type="dxa" w:w="60"/>
              <w:left w:type="dxa" w:w="100"/>
              <w:bottom w:type="dxa" w:w="60"/>
              <w:right w:type="dxa" w:w="100"/>
            </w:tcMar>
            <w:vAlign w:val="top"/>
          </w:tcPr>
          <w:p>
            <w:pPr>
              <w:spacing w:after="0" w:line="245"/>
            </w:pPr>
            <w:r>
              <w:rPr>
                <w:rFonts w:ascii="Calibri" w:cs="Calibri" w:eastAsia="Calibri" w:hAnsi="Calibri"/>
                <w:b w:val="false"/>
                <w:bCs w:val="false"/>
                <w:sz w:val="18"/>
                <w:szCs w:val="18"/>
              </w:rPr>
              <w:t xml:space="preserve">0; no model-knowledge papers are cited</w:t>
            </w:r>
          </w:p>
        </w:tc>
      </w:tr>
    </w:tbl>
    <w:p>
      <w:pPr>
        <w:spacing w:after="160"/>
      </w:pPr>
    </w:p>
    <w:p>
      <w:pPr>
        <w:pStyle w:val="Heading2"/>
        <w:keepNext/>
      </w:pPr>
      <w:r>
        <w:rPr>
          <w:rFonts w:ascii="Calibri" w:cs="Calibri" w:eastAsia="Calibri" w:hAnsi="Calibri"/>
        </w:rPr>
        <w:t xml:space="preserve">8.2 Consensus search log</w:t>
      </w:r>
    </w:p>
    <w:p>
      <w:pPr>
        <w:spacing w:after="120" w:before="0" w:line="264"/>
        <w:jc w:val="left"/>
      </w:pPr>
      <w:r>
        <w:rPr>
          <w:rFonts w:ascii="Calibri" w:cs="Calibri" w:eastAsia="Calibri" w:hAnsi="Calibri"/>
          <w:sz w:val="21"/>
          <w:szCs w:val="21"/>
        </w:rPr>
        <w:t xml:space="preserve">Searches were run one at a time, at least one second apart. "New unique" is the number of papers not returned by any earlier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00"/>
        <w:gridCol w:w="1450"/>
        <w:gridCol w:w="900"/>
        <w:gridCol w:w="900"/>
        <w:gridCol w:w="1310"/>
      </w:tblGrid>
      <w:tr>
        <w:trPr>
          <w:tblHeader/>
        </w:trPr>
        <w:tc>
          <w:tcPr>
            <w:tcW w:type="dxa" w:w="500"/>
            <w:tcBorders>
              <w:top w:val="single" w:color="BFC7CF" w:sz="4"/>
              <w:left w:val="single" w:color="BFC7CF" w:sz="4"/>
              <w:bottom w:val="single" w:color="BFC7CF" w:sz="4"/>
              <w:right w:val="single" w:color="BFC7CF" w:sz="4"/>
            </w:tcBorders>
            <w:shd w:fill="D5E3EE" w:color="auto" w:val="clear"/>
            <w:tcMar>
              <w:top w:type="dxa" w:w="40"/>
              <w:left w:type="dxa" w:w="80"/>
              <w:bottom w:type="dxa" w:w="40"/>
              <w:right w:type="dxa" w:w="80"/>
            </w:tcMar>
          </w:tcPr>
          <w:p>
            <w:pPr>
              <w:spacing w:after="0" w:line="230"/>
            </w:pPr>
            <w:r>
              <w:rPr>
                <w:rFonts w:ascii="Calibri" w:cs="Calibri" w:eastAsia="Calibri" w:hAnsi="Calibri"/>
                <w:b/>
                <w:bCs/>
                <w:sz w:val="16"/>
                <w:szCs w:val="16"/>
              </w:rPr>
              <w:t xml:space="preserve">#</w:t>
            </w:r>
          </w:p>
        </w:tc>
        <w:tc>
          <w:tcPr>
            <w:tcW w:type="dxa" w:w="4300"/>
            <w:tcBorders>
              <w:top w:val="single" w:color="BFC7CF" w:sz="4"/>
              <w:left w:val="single" w:color="BFC7CF" w:sz="4"/>
              <w:bottom w:val="single" w:color="BFC7CF" w:sz="4"/>
              <w:right w:val="single" w:color="BFC7CF" w:sz="4"/>
            </w:tcBorders>
            <w:shd w:fill="D5E3EE" w:color="auto" w:val="clear"/>
            <w:tcMar>
              <w:top w:type="dxa" w:w="40"/>
              <w:left w:type="dxa" w:w="80"/>
              <w:bottom w:type="dxa" w:w="40"/>
              <w:right w:type="dxa" w:w="80"/>
            </w:tcMar>
          </w:tcPr>
          <w:p>
            <w:pPr>
              <w:spacing w:after="0" w:line="230"/>
            </w:pPr>
            <w:r>
              <w:rPr>
                <w:rFonts w:ascii="Calibri" w:cs="Calibri" w:eastAsia="Calibri" w:hAnsi="Calibri"/>
                <w:b/>
                <w:bCs/>
                <w:sz w:val="16"/>
                <w:szCs w:val="16"/>
              </w:rPr>
              <w:t xml:space="preserve">Search query (tag)</w:t>
            </w:r>
          </w:p>
        </w:tc>
        <w:tc>
          <w:tcPr>
            <w:tcW w:type="dxa" w:w="1450"/>
            <w:tcBorders>
              <w:top w:val="single" w:color="BFC7CF" w:sz="4"/>
              <w:left w:val="single" w:color="BFC7CF" w:sz="4"/>
              <w:bottom w:val="single" w:color="BFC7CF" w:sz="4"/>
              <w:right w:val="single" w:color="BFC7CF" w:sz="4"/>
            </w:tcBorders>
            <w:shd w:fill="D5E3EE" w:color="auto" w:val="clear"/>
            <w:tcMar>
              <w:top w:type="dxa" w:w="40"/>
              <w:left w:type="dxa" w:w="80"/>
              <w:bottom w:type="dxa" w:w="40"/>
              <w:right w:type="dxa" w:w="80"/>
            </w:tcMar>
          </w:tcPr>
          <w:p>
            <w:pPr>
              <w:spacing w:after="0" w:line="230"/>
            </w:pPr>
            <w:r>
              <w:rPr>
                <w:rFonts w:ascii="Calibri" w:cs="Calibri" w:eastAsia="Calibri" w:hAnsi="Calibri"/>
                <w:b/>
                <w:bCs/>
                <w:sz w:val="16"/>
                <w:szCs w:val="16"/>
              </w:rPr>
              <w:t xml:space="preserve">Filters</w:t>
            </w:r>
          </w:p>
        </w:tc>
        <w:tc>
          <w:tcPr>
            <w:tcW w:type="dxa" w:w="900"/>
            <w:tcBorders>
              <w:top w:val="single" w:color="BFC7CF" w:sz="4"/>
              <w:left w:val="single" w:color="BFC7CF" w:sz="4"/>
              <w:bottom w:val="single" w:color="BFC7CF" w:sz="4"/>
              <w:right w:val="single" w:color="BFC7CF" w:sz="4"/>
            </w:tcBorders>
            <w:shd w:fill="D5E3EE" w:color="auto" w:val="clear"/>
            <w:tcMar>
              <w:top w:type="dxa" w:w="40"/>
              <w:left w:type="dxa" w:w="80"/>
              <w:bottom w:type="dxa" w:w="40"/>
              <w:right w:type="dxa" w:w="80"/>
            </w:tcMar>
          </w:tcPr>
          <w:p>
            <w:pPr>
              <w:spacing w:after="0" w:line="230"/>
            </w:pPr>
            <w:r>
              <w:rPr>
                <w:rFonts w:ascii="Calibri" w:cs="Calibri" w:eastAsia="Calibri" w:hAnsi="Calibri"/>
                <w:b/>
                <w:bCs/>
                <w:sz w:val="16"/>
                <w:szCs w:val="16"/>
              </w:rPr>
              <w:t xml:space="preserve">Returned</w:t>
            </w:r>
          </w:p>
        </w:tc>
        <w:tc>
          <w:tcPr>
            <w:tcW w:type="dxa" w:w="900"/>
            <w:tcBorders>
              <w:top w:val="single" w:color="BFC7CF" w:sz="4"/>
              <w:left w:val="single" w:color="BFC7CF" w:sz="4"/>
              <w:bottom w:val="single" w:color="BFC7CF" w:sz="4"/>
              <w:right w:val="single" w:color="BFC7CF" w:sz="4"/>
            </w:tcBorders>
            <w:shd w:fill="D5E3EE" w:color="auto" w:val="clear"/>
            <w:tcMar>
              <w:top w:type="dxa" w:w="40"/>
              <w:left w:type="dxa" w:w="80"/>
              <w:bottom w:type="dxa" w:w="40"/>
              <w:right w:type="dxa" w:w="80"/>
            </w:tcMar>
          </w:tcPr>
          <w:p>
            <w:pPr>
              <w:spacing w:after="0" w:line="230"/>
            </w:pPr>
            <w:r>
              <w:rPr>
                <w:rFonts w:ascii="Calibri" w:cs="Calibri" w:eastAsia="Calibri" w:hAnsi="Calibri"/>
                <w:b/>
                <w:bCs/>
                <w:sz w:val="16"/>
                <w:szCs w:val="16"/>
              </w:rPr>
              <w:t xml:space="preserve">New unique</w:t>
            </w:r>
          </w:p>
        </w:tc>
        <w:tc>
          <w:tcPr>
            <w:tcW w:type="dxa" w:w="1310"/>
            <w:tcBorders>
              <w:top w:val="single" w:color="BFC7CF" w:sz="4"/>
              <w:left w:val="single" w:color="BFC7CF" w:sz="4"/>
              <w:bottom w:val="single" w:color="BFC7CF" w:sz="4"/>
              <w:right w:val="single" w:color="BFC7CF" w:sz="4"/>
            </w:tcBorders>
            <w:shd w:fill="D5E3EE" w:color="auto" w:val="clear"/>
            <w:tcMar>
              <w:top w:type="dxa" w:w="40"/>
              <w:left w:type="dxa" w:w="80"/>
              <w:bottom w:type="dxa" w:w="40"/>
              <w:right w:type="dxa" w:w="80"/>
            </w:tcMar>
          </w:tcPr>
          <w:p>
            <w:pPr>
              <w:spacing w:after="0" w:line="230"/>
            </w:pPr>
            <w:r>
              <w:rPr>
                <w:rFonts w:ascii="Calibri" w:cs="Calibri" w:eastAsia="Calibri" w:hAnsi="Calibri"/>
                <w:b/>
                <w:bCs/>
                <w:sz w:val="16"/>
                <w:szCs w:val="16"/>
              </w:rPr>
              <w:t xml:space="preserve">Status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design and synthesis of imidazole derivatives with biological activity molecular docking in silico (recon)</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synthesis of imidazole derivatives multicomponent reaction green chemistry hybrid pharmacophore design (Sub-area A)</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17</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3</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imidazole derivatives anticancer kinase inhibitors EGFR VEGFR tubulin structure-activity relationship (Sub-area B)</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19</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4</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imidazole derivatives antibacterial antifungal activity CYP51 lanosterol demethylase docking antimicrobial resistance (Sub-area C)</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5</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imidazole derivatives antidiabetic antiviral antioxidant anti-inflammatory neuroprotective activity in silico docking ADMET (Sub-area D)</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17</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6</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reliability and limitations of molecular docking scoring functions validation of virtual screening ADMET prediction accuracy (Sub-area E)</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7</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systematic review imidazole scaffold drug design synthetic methodologies and structure-activity relationships (Review search, sub-area A)</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17</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8</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systematic review meta-analysis imidazole benzimidazole anticancer agents mechanisms clinical candidates (Review search, sub-area B)</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19</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9</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systematic review imidazole antimicrobial antifungal antibacterial agents resistance mechanisms azole (Review search, sub-area C)</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10</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review imidazole derivatives antidiabetic antiviral anti-inflammatory antitubercular Alzheimer therapeutic potential (Review search, sub-area D)</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14</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11</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review molecular dynamics simulation MM-GBSA DFT ADMET prediction in silico drug design limitations experimental validation (Review search, sub-area E)</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12</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synthesis of substituted imidazoles one-pot condensation Debus-Radziszewski catalyst biological activity (Era-gated A, old)</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year_max: 2015</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13</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synthesis of substituted imidazoles one-pot condensation Debus-Radziszewski catalyst biological activity (Era-gated A, new)</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year_min: 2021</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17</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14</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imidazole derivatives molecular docking synthesis biological evaluation anticancer antimicrobial design (Era-gated B/E, old)</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year_max: 2015</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19</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17</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15</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imidazole derivatives molecular docking synthesis biological evaluation anticancer antimicrobial design (Era-gated B/E, new)</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year_min: 2021</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15</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16</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imidazole-based compounds clinical drugs medicinal chemistry developments anticancer antifungal antibacterial antitubercular (Follow-up on Zhang 2014, 696 cites)</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year_min: 2015</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8</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17</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glucosamine-6-phosphate synthase molecular docking imidazole antibacterial derivatives binding energy (Follow-up on Vijesh 2013, 155 cites)</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year_min: 2014</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18</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MM/GBSA binding free energy accuracy correlation with experimental affinity docking rescoring benchmark limitations (Follow-up on Wang 2019 Chem Rev, 2013 cites)</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year_min: 2020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18</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19</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accuracy and validation of in silico ADMET prediction tools SwissADME pkCSM drug-likeness Lipinski rule limitations (Spare 1: ADMET reliability)</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19</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imidazole heme coordination human cytochrome P450 inhibition selectivity hepatotoxicity drug-drug interactions azole antifungal (Spare 2: CYP liability)</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none</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r>
        <w:trPr>
          <w:cantSplit/>
        </w:trPr>
        <w:tc>
          <w:tcPr>
            <w:tcW w:type="dxa" w:w="5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21</w:t>
            </w:r>
          </w:p>
        </w:tc>
        <w:tc>
          <w:tcPr>
            <w:tcW w:type="dxa" w:w="43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QSAR machine learning generative design imidazole benzimidazole derivatives bioactivity prediction virtual screening (Spare 3: QSAR/ML design)</w:t>
            </w:r>
          </w:p>
        </w:tc>
        <w:tc>
          <w:tcPr>
            <w:tcW w:type="dxa" w:w="145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year_min: 2021</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90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20</w:t>
            </w:r>
          </w:p>
        </w:tc>
        <w:tc>
          <w:tcPr>
            <w:tcW w:type="dxa" w:w="1310"/>
            <w:tcBorders>
              <w:top w:val="single" w:color="BFC7CF" w:sz="4"/>
              <w:left w:val="single" w:color="BFC7CF" w:sz="4"/>
              <w:bottom w:val="single" w:color="BFC7CF" w:sz="4"/>
              <w:right w:val="single" w:color="BFC7CF" w:sz="4"/>
            </w:tcBorders>
            <w:tcMar>
              <w:top w:type="dxa" w:w="40"/>
              <w:left w:type="dxa" w:w="80"/>
              <w:bottom w:type="dxa" w:w="40"/>
              <w:right w:type="dxa" w:w="80"/>
            </w:tcMar>
          </w:tcPr>
          <w:p>
            <w:pPr>
              <w:spacing w:after="0" w:line="230"/>
            </w:pPr>
            <w:r>
              <w:rPr>
                <w:rFonts w:ascii="Calibri" w:cs="Calibri" w:eastAsia="Calibri" w:hAnsi="Calibri"/>
                <w:b w:val="false"/>
                <w:bCs w:val="false"/>
                <w:sz w:val="16"/>
                <w:szCs w:val="16"/>
              </w:rPr>
              <w:t xml:space="preserve">Success</w:t>
            </w:r>
          </w:p>
        </w:tc>
      </w:tr>
    </w:tbl>
    <w:p>
      <w:pPr>
        <w:spacing w:after="160"/>
      </w:pPr>
    </w:p>
    <w:p>
      <w:pPr>
        <w:pStyle w:val="Heading2"/>
        <w:keepNext/>
      </w:pPr>
      <w:r>
        <w:rPr>
          <w:rFonts w:ascii="Calibri" w:cs="Calibri" w:eastAsia="Calibri" w:hAnsi="Calibri"/>
        </w:rPr>
        <w:t xml:space="preserve">8.3 alphaXiv queries</w:t>
      </w:r>
    </w:p>
    <w:p>
      <w:pPr>
        <w:pStyle w:val="ListParagraph"/>
        <w:numPr>
          <w:ilvl w:val="0"/>
          <w:numId w:val="2"/>
        </w:numPr>
        <w:spacing w:after="70" w:line="258"/>
      </w:pPr>
      <w:r>
        <w:rPr>
          <w:rFonts w:ascii="Calibri" w:cs="Calibri" w:eastAsia="Calibri" w:hAnsi="Calibri"/>
          <w:sz w:val="21"/>
          <w:szCs w:val="21"/>
        </w:rPr>
        <w:t xml:space="preserve">Discovery query on imidazole and benzimidazole design and synthesis with docking, ADMET and DFT.</w:t>
      </w:r>
    </w:p>
    <w:p>
      <w:pPr>
        <w:pStyle w:val="ListParagraph"/>
        <w:numPr>
          <w:ilvl w:val="0"/>
          <w:numId w:val="2"/>
        </w:numPr>
        <w:spacing w:after="70" w:line="258"/>
      </w:pPr>
      <w:r>
        <w:rPr>
          <w:rFonts w:ascii="Calibri" w:cs="Calibri" w:eastAsia="Calibri" w:hAnsi="Calibri"/>
          <w:sz w:val="21"/>
          <w:szCs w:val="21"/>
        </w:rPr>
        <w:t xml:space="preserve">Discovery query on reliability of molecular docking, binding-affinity prediction and ADMET prediction in small-molecule drug design.</w:t>
      </w:r>
    </w:p>
    <w:p>
      <w:pPr>
        <w:pStyle w:val="ListParagraph"/>
        <w:numPr>
          <w:ilvl w:val="0"/>
          <w:numId w:val="2"/>
        </w:numPr>
        <w:spacing w:after="70" w:line="258"/>
      </w:pPr>
      <w:r>
        <w:rPr>
          <w:rFonts w:ascii="Calibri" w:cs="Calibri" w:eastAsia="Calibri" w:hAnsi="Calibri"/>
          <w:sz w:val="21"/>
          <w:szCs w:val="21"/>
        </w:rPr>
        <w:t xml:space="preserve">Discovery query on imidazole or benzimidazole compounds as antifungal, antibacterial, anticancer or kinase-inhibitor candidates, computational or experimental.</w:t>
      </w:r>
    </w:p>
    <w:p>
      <w:pPr>
        <w:spacing w:after="60"/>
      </w:pPr>
    </w:p>
    <w:p>
      <w:pPr>
        <w:spacing w:after="120" w:before="0" w:line="264"/>
        <w:jc w:val="left"/>
      </w:pPr>
      <w:r>
        <w:rPr>
          <w:rFonts w:ascii="Calibri" w:cs="Calibri" w:eastAsia="Calibri" w:hAnsi="Calibri"/>
          <w:sz w:val="21"/>
          <w:szCs w:val="21"/>
        </w:rPr>
        <w:t xml:space="preserve">Seven preprints were read in full text with the PDF-query tool. Only one (a benzimidazole–pyrazoline antimicrobial study, deposited in 2020 and published in a journal in 2017) was a medicinal-chemistry imidazole paper; one more was an organic-electronics imidazole paper that is not cited here.</w:t>
      </w:r>
    </w:p>
    <w:p>
      <w:pPr>
        <w:pStyle w:val="Heading2"/>
        <w:keepNext/>
      </w:pPr>
      <w:r>
        <w:rPr>
          <w:rFonts w:ascii="Calibri" w:cs="Calibri" w:eastAsia="Calibri" w:hAnsi="Calibri"/>
        </w:rPr>
        <w:t xml:space="preserve">8.4 Selection rule</w:t>
      </w:r>
    </w:p>
    <w:p>
      <w:pPr>
        <w:spacing w:after="120" w:before="0" w:line="264"/>
        <w:jc w:val="left"/>
      </w:pPr>
      <w:r>
        <w:rPr>
          <w:rFonts w:ascii="Calibri" w:cs="Calibri" w:eastAsia="Calibri" w:hAnsi="Calibri"/>
          <w:sz w:val="21"/>
          <w:szCs w:val="21"/>
        </w:rPr>
        <w:t xml:space="preserve">From the 377 Consensus papers and the preprints, 150 were kept under four rules: direct relevance to imidazole, benzimidazole or fused-imidazole design, synthesis and biology, or to in silico methods applied to them; recency, with 2020 onward as the default (128 of the 143 Consensus papers, and 134 of 150 overall); older papers only as landmarks (at least 100 citations) or as the sole source for a needed claim; and, for preprints, full-text reading. Many relevant papers in the 377 were therefore not selected. Bibliographic fields were checked against the raw search output for every cited record.</w:t>
      </w:r>
    </w:p>
    <w:p>
      <w:pPr>
        <w:pStyle w:val="Heading2"/>
        <w:keepNext/>
      </w:pPr>
      <w:r>
        <w:rPr>
          <w:rFonts w:ascii="Calibri" w:cs="Calibri" w:eastAsia="Calibri" w:hAnsi="Calibri"/>
        </w:rPr>
        <w:t xml:space="preserve">8.5 Coverage notes</w:t>
      </w:r>
    </w:p>
    <w:p>
      <w:pPr>
        <w:pStyle w:val="ListParagraph"/>
        <w:numPr>
          <w:ilvl w:val="0"/>
          <w:numId w:val="2"/>
        </w:numPr>
        <w:spacing w:after="70" w:line="258"/>
      </w:pPr>
      <w:r>
        <w:rPr>
          <w:rFonts w:ascii="Calibri" w:cs="Calibri" w:eastAsia="Calibri" w:hAnsi="Calibri"/>
          <w:b/>
          <w:bCs/>
          <w:sz w:val="21"/>
          <w:szCs w:val="21"/>
        </w:rPr>
        <w:t xml:space="preserve">Per-search ceiling.</w:t>
      </w:r>
      <w:r>
        <w:rPr>
          <w:rFonts w:ascii="Calibri" w:cs="Calibri" w:eastAsia="Calibri" w:hAnsi="Calibri"/>
          <w:sz w:val="21"/>
          <w:szCs w:val="21"/>
        </w:rPr>
        <w:t xml:space="preserve"> Each search returns at most 20 papers, so a sub-area with more relevant work was sampled and not exhausted. Nine searches returned 20 papers that were all new, which suggests those areas were far from saturated. The follow-up search seeded by the 2014 review had 12 of 20 results already seen, which suggests the scaffold-review area is closer to saturated for these terms.</w:t>
      </w:r>
    </w:p>
    <w:p>
      <w:pPr>
        <w:pStyle w:val="ListParagraph"/>
        <w:numPr>
          <w:ilvl w:val="0"/>
          <w:numId w:val="2"/>
        </w:numPr>
        <w:spacing w:after="70" w:line="258"/>
      </w:pPr>
      <w:r>
        <w:rPr>
          <w:rFonts w:ascii="Calibri" w:cs="Calibri" w:eastAsia="Calibri" w:hAnsi="Calibri"/>
          <w:b/>
          <w:bCs/>
          <w:sz w:val="21"/>
          <w:szCs w:val="21"/>
        </w:rPr>
        <w:t xml:space="preserve">Abstract-level reading.</w:t>
      </w:r>
      <w:r>
        <w:rPr>
          <w:rFonts w:ascii="Calibri" w:cs="Calibri" w:eastAsia="Calibri" w:hAnsi="Calibri"/>
          <w:sz w:val="21"/>
          <w:szCs w:val="21"/>
        </w:rPr>
        <w:t xml:space="preserve"> Consensus supplies the first author and an abstract. Statements such as "rarely reported" describe the abstracts we read and may under-count what full texts contain. Group identification is limited to first-author recurrence.</w:t>
      </w:r>
    </w:p>
    <w:p>
      <w:pPr>
        <w:pStyle w:val="ListParagraph"/>
        <w:numPr>
          <w:ilvl w:val="0"/>
          <w:numId w:val="2"/>
        </w:numPr>
        <w:spacing w:after="70" w:line="258"/>
      </w:pPr>
      <w:r>
        <w:rPr>
          <w:rFonts w:ascii="Calibri" w:cs="Calibri" w:eastAsia="Calibri" w:hAnsi="Calibri"/>
          <w:b/>
          <w:bCs/>
          <w:sz w:val="21"/>
          <w:szCs w:val="21"/>
        </w:rPr>
        <w:t xml:space="preserve">Sample skew.</w:t>
      </w:r>
      <w:r>
        <w:rPr>
          <w:rFonts w:ascii="Calibri" w:cs="Calibri" w:eastAsia="Calibri" w:hAnsi="Calibri"/>
          <w:sz w:val="21"/>
          <w:szCs w:val="21"/>
        </w:rPr>
        <w:t xml:space="preserve"> The searches targeted studies that combine synthesis with in silico work, so the sample over-represents that style and under-represents classical medicinal chemistry without computation.</w:t>
      </w:r>
    </w:p>
    <w:p>
      <w:pPr>
        <w:pStyle w:val="ListParagraph"/>
        <w:numPr>
          <w:ilvl w:val="0"/>
          <w:numId w:val="2"/>
        </w:numPr>
        <w:spacing w:after="70" w:line="258"/>
      </w:pPr>
      <w:r>
        <w:rPr>
          <w:rFonts w:ascii="Calibri" w:cs="Calibri" w:eastAsia="Calibri" w:hAnsi="Calibri"/>
          <w:b/>
          <w:bCs/>
          <w:sz w:val="21"/>
          <w:szCs w:val="21"/>
        </w:rPr>
        <w:t xml:space="preserve">alphaXiv scope.</w:t>
      </w:r>
      <w:r>
        <w:rPr>
          <w:rFonts w:ascii="Calibri" w:cs="Calibri" w:eastAsia="Calibri" w:hAnsi="Calibri"/>
          <w:sz w:val="21"/>
          <w:szCs w:val="21"/>
        </w:rPr>
        <w:t xml:space="preserve"> alphaXiv indexes arXiv and contains little medicinal chemistry; its value here is the benchmarking and reliability literature.</w:t>
      </w:r>
    </w:p>
    <w:p>
      <w:pPr>
        <w:pStyle w:val="ListParagraph"/>
        <w:numPr>
          <w:ilvl w:val="0"/>
          <w:numId w:val="2"/>
        </w:numPr>
        <w:spacing w:after="70" w:line="258"/>
      </w:pPr>
      <w:r>
        <w:rPr>
          <w:rFonts w:ascii="Calibri" w:cs="Calibri" w:eastAsia="Calibri" w:hAnsi="Calibri"/>
          <w:b/>
          <w:bCs/>
          <w:sz w:val="21"/>
          <w:szCs w:val="21"/>
        </w:rPr>
        <w:t xml:space="preserve">Not searched.</w:t>
      </w:r>
      <w:r>
        <w:rPr>
          <w:rFonts w:ascii="Calibri" w:cs="Calibri" w:eastAsia="Calibri" w:hAnsi="Calibri"/>
          <w:sz w:val="21"/>
          <w:szCs w:val="21"/>
        </w:rPr>
        <w:t xml:space="preserve"> PubMed, Scopus and Web of Science directly, patents, clinical-trial registries and non-English literature.</w:t>
      </w:r>
    </w:p>
    <w:p>
      <w:pPr>
        <w:pStyle w:val="ListParagraph"/>
        <w:numPr>
          <w:ilvl w:val="0"/>
          <w:numId w:val="2"/>
        </w:numPr>
        <w:spacing w:after="70" w:line="258"/>
      </w:pPr>
      <w:r>
        <w:rPr>
          <w:rFonts w:ascii="Calibri" w:cs="Calibri" w:eastAsia="Calibri" w:hAnsi="Calibri"/>
          <w:b/>
          <w:bCs/>
          <w:sz w:val="21"/>
          <w:szCs w:val="21"/>
        </w:rPr>
        <w:t xml:space="preserve">Search terms and Boolean strings (Section 4c and 4d).</w:t>
      </w:r>
      <w:r>
        <w:rPr>
          <w:rFonts w:ascii="Calibri" w:cs="Calibri" w:eastAsia="Calibri" w:hAnsi="Calibri"/>
          <w:sz w:val="21"/>
          <w:szCs w:val="21"/>
        </w:rPr>
        <w:t xml:space="preserve"> These are suggestions written by the assistant from the terminology in the retrieved papers. They were not executed. Consensus accepts plain-language queries, so the Boolean strings are intended for PubMed, Scopus or Web of Science and may need field tags and syntax changes.</w:t>
      </w:r>
    </w:p>
    <w:p>
      <w:pPr>
        <w:pStyle w:val="ListParagraph"/>
        <w:numPr>
          <w:ilvl w:val="0"/>
          <w:numId w:val="2"/>
        </w:numPr>
        <w:spacing w:after="70" w:line="258"/>
      </w:pPr>
      <w:r>
        <w:rPr>
          <w:rFonts w:ascii="Calibri" w:cs="Calibri" w:eastAsia="Calibri" w:hAnsi="Calibri"/>
          <w:b/>
          <w:bCs/>
          <w:sz w:val="21"/>
          <w:szCs w:val="21"/>
        </w:rPr>
        <w:t xml:space="preserve">Citation counts</w:t>
      </w:r>
      <w:r>
        <w:rPr>
          <w:rFonts w:ascii="Calibri" w:cs="Calibri" w:eastAsia="Calibri" w:hAnsi="Calibri"/>
          <w:sz w:val="21"/>
          <w:szCs w:val="21"/>
        </w:rPr>
        <w:t xml:space="preserve"> are those returned by Consensus on the search date and are reported as given.</w:t>
      </w:r>
    </w:p>
    <w:p>
      <w:pPr>
        <w:pStyle w:val="ListParagraph"/>
        <w:numPr>
          <w:ilvl w:val="0"/>
          <w:numId w:val="2"/>
        </w:numPr>
        <w:spacing w:after="70" w:line="258"/>
      </w:pPr>
      <w:r>
        <w:rPr>
          <w:rFonts w:ascii="Calibri" w:cs="Calibri" w:eastAsia="Calibri" w:hAnsi="Calibri"/>
          <w:b/>
          <w:bCs/>
          <w:sz w:val="21"/>
          <w:szCs w:val="21"/>
        </w:rPr>
        <w:t xml:space="preserve">Preprints</w:t>
      </w:r>
      <w:r>
        <w:rPr>
          <w:rFonts w:ascii="Calibri" w:cs="Calibri" w:eastAsia="Calibri" w:hAnsi="Calibri"/>
          <w:sz w:val="21"/>
          <w:szCs w:val="21"/>
        </w:rPr>
        <w:t xml:space="preserve"> have not been peer reviewed and are marked as such wherever they appear.</w:t>
      </w:r>
    </w:p>
    <w:p>
      <w:pPr>
        <w:spacing w:after="60"/>
      </w:pPr>
    </w:p>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A"/>
        <w:sz w:val="16"/>
        <w:szCs w:val="16"/>
      </w:rPr>
      <w:t xml:space="preserve">Page </w:t>
    </w:r>
    <w:r>
      <w:rPr>
        <w:rFonts w:ascii="Calibri" w:cs="Calibri" w:eastAsia="Calibri" w:hAnsi="Calibri"/>
        <w:color w:val="5B6B7A"/>
        <w:sz w:val="16"/>
        <w:szCs w:val="16"/>
      </w:rPr>
      <w:fldChar w:fldCharType="begin"/>
      <w:instrText xml:space="preserve">PAGE</w:instrText>
      <w:fldChar w:fldCharType="separate"/>
      <w:fldChar w:fldCharType="end"/>
    </w:r>
    <w:r>
      <w:rPr>
        <w:rFonts w:ascii="Calibri" w:cs="Calibri" w:eastAsia="Calibri" w:hAnsi="Calibri"/>
        <w:color w:val="5B6B7A"/>
        <w:sz w:val="16"/>
        <w:szCs w:val="16"/>
      </w:rPr>
      <w:t xml:space="preserve"> of </w:t>
    </w:r>
    <w:r>
      <w:rPr>
        <w:rFonts w:ascii="Calibri" w:cs="Calibri" w:eastAsia="Calibri" w:hAnsi="Calibri"/>
        <w:color w:val="5B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2"/>
      </w:pBdr>
      <w:jc w:val="right"/>
    </w:pPr>
    <w:r>
      <w:rPr>
        <w:rFonts w:ascii="Calibri" w:cs="Calibri" w:eastAsia="Calibri" w:hAnsi="Calibri"/>
        <w:color w:val="5B6B7A"/>
        <w:sz w:val="16"/>
        <w:szCs w:val="16"/>
      </w:rPr>
      <w:t xml:space="preserve">Literature guide: imidazole-derived molecules, in silico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40" w:hanging="28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0"/>
    </w:pPr>
    <w:rPr>
      <w:rFonts w:ascii="Calibri" w:cs="Calibri" w:eastAsia="Calibri" w:hAnsi="Calibri"/>
      <w:b/>
      <w:bCs/>
      <w:color w:val="1F3A5F"/>
      <w:sz w:val="36"/>
      <w:szCs w:val="36"/>
    </w:rPr>
  </w:style>
  <w:style w:type="paragraph" w:styleId="Heading1">
    <w:name w:val="Heading 1"/>
    <w:basedOn w:val="Normal"/>
    <w:next w:val="Normal"/>
    <w:qFormat/>
    <w:pPr>
      <w:pBdr>
        <w:bottom w:val="single" w:color="BFC7CF" w:sz="6" w:space="2"/>
      </w:pBdr>
      <w:spacing w:after="12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90" w:before="240"/>
      <w:outlineLvl w:val="1"/>
    </w:pPr>
    <w:rPr>
      <w:rFonts w:ascii="Calibri" w:cs="Calibri" w:eastAsia="Calibri" w:hAnsi="Calibri"/>
      <w:b/>
      <w:bCs/>
      <w:color w:val="1F7A8C"/>
      <w:sz w:val="24"/>
      <w:szCs w:val="24"/>
    </w:rPr>
  </w:style>
  <w:style w:type="paragraph" w:styleId="Heading3">
    <w:name w:val="Heading 3"/>
    <w:basedOn w:val="Normal"/>
    <w:next w:val="Normal"/>
    <w:qFormat/>
    <w:pPr>
      <w:spacing w:after="70" w:before="180"/>
      <w:outlineLvl w:val="2"/>
    </w:pPr>
    <w:rPr>
      <w:rFonts w:ascii="Calibri" w:cs="Calibri" w:eastAsia="Calibri" w:hAnsi="Calibri"/>
      <w:b/>
      <w:bCs/>
      <w:color w:val="5B6B7A"/>
      <w:sz w:val="22"/>
      <w:szCs w:val="22"/>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rpjdgqneoeeteqaqjcua" Type="http://schemas.openxmlformats.org/officeDocument/2006/relationships/hyperlink" Target="https://consensus.app/papers/details/e02cacc84ce7513db1d5da00c546b72b/?utm_source=claude_desktop" TargetMode="External"/><Relationship Id="rIdzminuyrhwipzprzc2gpmq" Type="http://schemas.openxmlformats.org/officeDocument/2006/relationships/hyperlink" Target="https://consensus.app/papers/details/830ff64070e053fc847d8d0022c0f6ea/?utm_source=claude_desktop" TargetMode="External"/><Relationship Id="rId_mkoiyykpbsr0xxmx2y_j" Type="http://schemas.openxmlformats.org/officeDocument/2006/relationships/hyperlink" Target="https://consensus.app/papers/details/6f5a38c7db1556ecb801b34b5e6e6932/?utm_source=claude_desktop" TargetMode="External"/><Relationship Id="rId9qqov1lt0ryugdkarposv" Type="http://schemas.openxmlformats.org/officeDocument/2006/relationships/hyperlink" Target="https://consensus.app/papers/details/0124e9b27b41537290c15f38a465112c/?utm_source=claude_desktop" TargetMode="External"/><Relationship Id="rIdjfmqmabzihxfzdimtwv5-" Type="http://schemas.openxmlformats.org/officeDocument/2006/relationships/hyperlink" Target="https://consensus.app/papers/details/c7919317118e55959857e48601c0d2aa/?utm_source=claude_desktop" TargetMode="External"/><Relationship Id="rIdzv_zfwpy_pfne7_aoewyh" Type="http://schemas.openxmlformats.org/officeDocument/2006/relationships/hyperlink" Target="https://consensus.app/papers/details/c84cc90cb6f55469bb6723f44c264697/?utm_source=claude_desktop" TargetMode="External"/><Relationship Id="rIdbs-o4dtsjukyrwgtdhufs" Type="http://schemas.openxmlformats.org/officeDocument/2006/relationships/hyperlink" Target="https://consensus.app/papers/details/c1d19f2b8c7f594ebe6fc82cf36f56fb/?utm_source=claude_desktop" TargetMode="External"/><Relationship Id="rId2snrt2hkrne2cevrbdjvf" Type="http://schemas.openxmlformats.org/officeDocument/2006/relationships/hyperlink" Target="https://www.alphaxiv.org/abs/2603.05532" TargetMode="External"/><Relationship Id="rIdbcr-i0b02xe14mmxr9qv5" Type="http://schemas.openxmlformats.org/officeDocument/2006/relationships/hyperlink" Target="https://www.alphaxiv.org/abs/2607.10729" TargetMode="External"/><Relationship Id="rIdqhkdajh6w9fakm35enwrl" Type="http://schemas.openxmlformats.org/officeDocument/2006/relationships/hyperlink" Target="https://consensus.app/papers/details/3bd9f34ffcdf5dd29f5dec5f662fe5bf/?utm_source=claude_desktop" TargetMode="External"/><Relationship Id="rIdadvuvz1nkby3s7gp7k-ob" Type="http://schemas.openxmlformats.org/officeDocument/2006/relationships/hyperlink" Target="https://consensus.app/papers/details/6f5a38c7db1556ecb801b34b5e6e6932/?utm_source=claude_desktop" TargetMode="External"/><Relationship Id="rIds56jaltpwlv3t6-brak4b" Type="http://schemas.openxmlformats.org/officeDocument/2006/relationships/hyperlink" Target="https://consensus.app/papers/details/782976d92d5852ae8f38aba3d325d132/?utm_source=claude_desktop" TargetMode="External"/><Relationship Id="rIdumnnfqpihx8rr5ggebfha" Type="http://schemas.openxmlformats.org/officeDocument/2006/relationships/hyperlink" Target="https://consensus.app/papers/details/7dc61b48ee885841ab81ac8761a8591c/?utm_source=claude_desktop" TargetMode="External"/><Relationship Id="rIdsc_d9ku8mafnaloeecv0x" Type="http://schemas.openxmlformats.org/officeDocument/2006/relationships/hyperlink" Target="https://consensus.app/papers/details/ce7c9e9f6efb5e4893062f4516f60a3f/?utm_source=claude_desktop" TargetMode="External"/><Relationship Id="rIduvc2cmncbpnhwfzoluacg" Type="http://schemas.openxmlformats.org/officeDocument/2006/relationships/hyperlink" Target="https://consensus.app/papers/details/9e2e27707c0f5fcda635425218939fc0/?utm_source=claude_desktop" TargetMode="External"/><Relationship Id="rIdkijedfnahxwepabielzex" Type="http://schemas.openxmlformats.org/officeDocument/2006/relationships/hyperlink" Target="https://consensus.app/papers/details/c7919317118e55959857e48601c0d2aa/?utm_source=claude_desktop" TargetMode="External"/><Relationship Id="rId0pi8jzm9_0jq4-tbyt5xv" Type="http://schemas.openxmlformats.org/officeDocument/2006/relationships/hyperlink" Target="https://consensus.app/papers/details/c3cfffe2c7ce55a8ab1a72c1fe1bf6de/?utm_source=claude_desktop" TargetMode="External"/><Relationship Id="rIddiuzim_yajkxl2cl-4tzk" Type="http://schemas.openxmlformats.org/officeDocument/2006/relationships/hyperlink" Target="https://consensus.app/papers/details/33f5ff1f8be452578471d1abcdb474d5/?utm_source=claude_desktop" TargetMode="External"/><Relationship Id="rIda3hm8ad17p2jpeuq9qjde" Type="http://schemas.openxmlformats.org/officeDocument/2006/relationships/hyperlink" Target="https://consensus.app/papers/details/0124e9b27b41537290c15f38a465112c/?utm_source=claude_desktop" TargetMode="External"/><Relationship Id="rIdrvuuoocbd9seitbnpoln2" Type="http://schemas.openxmlformats.org/officeDocument/2006/relationships/hyperlink" Target="https://consensus.app/papers/details/ebac0d0ebe9855fba79cd247e88d7d34/?utm_source=claude_desktop" TargetMode="External"/><Relationship Id="rIdq0j1dfcks700zhtsj65at" Type="http://schemas.openxmlformats.org/officeDocument/2006/relationships/hyperlink" Target="https://consensus.app/papers/details/692534c55442527a90cc7fdfa6125e7f/?utm_source=claude_desktop" TargetMode="External"/><Relationship Id="rIdt7le-liwbstrdivufrxyy" Type="http://schemas.openxmlformats.org/officeDocument/2006/relationships/hyperlink" Target="https://consensus.app/papers/details/22ca9b99f17e56969d419909f1f30ac6/?utm_source=claude_desktop" TargetMode="External"/><Relationship Id="rIdpdryblqq-ubsdjp7kxpo4" Type="http://schemas.openxmlformats.org/officeDocument/2006/relationships/hyperlink" Target="https://consensus.app/papers/details/a9d88485cd4b5c74995f501bdab5e0fa/?utm_source=claude_desktop" TargetMode="External"/><Relationship Id="rIduwc-sszkraxrfd-rzsz6l" Type="http://schemas.openxmlformats.org/officeDocument/2006/relationships/hyperlink" Target="https://consensus.app/papers/details/c1d19f2b8c7f594ebe6fc82cf36f56fb/?utm_source=claude_desktop" TargetMode="External"/><Relationship Id="rIdfkjsezs6znuhvphq6g8ra" Type="http://schemas.openxmlformats.org/officeDocument/2006/relationships/hyperlink" Target="https://consensus.app/papers/details/20bc7f6950295131a70858fdb8a3197b/?utm_source=claude_desktop" TargetMode="External"/><Relationship Id="rIdfcqw4gkboilmc9og3ih9d" Type="http://schemas.openxmlformats.org/officeDocument/2006/relationships/hyperlink" Target="https://consensus.app/papers/details/1265e7f7420b5f91980e53726c75b68c/?utm_source=claude_desktop" TargetMode="External"/><Relationship Id="rIdg2oe2crxa2tjc0rfluyri" Type="http://schemas.openxmlformats.org/officeDocument/2006/relationships/hyperlink" Target="https://consensus.app/papers/details/80bcaceed1f7544891827e7a1119cab2/?utm_source=claude_desktop" TargetMode="External"/><Relationship Id="rIdcagenv6uvgpgmhxvunvsf" Type="http://schemas.openxmlformats.org/officeDocument/2006/relationships/hyperlink" Target="https://consensus.app/papers/details/bb4cab463a445b0bbf53fbbc16441ae2/?utm_source=claude_desktop" TargetMode="External"/><Relationship Id="rIdyhvvg6_iw70bpcjjmi4qc" Type="http://schemas.openxmlformats.org/officeDocument/2006/relationships/hyperlink" Target="https://consensus.app/papers/details/2b9554e900db5e0d93ca856e7def3dc7/?utm_source=claude_desktop" TargetMode="External"/><Relationship Id="rIdwrolcoylghaoptafgkljp" Type="http://schemas.openxmlformats.org/officeDocument/2006/relationships/hyperlink" Target="https://consensus.app/papers/details/308d45aea1a25f4b81c7683976b4a8cd/?utm_source=claude_desktop" TargetMode="External"/><Relationship Id="rId3ojwjtpac6hrbtbzrybn2" Type="http://schemas.openxmlformats.org/officeDocument/2006/relationships/hyperlink" Target="https://consensus.app/papers/details/207af68fa917562194cbee5c4645b0dc/?utm_source=claude_desktop" TargetMode="External"/><Relationship Id="rIdmaqbqrz4_dsnajh2wac8c" Type="http://schemas.openxmlformats.org/officeDocument/2006/relationships/hyperlink" Target="https://consensus.app/papers/details/0eac1b99c1765f359d894b052f940708/?utm_source=claude_desktop" TargetMode="External"/><Relationship Id="rIdz4gyydbf_vsjlu1qxb6os" Type="http://schemas.openxmlformats.org/officeDocument/2006/relationships/hyperlink" Target="https://consensus.app/papers/details/8f176869d69751d58436b667b82288d5/?utm_source=claude_desktop" TargetMode="External"/><Relationship Id="rIdabypbrdgtaallccnvxzh-" Type="http://schemas.openxmlformats.org/officeDocument/2006/relationships/hyperlink" Target="https://consensus.app/papers/details/84b9741317fd547db786aa6f036fda57/?utm_source=claude_desktop" TargetMode="External"/><Relationship Id="rIdqpltnfmdqrpgrl72jp8ik" Type="http://schemas.openxmlformats.org/officeDocument/2006/relationships/hyperlink" Target="https://www.alphaxiv.org/abs/2603.05532" TargetMode="External"/><Relationship Id="rIdj2hpumarrvrgrfpff6byn" Type="http://schemas.openxmlformats.org/officeDocument/2006/relationships/hyperlink" Target="https://www.alphaxiv.org/abs/2607.10729" TargetMode="External"/><Relationship Id="rIdqqabqo6twdxl8mdzndsxv" Type="http://schemas.openxmlformats.org/officeDocument/2006/relationships/hyperlink" Target="https://www.alphaxiv.org/abs/2605.04265" TargetMode="External"/><Relationship Id="rIdw42ajkau_bnuzek_3tpx5" Type="http://schemas.openxmlformats.org/officeDocument/2006/relationships/hyperlink" Target="https://www.alphaxiv.org/abs/2512.05386" TargetMode="External"/><Relationship Id="rId-k7ejbtyldcy86sbj0jc0" Type="http://schemas.openxmlformats.org/officeDocument/2006/relationships/hyperlink" Target="https://www.alphaxiv.org/abs/2610.19011" TargetMode="External"/><Relationship Id="rId0g3i6ijvkmcymekfhfwin" Type="http://schemas.openxmlformats.org/officeDocument/2006/relationships/hyperlink" Target="https://consensus.app/papers/details/3496ab70d9c45bbf93084d131dd8cc04/?utm_source=claude_desktop" TargetMode="External"/><Relationship Id="rIdhigu48k050ucsthij2fa6" Type="http://schemas.openxmlformats.org/officeDocument/2006/relationships/hyperlink" Target="https://consensus.app/papers/details/e6a4a3a3bb3859d7a779d3742348ce06/?utm_source=claude_desktop" TargetMode="External"/><Relationship Id="rId-itxaywvx7nfzd94rpfph" Type="http://schemas.openxmlformats.org/officeDocument/2006/relationships/hyperlink" Target="https://consensus.app/papers/details/85ae4729a81f50f19f74ae16ea0e0d21/?utm_source=claude_desktop" TargetMode="External"/><Relationship Id="rIdwordfhcc3qcsrxqbyugvs" Type="http://schemas.openxmlformats.org/officeDocument/2006/relationships/hyperlink" Target="https://consensus.app/papers/details/e689dd6dbe625e4fa0702e996af9e866/?utm_source=claude_desktop" TargetMode="External"/><Relationship Id="rId-dynpcalixwm2hlgm9yne" Type="http://schemas.openxmlformats.org/officeDocument/2006/relationships/hyperlink" Target="https://consensus.app/papers/details/8a8e2485aa7a5101940937f6196e17a5/?utm_source=claude_desktop" TargetMode="External"/><Relationship Id="rId-v-sfe3egmffwmfpsrrns" Type="http://schemas.openxmlformats.org/officeDocument/2006/relationships/hyperlink" Target="https://consensus.app/papers/details/71d8a7d3d5255c1babf615f140314344/?utm_source=claude_desktop" TargetMode="External"/><Relationship Id="rIdhuxsov1xjzaj0tod-exq2" Type="http://schemas.openxmlformats.org/officeDocument/2006/relationships/hyperlink" Target="https://consensus.app/papers/details/c84cc90cb6f55469bb6723f44c264697/?utm_source=claude_desktop" TargetMode="External"/><Relationship Id="rIdnchp7_hwrxwq_ttuqetgo" Type="http://schemas.openxmlformats.org/officeDocument/2006/relationships/hyperlink" Target="https://consensus.app/papers/details/8b660d6282195570b29b4143007f0f8e/?utm_source=claude_desktop" TargetMode="External"/><Relationship Id="rId2vuter17j5phdg3ziaho0" Type="http://schemas.openxmlformats.org/officeDocument/2006/relationships/hyperlink" Target="https://consensus.app/papers/details/06569739fdc9583b9697a2a94a44c131/?utm_source=claude_desktop" TargetMode="External"/><Relationship Id="rIdobp1sl6uinisvwjqe9igy" Type="http://schemas.openxmlformats.org/officeDocument/2006/relationships/hyperlink" Target="https://consensus.app/papers/details/89728b5ec8f65e3785976dead4add677/?utm_source=claude_desktop" TargetMode="External"/><Relationship Id="rIdpw0vfzkgrwre8msx5_i9r" Type="http://schemas.openxmlformats.org/officeDocument/2006/relationships/hyperlink" Target="https://consensus.app/papers/details/bb4cab463a445b0bbf53fbbc16441ae2/?utm_source=claude_desktop" TargetMode="External"/><Relationship Id="rId8agfqjqndx8e4t8qnzc7p" Type="http://schemas.openxmlformats.org/officeDocument/2006/relationships/hyperlink" Target="https://consensus.app/papers/details/f6b7fb0bd40b53519fc5988218b786a0/?utm_source=claude_desktop" TargetMode="External"/><Relationship Id="rId9vokvpmtmev2aknsk5qvq" Type="http://schemas.openxmlformats.org/officeDocument/2006/relationships/hyperlink" Target="https://consensus.app/papers/details/32efe780ce8e581ea2c9fd2c22cc6099/?utm_source=claude_desktop" TargetMode="External"/><Relationship Id="rIdpot5kbwbcpfqhnr223nse" Type="http://schemas.openxmlformats.org/officeDocument/2006/relationships/hyperlink" Target="https://consensus.app/papers/details/b5dd3dd8c9db56aca44748908b68a9f7/?utm_source=claude_desktop" TargetMode="External"/><Relationship Id="rIdvj9as8utakzefijfl_4bv" Type="http://schemas.openxmlformats.org/officeDocument/2006/relationships/hyperlink" Target="https://consensus.app/papers/details/71ab3f4f7f43568d90726a60d13b6777/?utm_source=claude_desktop" TargetMode="External"/><Relationship Id="rIdkrltte8mzqonm7j6uczxs" Type="http://schemas.openxmlformats.org/officeDocument/2006/relationships/hyperlink" Target="https://consensus.app/papers/details/851727d3eb79594f9186ce65caa1c91c/?utm_source=claude_desktop" TargetMode="External"/><Relationship Id="rId0nrft7g__qwgmwkbkjeg8" Type="http://schemas.openxmlformats.org/officeDocument/2006/relationships/hyperlink" Target="https://consensus.app/papers/details/163a1fbb7e6359b494dd0ef492a272d9/?utm_source=claude_desktop" TargetMode="External"/><Relationship Id="rIdj0vhlz5jrge1b9osdqenh" Type="http://schemas.openxmlformats.org/officeDocument/2006/relationships/hyperlink" Target="https://www.alphaxiv.org/abs/2603.05532" TargetMode="External"/><Relationship Id="rIdppg_sz9z1mvnvxabu70er" Type="http://schemas.openxmlformats.org/officeDocument/2006/relationships/hyperlink" Target="https://www.alphaxiv.org/abs/2605.04265" TargetMode="External"/><Relationship Id="rId1qpavxpy9muo4b8o3biiw" Type="http://schemas.openxmlformats.org/officeDocument/2006/relationships/hyperlink" Target="https://www.alphaxiv.org/abs/2607.10729" TargetMode="External"/><Relationship Id="rIdkvygetusuztzj_nkbtxrl" Type="http://schemas.openxmlformats.org/officeDocument/2006/relationships/hyperlink" Target="https://www.alphaxiv.org/abs/2512.05386" TargetMode="External"/><Relationship Id="rIdnxoebtzr1vx8jeercsfzn" Type="http://schemas.openxmlformats.org/officeDocument/2006/relationships/hyperlink" Target="https://consensus.app/papers/details/06569739fdc9583b9697a2a94a44c131/?utm_source=claude_desktop" TargetMode="External"/><Relationship Id="rIdg_ovktm70evhlyipx_gj9" Type="http://schemas.openxmlformats.org/officeDocument/2006/relationships/hyperlink" Target="https://doi.org/10.3390/ijms27135696" TargetMode="External"/><Relationship Id="rIdmvhmu8bkqzz5dxyfelgdp" Type="http://schemas.openxmlformats.org/officeDocument/2006/relationships/hyperlink" Target="https://consensus.app/papers/details/74d46031a5a05809899a042c923212f8/?utm_source=claude_desktop" TargetMode="External"/><Relationship Id="rIdolmyixjwqs0l23uchjtqv" Type="http://schemas.openxmlformats.org/officeDocument/2006/relationships/hyperlink" Target="https://doi.org/10.25259/fh_100_2025" TargetMode="External"/><Relationship Id="rIdqgn7gtalr-xcqrrcd1zut" Type="http://schemas.openxmlformats.org/officeDocument/2006/relationships/hyperlink" Target="https://consensus.app/papers/details/f739e2012a6f5e2dbf8c4c25bb99cad4/?utm_source=claude_desktop" TargetMode="External"/><Relationship Id="rId0gxouyvpqrtm5tncfrvry" Type="http://schemas.openxmlformats.org/officeDocument/2006/relationships/hyperlink" Target="https://doi.org/10.1002/ddr.70122" TargetMode="External"/><Relationship Id="rIdlym4a2v7dknnapmni9fvl" Type="http://schemas.openxmlformats.org/officeDocument/2006/relationships/hyperlink" Target="https://consensus.app/papers/details/9d8000f3a7135ab8839a73e7f364a1d5/?utm_source=claude_desktop" TargetMode="External"/><Relationship Id="rIdrla3pftbm_negjiseyq2-" Type="http://schemas.openxmlformats.org/officeDocument/2006/relationships/hyperlink" Target="https://doi.org/10.3390/ijms22031162" TargetMode="External"/><Relationship Id="rIdwsifyrxyytr0nhb2d5kzp" Type="http://schemas.openxmlformats.org/officeDocument/2006/relationships/hyperlink" Target="https://consensus.app/papers/details/666a2abf517e5cb1ac8b412fd9797e55/?utm_source=claude_desktop" TargetMode="External"/><Relationship Id="rIdf-i51wmvnogi85imtfrde" Type="http://schemas.openxmlformats.org/officeDocument/2006/relationships/hyperlink" Target="https://doi.org/10.3390/ph18121839" TargetMode="External"/><Relationship Id="rId8xllwxhsessgndmwph8bt" Type="http://schemas.openxmlformats.org/officeDocument/2006/relationships/hyperlink" Target="https://consensus.app/papers/details/c7919317118e55959857e48601c0d2aa/?utm_source=claude_desktop" TargetMode="External"/><Relationship Id="rId2mn-i7339jncqxalbu4e_" Type="http://schemas.openxmlformats.org/officeDocument/2006/relationships/hyperlink" Target="https://doi.org/10.1002/ardp.70044" TargetMode="External"/><Relationship Id="rIdgg_xhkyjpbqlpztayzw6u" Type="http://schemas.openxmlformats.org/officeDocument/2006/relationships/hyperlink" Target="https://consensus.app/papers/details/fa6a96b37106562294c0ca3246e53ed8/?utm_source=claude_desktop" TargetMode="External"/><Relationship Id="rIdfy-gaqsix06xglb1y8olk" Type="http://schemas.openxmlformats.org/officeDocument/2006/relationships/hyperlink" Target="https://doi.org/10.3390/pharmaceutics18050565" TargetMode="External"/><Relationship Id="rIdqjzwynler6azyiplidj8r" Type="http://schemas.openxmlformats.org/officeDocument/2006/relationships/hyperlink" Target="https://consensus.app/papers/details/9b0f3815ceb5560f80caf400a13d5153/?utm_source=claude_desktop" TargetMode="External"/><Relationship Id="rId5uwqrqffy0tnx7taxpafe" Type="http://schemas.openxmlformats.org/officeDocument/2006/relationships/hyperlink" Target="https://doi.org/10.1021/acsomega.6c07566" TargetMode="External"/><Relationship Id="rIdw38176vyv3c6glh_i7xgz" Type="http://schemas.openxmlformats.org/officeDocument/2006/relationships/hyperlink" Target="https://consensus.app/papers/details/2b9554e900db5e0d93ca856e7def3dc7/?utm_source=claude_desktop" TargetMode="External"/><Relationship Id="rIdhse9sha4tyk-k9mmjpkuk" Type="http://schemas.openxmlformats.org/officeDocument/2006/relationships/hyperlink" Target="https://doi.org/10.1080/01480545.2026.2620408" TargetMode="External"/><Relationship Id="rIdmazpnswj17upfq_rfkpyf" Type="http://schemas.openxmlformats.org/officeDocument/2006/relationships/hyperlink" Target="https://consensus.app/papers/details/8ece4f3a813e579d8baebc0fdbe38c0a/?utm_source=claude_desktop" TargetMode="External"/><Relationship Id="rIdqu0-ng9zzjnb67xnbf1kh" Type="http://schemas.openxmlformats.org/officeDocument/2006/relationships/hyperlink" Target="https://doi.org/10.1039/d3ra04916g" TargetMode="External"/><Relationship Id="rIdhkv-9vmisl9yyweex27hi" Type="http://schemas.openxmlformats.org/officeDocument/2006/relationships/hyperlink" Target="https://consensus.app/papers/details/851727d3eb79594f9186ce65caa1c91c/?utm_source=claude_desktop" TargetMode="External"/><Relationship Id="rIdy7rod0x5jd5egveji6kpf" Type="http://schemas.openxmlformats.org/officeDocument/2006/relationships/hyperlink" Target="https://doi.org/10.1021/acsomega.2c06142" TargetMode="External"/><Relationship Id="rId2_8hmourfmrikzl6ckzio" Type="http://schemas.openxmlformats.org/officeDocument/2006/relationships/hyperlink" Target="https://consensus.app/papers/details/8711a1c52a2b519aa81e5e0d0101a04e/?utm_source=claude_desktop" TargetMode="External"/><Relationship Id="rIdfe5n_0ayrjdudtbob4s1t" Type="http://schemas.openxmlformats.org/officeDocument/2006/relationships/hyperlink" Target="https://doi.org/10.13005/ojc/420123" TargetMode="External"/><Relationship Id="rIdkdmhlgzdu9zlikt608o_b" Type="http://schemas.openxmlformats.org/officeDocument/2006/relationships/hyperlink" Target="https://consensus.app/papers/details/eaccd668831456eb8b657f4b14a75ac5/?utm_source=claude_desktop" TargetMode="External"/><Relationship Id="rId2-4zyrzk7lybzoiz5kurt" Type="http://schemas.openxmlformats.org/officeDocument/2006/relationships/hyperlink" Target="https://doi.org/10.1038/s41598-024-58122-7" TargetMode="External"/><Relationship Id="rIdgz6crdh3yg5-_hpenpn1k" Type="http://schemas.openxmlformats.org/officeDocument/2006/relationships/hyperlink" Target="https://consensus.app/papers/details/e689dd6dbe625e4fa0702e996af9e866/?utm_source=claude_desktop" TargetMode="External"/><Relationship Id="rIdq50lbxbugaya_gc0u6rr5" Type="http://schemas.openxmlformats.org/officeDocument/2006/relationships/hyperlink" Target="https://doi.org/10.1021/bi300744z" TargetMode="External"/><Relationship Id="rIdksn_aq6buuwv4snfsn0ef" Type="http://schemas.openxmlformats.org/officeDocument/2006/relationships/hyperlink" Target="https://consensus.app/papers/details/95c4f75c6fc6555385487aec9b8b6cb5/?utm_source=claude_desktop" TargetMode="External"/><Relationship Id="rIde9kzyawrt93ul6jutejph" Type="http://schemas.openxmlformats.org/officeDocument/2006/relationships/hyperlink" Target="https://doi.org/10.3390/cells12222655" TargetMode="External"/><Relationship Id="rIdokqupxuvgxsyyxr5aeuwx" Type="http://schemas.openxmlformats.org/officeDocument/2006/relationships/hyperlink" Target="https://consensus.app/papers/details/bb4cab463a445b0bbf53fbbc16441ae2/?utm_source=claude_desktop" TargetMode="External"/><Relationship Id="rIdwlox5umw0l80romxt70og" Type="http://schemas.openxmlformats.org/officeDocument/2006/relationships/hyperlink" Target="https://doi.org/10.1002/slct.202500191" TargetMode="External"/><Relationship Id="rId0_nv4vj_y-ymwwavughdz" Type="http://schemas.openxmlformats.org/officeDocument/2006/relationships/hyperlink" Target="https://consensus.app/papers/details/89728b5ec8f65e3785976dead4add677/?utm_source=claude_desktop" TargetMode="External"/><Relationship Id="rIdhuhmpcclnreymhqgscowx" Type="http://schemas.openxmlformats.org/officeDocument/2006/relationships/hyperlink" Target="https://doi.org/10.1038/s42256-024-00843-5" TargetMode="External"/><Relationship Id="rIdrxg4z_jhxb5sr5bqm47ys" Type="http://schemas.openxmlformats.org/officeDocument/2006/relationships/hyperlink" Target="https://consensus.app/papers/details/84b9741317fd547db786aa6f036fda57/?utm_source=claude_desktop" TargetMode="External"/><Relationship Id="rIdjtrhf8m6fmrywajfr3itl" Type="http://schemas.openxmlformats.org/officeDocument/2006/relationships/hyperlink" Target="https://doi.org/10.3390/molecules28020776" TargetMode="External"/><Relationship Id="rIdigxp-jp_el4qn50k9tz13" Type="http://schemas.openxmlformats.org/officeDocument/2006/relationships/hyperlink" Target="https://consensus.app/papers/details/f6b7fb0bd40b53519fc5988218b786a0/?utm_source=claude_desktop" TargetMode="External"/><Relationship Id="rIdgeg4n7tnwr3ohdmuf7kcf" Type="http://schemas.openxmlformats.org/officeDocument/2006/relationships/hyperlink" Target="https://doi.org/10.1038/s41598-024-83498-x" TargetMode="External"/><Relationship Id="rIdz0nmfwapuvgq5hxezbva4" Type="http://schemas.openxmlformats.org/officeDocument/2006/relationships/hyperlink" Target="https://consensus.app/papers/details/32efe780ce8e581ea2c9fd2c22cc6099/?utm_source=claude_desktop" TargetMode="External"/><Relationship Id="rIds95-sw3wwvcmf49qdn9na" Type="http://schemas.openxmlformats.org/officeDocument/2006/relationships/hyperlink" Target="https://doi.org/10.1038/s41598-025-93249-1" TargetMode="External"/><Relationship Id="rIdd0k-rsk1uaghgjviy7be3" Type="http://schemas.openxmlformats.org/officeDocument/2006/relationships/hyperlink" Target="https://consensus.app/papers/details/33f5ff1f8be452578471d1abcdb474d5/?utm_source=claude_desktop" TargetMode="External"/><Relationship Id="rIdm_3vk_9nwacuqu9kngygh" Type="http://schemas.openxmlformats.org/officeDocument/2006/relationships/hyperlink" Target="https://doi.org/10.1016/j.bioorg.2024.107644" TargetMode="External"/><Relationship Id="rIdyguqiozbbpb64f3a6o0c1" Type="http://schemas.openxmlformats.org/officeDocument/2006/relationships/hyperlink" Target="https://www.alphaxiv.org/abs/2605.04265" TargetMode="External"/><Relationship Id="rIdvciwfczc9iyhwuxzumpzo" Type="http://schemas.openxmlformats.org/officeDocument/2006/relationships/hyperlink" Target="https://consensus.app/papers/details/1774d455f5e35caea62eedc24a4bc9a2/?utm_source=claude_desktop" TargetMode="External"/><Relationship Id="rIdynmaqz8ivfjmn4hp0v5lq" Type="http://schemas.openxmlformats.org/officeDocument/2006/relationships/hyperlink" Target="https://doi.org/10.1021/acsomega.5c08365" TargetMode="External"/><Relationship Id="rIdnrj4mkpadv5o0mtlq5fqz" Type="http://schemas.openxmlformats.org/officeDocument/2006/relationships/hyperlink" Target="https://consensus.app/papers/details/8a8e2485aa7a5101940937f6196e17a5/?utm_source=claude_desktop" TargetMode="External"/><Relationship Id="rIdedq257fmep5eesoaiydmm" Type="http://schemas.openxmlformats.org/officeDocument/2006/relationships/hyperlink" Target="https://doi.org/10.1016/j.jbc.2024.107799" TargetMode="External"/><Relationship Id="rId9n50qnrvyevyg1ffpswy2" Type="http://schemas.openxmlformats.org/officeDocument/2006/relationships/hyperlink" Target="https://consensus.app/papers/details/e6a4a3a3bb3859d7a779d3742348ce06/?utm_source=claude_desktop" TargetMode="External"/><Relationship Id="rIdclpnhxogitjv_5xp6maeq" Type="http://schemas.openxmlformats.org/officeDocument/2006/relationships/hyperlink" Target="https://doi.org/10.1124/dmd.118.082032" TargetMode="External"/><Relationship Id="rIdhg1dk2i_p2u26rvlkdfzj" Type="http://schemas.openxmlformats.org/officeDocument/2006/relationships/hyperlink" Target="https://consensus.app/papers/details/c28d5ae249535013b4790e96a6961ae8/?utm_source=claude_desktop" TargetMode="External"/><Relationship Id="rIdnuxhqlzyfgm5nazulyiuo" Type="http://schemas.openxmlformats.org/officeDocument/2006/relationships/hyperlink" Target="https://doi.org/10.1080/07391102.2021.2014360" TargetMode="External"/><Relationship Id="rIdfw4ro6nekgixpotyobvb8" Type="http://schemas.openxmlformats.org/officeDocument/2006/relationships/hyperlink" Target="https://consensus.app/papers/details/207af68fa917562194cbee5c4645b0dc/?utm_source=claude_desktop" TargetMode="External"/><Relationship Id="rId5k7tvms2lshoyxtbbplga" Type="http://schemas.openxmlformats.org/officeDocument/2006/relationships/hyperlink" Target="https://doi.org/10.3389/fphar.2018.01089" TargetMode="External"/><Relationship Id="rIdlt4hwwkttisiezogbl4gs" Type="http://schemas.openxmlformats.org/officeDocument/2006/relationships/hyperlink" Target="https://consensus.app/papers/details/3293512f1ebd5ddabb8d4084bee03e8d/?utm_source=claude_desktop" TargetMode="External"/><Relationship Id="rIduf53uotaateg-xzte_iev" Type="http://schemas.openxmlformats.org/officeDocument/2006/relationships/hyperlink" Target="https://doi.org/10.1002/slct.202506647" TargetMode="External"/><Relationship Id="rId2juigxbj9hijo80ryrsr5" Type="http://schemas.openxmlformats.org/officeDocument/2006/relationships/hyperlink" Target="https://consensus.app/papers/details/7dc61b48ee885841ab81ac8761a8591c/?utm_source=claude_desktop" TargetMode="External"/><Relationship Id="rIdvldv7hr1hkz496tnesk_d" Type="http://schemas.openxmlformats.org/officeDocument/2006/relationships/hyperlink" Target="https://doi.org/10.1016/j.heliyon.2024.e31253" TargetMode="External"/><Relationship Id="rIdcp7nbdwrioa5t7hoyhad-" Type="http://schemas.openxmlformats.org/officeDocument/2006/relationships/hyperlink" Target="https://consensus.app/papers/details/80bcaceed1f7544891827e7a1119cab2/?utm_source=claude_desktop" TargetMode="External"/><Relationship Id="rIdsfsp0p2ug02v0fbqpmgjr" Type="http://schemas.openxmlformats.org/officeDocument/2006/relationships/hyperlink" Target="https://doi.org/10.1002/slct.202500957" TargetMode="External"/><Relationship Id="rIdhzrozmdk_2kl82-lcm7at" Type="http://schemas.openxmlformats.org/officeDocument/2006/relationships/hyperlink" Target="https://consensus.app/papers/details/98cef1bce8845f44aeff612312d2adf3/?utm_source=claude_desktop" TargetMode="External"/><Relationship Id="rId1kwuhw0_tajz_8ucuddvd" Type="http://schemas.openxmlformats.org/officeDocument/2006/relationships/hyperlink" Target="https://doi.org/10.1039/d6ra06443d" TargetMode="External"/><Relationship Id="rIdr3i9j-94_9fxvta7eflfy" Type="http://schemas.openxmlformats.org/officeDocument/2006/relationships/hyperlink" Target="https://consensus.app/papers/details/319d48141aef58a68177584f3934dd62/?utm_source=claude_desktop" TargetMode="External"/><Relationship Id="rIdcajdfedvrljd53hsftzyl" Type="http://schemas.openxmlformats.org/officeDocument/2006/relationships/hyperlink" Target="https://doi.org/10.1016/j.rechem.2026.103043" TargetMode="External"/><Relationship Id="rIdwa8gqyyrfbo2-qha9js0t" Type="http://schemas.openxmlformats.org/officeDocument/2006/relationships/hyperlink" Target="https://consensus.app/papers/details/1caa6efa946f5515a7ddc054777eb3f8/?utm_source=claude_desktop" TargetMode="External"/><Relationship Id="rIdyyzzvdlmny6qi2-rdwzrm" Type="http://schemas.openxmlformats.org/officeDocument/2006/relationships/hyperlink" Target="https://doi.org/10.1016/j.jmgm.2026.109550" TargetMode="External"/><Relationship Id="rIdsfpp_swjvejr5vl-btagk" Type="http://schemas.openxmlformats.org/officeDocument/2006/relationships/hyperlink" Target="https://consensus.app/papers/details/163a1fbb7e6359b494dd0ef492a272d9/?utm_source=claude_desktop" TargetMode="External"/><Relationship Id="rIddnyffputntkas3zawbz95" Type="http://schemas.openxmlformats.org/officeDocument/2006/relationships/hyperlink" Target="https://doi.org/10.1021/acsomega.4c00543" TargetMode="External"/><Relationship Id="rIdyq4ptftgrqelcn_79z1-z" Type="http://schemas.openxmlformats.org/officeDocument/2006/relationships/hyperlink" Target="https://consensus.app/papers/details/6f5a38c7db1556ecb801b34b5e6e6932/?utm_source=claude_desktop" TargetMode="External"/><Relationship Id="rIdrezy-lhaaveg3tounphdm" Type="http://schemas.openxmlformats.org/officeDocument/2006/relationships/hyperlink" Target="https://doi.org/10.3390/molecules31142439" TargetMode="External"/><Relationship Id="rIdlr-meba0hnto2mz_p9ks9" Type="http://schemas.openxmlformats.org/officeDocument/2006/relationships/hyperlink" Target="https://consensus.app/papers/details/8b660d6282195570b29b4143007f0f8e/?utm_source=claude_desktop" TargetMode="External"/><Relationship Id="rIdc-prkbi3xs8wqitsvy6ix" Type="http://schemas.openxmlformats.org/officeDocument/2006/relationships/hyperlink" Target="https://doi.org/10.19163/2307-9266-2025-13-3-157-170" TargetMode="External"/><Relationship Id="rIdnactu8i7nlrnupleecm1o" Type="http://schemas.openxmlformats.org/officeDocument/2006/relationships/hyperlink" Target="https://consensus.app/papers/details/890536c688a3548b89510f98e8fd6de7/?utm_source=claude_desktop" TargetMode="External"/><Relationship Id="rIdvmtrslvgri_gu7xt6b52o" Type="http://schemas.openxmlformats.org/officeDocument/2006/relationships/hyperlink" Target="https://doi.org/10.1038/s41598-024-59063-x" TargetMode="External"/><Relationship Id="rIdzebqgh1qx4jkui7x1d0gr" Type="http://schemas.openxmlformats.org/officeDocument/2006/relationships/hyperlink" Target="https://consensus.app/papers/details/d29d06ff4dc8590ebc2681dca8a4f920/?utm_source=claude_desktop" TargetMode="External"/><Relationship Id="rIdrk3e4jjop3zottxuhkyjm" Type="http://schemas.openxmlformats.org/officeDocument/2006/relationships/hyperlink" Target="https://doi.org/10.1039/d2dt03021g" TargetMode="External"/><Relationship Id="rIdyt8oui-3ctizcpzzuysh1" Type="http://schemas.openxmlformats.org/officeDocument/2006/relationships/hyperlink" Target="https://consensus.app/papers/details/2c781162513f580db1076a5e2f80048c/?utm_source=claude_desktop" TargetMode="External"/><Relationship Id="rIdwfapfxdw74p0ltzhxc6xo" Type="http://schemas.openxmlformats.org/officeDocument/2006/relationships/hyperlink" Target="https://doi.org/10.3390/cancers14205079" TargetMode="External"/><Relationship Id="rId6m2i1ktvvzx_ofvbrr1r8" Type="http://schemas.openxmlformats.org/officeDocument/2006/relationships/hyperlink" Target="https://www.alphaxiv.org/abs/2512.05386" TargetMode="External"/><Relationship Id="rIdeh-gb9wnnnzo1aqi6rbmp" Type="http://schemas.openxmlformats.org/officeDocument/2006/relationships/hyperlink" Target="https://consensus.app/papers/details/b0100283a578549896d2389fe16f0750/?utm_source=claude_desktop" TargetMode="External"/><Relationship Id="rId3d9qsjsgvhicm9rddedwg" Type="http://schemas.openxmlformats.org/officeDocument/2006/relationships/hyperlink" Target="https://doi.org/10.1016/j.ejmech.2024.116896" TargetMode="External"/><Relationship Id="rIdj8bxsi4evhp-otn29nidu" Type="http://schemas.openxmlformats.org/officeDocument/2006/relationships/hyperlink" Target="https://consensus.app/papers/details/614ec321011850f7a5f4d6213d4ea6ed/?utm_source=claude_desktop" TargetMode="External"/><Relationship Id="rIdb3zwccwmiwhppkjqqtu__" Type="http://schemas.openxmlformats.org/officeDocument/2006/relationships/hyperlink" Target="https://doi.org/10.14233/ajchem.2026.35912" TargetMode="External"/><Relationship Id="rId4bpjsokdynljojdi_86wn" Type="http://schemas.openxmlformats.org/officeDocument/2006/relationships/hyperlink" Target="https://consensus.app/papers/details/458984e5491758baa27a5c138dc90e36/?utm_source=claude_desktop" TargetMode="External"/><Relationship Id="rId6fefz7wgdzv5st7bjoibe" Type="http://schemas.openxmlformats.org/officeDocument/2006/relationships/hyperlink" Target="https://doi.org/10.1016/j.apsb.2022.09.010" TargetMode="External"/><Relationship Id="rId1ruw_abuyyh_bjdsrjx5_" Type="http://schemas.openxmlformats.org/officeDocument/2006/relationships/hyperlink" Target="https://consensus.app/papers/details/f47520e44560583a85b8b4b0d45563ac/?utm_source=claude_desktop" TargetMode="External"/><Relationship Id="rIdnsxiozaawmahdramaekjp" Type="http://schemas.openxmlformats.org/officeDocument/2006/relationships/hyperlink" Target="https://doi.org/10.1007/s12539-019-00327-w" TargetMode="External"/><Relationship Id="rIdlcajckl3pt2bchj4rhuce" Type="http://schemas.openxmlformats.org/officeDocument/2006/relationships/hyperlink" Target="https://consensus.app/papers/details/a9d88485cd4b5c74995f501bdab5e0fa/?utm_source=claude_desktop" TargetMode="External"/><Relationship Id="rIdmkpshnkpvb7obf6cmo2km" Type="http://schemas.openxmlformats.org/officeDocument/2006/relationships/hyperlink" Target="https://doi.org/10.1093/jacamr/dlaf106" TargetMode="External"/><Relationship Id="rIdzan610dcy_6xghtf9y1qf" Type="http://schemas.openxmlformats.org/officeDocument/2006/relationships/hyperlink" Target="https://consensus.app/papers/details/eb0240f4d9d254db9d7e581127baaf08/?utm_source=claude_desktop" TargetMode="External"/><Relationship Id="rIdjr2vq-rrmalixpn1oyzxe" Type="http://schemas.openxmlformats.org/officeDocument/2006/relationships/hyperlink" Target="https://doi.org/10.1080/00268976.2024.2390592" TargetMode="External"/><Relationship Id="rIdctcbh6k78seapkuoldmun" Type="http://schemas.openxmlformats.org/officeDocument/2006/relationships/hyperlink" Target="https://consensus.app/papers/details/0124e9b27b41537290c15f38a465112c/?utm_source=claude_desktop" TargetMode="External"/><Relationship Id="rIdehctmyufs5r7x-hx4y2wu" Type="http://schemas.openxmlformats.org/officeDocument/2006/relationships/hyperlink" Target="https://doi.org/10.1016/j.ijbiomac.2023.126084" TargetMode="External"/><Relationship Id="rIdqqqlgzkvtfmjrhr9cxiy_" Type="http://schemas.openxmlformats.org/officeDocument/2006/relationships/hyperlink" Target="https://consensus.app/papers/details/ce7c9e9f6efb5e4893062f4516f60a3f/?utm_source=claude_desktop" TargetMode="External"/><Relationship Id="rIdxzhdyi-lywxufgnmjiafl" Type="http://schemas.openxmlformats.org/officeDocument/2006/relationships/hyperlink" Target="https://doi.org/10.3390/nano11040845" TargetMode="External"/><Relationship Id="rId4omctwyrixblyzg26ao55" Type="http://schemas.openxmlformats.org/officeDocument/2006/relationships/hyperlink" Target="https://consensus.app/papers/details/20bc7f6950295131a70858fdb8a3197b/?utm_source=claude_desktop" TargetMode="External"/><Relationship Id="rId_maz6wvc8dckwl47sybad" Type="http://schemas.openxmlformats.org/officeDocument/2006/relationships/hyperlink" Target="https://doi.org/10.1002/ardp.202400325" TargetMode="External"/><Relationship Id="rIddgb6ewnuwh3bfphaleacl" Type="http://schemas.openxmlformats.org/officeDocument/2006/relationships/hyperlink" Target="https://consensus.app/papers/details/1265e7f7420b5f91980e53726c75b68c/?utm_source=claude_desktop" TargetMode="External"/><Relationship Id="rIdxptizvbrlzufxwvzd_eoo" Type="http://schemas.openxmlformats.org/officeDocument/2006/relationships/hyperlink" Target="https://doi.org/10.56042/ijbb.v63i9.22771" TargetMode="External"/><Relationship Id="rIdstnthtzmpvzqrzniosulc" Type="http://schemas.openxmlformats.org/officeDocument/2006/relationships/hyperlink" Target="https://consensus.app/papers/details/85ae4729a81f50f19f74ae16ea0e0d21/?utm_source=claude_desktop" TargetMode="External"/><Relationship Id="rIdtv5dc1ozmkfppcsookrjl" Type="http://schemas.openxmlformats.org/officeDocument/2006/relationships/hyperlink" Target="https://doi.org/10.1124/mol.113.085902" TargetMode="External"/><Relationship Id="rIdu1z2baloetcwozydsanva" Type="http://schemas.openxmlformats.org/officeDocument/2006/relationships/hyperlink" Target="https://consensus.app/papers/details/0eac1b99c1765f359d894b052f940708/?utm_source=claude_desktop" TargetMode="External"/><Relationship Id="rIdklirfauga5jkkr1sbqtev" Type="http://schemas.openxmlformats.org/officeDocument/2006/relationships/hyperlink" Target="https://doi.org/10.1021/acs.jcim.6c01066" TargetMode="External"/><Relationship Id="rIdebbgkpaaxoo2-yprk06v4" Type="http://schemas.openxmlformats.org/officeDocument/2006/relationships/hyperlink" Target="https://consensus.app/papers/details/a5f47d8aed935bee831291c8eab34af6/?utm_source=claude_desktop" TargetMode="External"/><Relationship Id="rId-b_fodbnrp01a2_gncuoa" Type="http://schemas.openxmlformats.org/officeDocument/2006/relationships/hyperlink" Target="https://doi.org/10.1038/s41598-025-01547-5" TargetMode="External"/><Relationship Id="rIdlgsfs4t2zfbkfewruuunl" Type="http://schemas.openxmlformats.org/officeDocument/2006/relationships/hyperlink" Target="https://consensus.app/papers/details/692534c55442527a90cc7fdfa6125e7f/?utm_source=claude_desktop" TargetMode="External"/><Relationship Id="rIdqpzcv2oojhbidor45yusc" Type="http://schemas.openxmlformats.org/officeDocument/2006/relationships/hyperlink" Target="https://doi.org/10.1016/j.bioorg.2020.103956" TargetMode="External"/><Relationship Id="rIdsqztlhij7qoh35n300nvu" Type="http://schemas.openxmlformats.org/officeDocument/2006/relationships/hyperlink" Target="https://consensus.app/papers/details/b5dd3dd8c9db56aca44748908b68a9f7/?utm_source=claude_desktop" TargetMode="External"/><Relationship Id="rIdotimkvbk5sjcfrkqi-xgi" Type="http://schemas.openxmlformats.org/officeDocument/2006/relationships/hyperlink" Target="https://doi.org/10.1039/d5md00221d" TargetMode="External"/><Relationship Id="rId7ut08zfl1sbxe6njmgu3g" Type="http://schemas.openxmlformats.org/officeDocument/2006/relationships/hyperlink" Target="https://consensus.app/papers/details/71ab3f4f7f43568d90726a60d13b6777/?utm_source=claude_desktop" TargetMode="External"/><Relationship Id="rId9k8phr0aqwv3sb4a1usef" Type="http://schemas.openxmlformats.org/officeDocument/2006/relationships/hyperlink" Target="https://doi.org/10.1021/acsomega.6c00103" TargetMode="External"/><Relationship Id="rId_pn7v8bqdixkr0hknctvm" Type="http://schemas.openxmlformats.org/officeDocument/2006/relationships/hyperlink" Target="https://consensus.app/papers/details/1f85a41d4a165730934da7365677557e/?utm_source=claude_desktop" TargetMode="External"/><Relationship Id="rIdjuayqz-rjqlojjvnbwj1d" Type="http://schemas.openxmlformats.org/officeDocument/2006/relationships/hyperlink" Target="https://doi.org/10.1016/j.crgsc.2021.100175" TargetMode="External"/><Relationship Id="rIdjunljhv-0l5lqwurefmvo" Type="http://schemas.openxmlformats.org/officeDocument/2006/relationships/hyperlink" Target="https://consensus.app/papers/details/e02cacc84ce7513db1d5da00c546b72b/?utm_source=claude_desktop" TargetMode="External"/><Relationship Id="rIdkremmezpjn1i2a2bqfcet" Type="http://schemas.openxmlformats.org/officeDocument/2006/relationships/hyperlink" Target="https://doi.org/10.1007/s00044-024-03230-2" TargetMode="External"/><Relationship Id="rIdyuutk6ijy825c8msdjaha" Type="http://schemas.openxmlformats.org/officeDocument/2006/relationships/hyperlink" Target="https://consensus.app/papers/details/ebac0d0ebe9855fba79cd247e88d7d34/?utm_source=claude_desktop" TargetMode="External"/><Relationship Id="rIdiw3sgexugukpv5xdh2-sx" Type="http://schemas.openxmlformats.org/officeDocument/2006/relationships/hyperlink" Target="https://doi.org/10.1016/j.ejmech.2023.115436" TargetMode="External"/><Relationship Id="rIduruts3evnh_bj4oytlv5p" Type="http://schemas.openxmlformats.org/officeDocument/2006/relationships/hyperlink" Target="https://consensus.app/papers/details/5c2bbdceec9b53c3b5424ad25e5ae836/?utm_source=claude_desktop" TargetMode="External"/><Relationship Id="rIdjodz5yydthokjeg1lgbml" Type="http://schemas.openxmlformats.org/officeDocument/2006/relationships/hyperlink" Target="https://doi.org/10.1038/s41467-026-71762-9" TargetMode="External"/><Relationship Id="rIdl1tqhgpzbipa6z48ntvcr" Type="http://schemas.openxmlformats.org/officeDocument/2006/relationships/hyperlink" Target="https://consensus.app/papers/details/e366dca83a6a5217bca4fe4fb945bccf/?utm_source=claude_desktop" TargetMode="External"/><Relationship Id="rId5iqynqqtgh8sfr_ps6y7a" Type="http://schemas.openxmlformats.org/officeDocument/2006/relationships/hyperlink" Target="https://doi.org/10.1016/j.ejmech.2021.113705" TargetMode="External"/><Relationship Id="rIdmd8xxhye2ocdqqzh4_zme" Type="http://schemas.openxmlformats.org/officeDocument/2006/relationships/hyperlink" Target="https://consensus.app/papers/details/4f06586bcbe25bfbac0e482bc6ed06b1/?utm_source=claude_desktop" TargetMode="External"/><Relationship Id="rIduzjps3ceeuxlorihdi120" Type="http://schemas.openxmlformats.org/officeDocument/2006/relationships/hyperlink" Target="https://doi.org/10.1515/hc-2022-0175" TargetMode="External"/><Relationship Id="rId-dmrvrm7cgqjgtcsj15th" Type="http://schemas.openxmlformats.org/officeDocument/2006/relationships/hyperlink" Target="https://consensus.app/papers/details/22ca9b99f17e56969d419909f1f30ac6/?utm_source=claude_desktop" TargetMode="External"/><Relationship Id="rIdhbwjqd2lux7h2vt3_mbub" Type="http://schemas.openxmlformats.org/officeDocument/2006/relationships/hyperlink" Target="https://doi.org/10.3390/micro6020036" TargetMode="External"/><Relationship Id="rIdepizm2lbwtiztubzu_69v" Type="http://schemas.openxmlformats.org/officeDocument/2006/relationships/hyperlink" Target="https://consensus.app/papers/details/9e2e27707c0f5fcda635425218939fc0/?utm_source=claude_desktop" TargetMode="External"/><Relationship Id="rIdsiun-e6xz4oqu7aimwnsg" Type="http://schemas.openxmlformats.org/officeDocument/2006/relationships/hyperlink" Target="https://doi.org/10.3390/molecules26144213" TargetMode="External"/><Relationship Id="rIdszlkuo9vum_vu7d9j69un" Type="http://schemas.openxmlformats.org/officeDocument/2006/relationships/hyperlink" Target="https://consensus.app/papers/details/e8749cb54f69583c93f72084293e3a4c/?utm_source=claude_desktop" TargetMode="External"/><Relationship Id="rIdfgdmkqgc07fhpkwp_u6l_" Type="http://schemas.openxmlformats.org/officeDocument/2006/relationships/hyperlink" Target="https://doi.org/10.1080/00397911.2024.2323999" TargetMode="External"/><Relationship Id="rIdt7jxq6lrfitt4kheyuonb" Type="http://schemas.openxmlformats.org/officeDocument/2006/relationships/hyperlink" Target="https://www.alphaxiv.org/abs/2610.19011" TargetMode="External"/><Relationship Id="rIdoxpwpfvp6yyiapitp5lvt" Type="http://schemas.openxmlformats.org/officeDocument/2006/relationships/hyperlink" Target="https://consensus.app/papers/details/c1d19f2b8c7f594ebe6fc82cf36f56fb/?utm_source=claude_desktop" TargetMode="External"/><Relationship Id="rIdmrmm7hs33-3qaljuzc82w" Type="http://schemas.openxmlformats.org/officeDocument/2006/relationships/hyperlink" Target="https://doi.org/10.1080/14756366.2022.2096018" TargetMode="External"/><Relationship Id="rIdsn22aa5rcxn000ggobmpc" Type="http://schemas.openxmlformats.org/officeDocument/2006/relationships/hyperlink" Target="https://consensus.app/papers/details/c8fffe109374518aba78e9b657389492/?utm_source=claude_desktop" TargetMode="External"/><Relationship Id="rIdfz3jdxmr4bdfqaocpmcom" Type="http://schemas.openxmlformats.org/officeDocument/2006/relationships/hyperlink" Target="https://doi.org/10.3390/ph15111427" TargetMode="External"/><Relationship Id="rIdre-wpckb6vemi00wv5glk" Type="http://schemas.openxmlformats.org/officeDocument/2006/relationships/hyperlink" Target="https://consensus.app/papers/details/c3cfffe2c7ce55a8ab1a72c1fe1bf6de/?utm_source=claude_desktop" TargetMode="External"/><Relationship Id="rIdedgj20hnbhox_pkfgzngw" Type="http://schemas.openxmlformats.org/officeDocument/2006/relationships/hyperlink" Target="https://doi.org/10.1016/j.molstruc.2023.136341" TargetMode="External"/><Relationship Id="rIdzj7rikgtrg8dy9lwlrqbv" Type="http://schemas.openxmlformats.org/officeDocument/2006/relationships/hyperlink" Target="https://consensus.app/papers/details/3bd9f34ffcdf5dd29f5dec5f662fe5bf/?utm_source=claude_desktop" TargetMode="External"/><Relationship Id="rIdrtzopi8bqqgeh7juetqea" Type="http://schemas.openxmlformats.org/officeDocument/2006/relationships/hyperlink" Target="https://doi.org/10.3390/molecules28020838" TargetMode="External"/><Relationship Id="rIdvj4lixhe9qdlzsoldqwgj" Type="http://schemas.openxmlformats.org/officeDocument/2006/relationships/hyperlink" Target="https://consensus.app/papers/details/8f176869d69751d58436b667b82288d5/?utm_source=claude_desktop" TargetMode="External"/><Relationship Id="rIdh0ns0sdu9uti86sn-it-0" Type="http://schemas.openxmlformats.org/officeDocument/2006/relationships/hyperlink" Target="https://doi.org/10.1039/d5ra05526a" TargetMode="External"/><Relationship Id="rIdg2ohfatnaun9pszm_piac" Type="http://schemas.openxmlformats.org/officeDocument/2006/relationships/hyperlink" Target="https://consensus.app/papers/details/470d737b30455908bbcca8c8e5e886d4/?utm_source=claude_desktop" TargetMode="External"/><Relationship Id="rIdsc_kscp31mh7mg1hsa1jo" Type="http://schemas.openxmlformats.org/officeDocument/2006/relationships/hyperlink" Target="https://doi.org/10.1080/17460441.2021.1942836" TargetMode="External"/><Relationship Id="rIdcddrhfozqvgnaz0d12ty6" Type="http://schemas.openxmlformats.org/officeDocument/2006/relationships/hyperlink" Target="https://consensus.app/papers/details/71d8a7d3d5255c1babf615f140314344/?utm_source=claude_desktop" TargetMode="External"/><Relationship Id="rIdsvcj1tsbkcbzbf8roaicb" Type="http://schemas.openxmlformats.org/officeDocument/2006/relationships/hyperlink" Target="https://doi.org/10.1021/acsomega.6c05649" TargetMode="External"/><Relationship Id="rIddrgxbpvkengayxmxcuqgp" Type="http://schemas.openxmlformats.org/officeDocument/2006/relationships/hyperlink" Target="https://consensus.app/papers/details/c6315aa6075659d7a86467d90a259a24/?utm_source=claude_desktop" TargetMode="External"/><Relationship Id="rId2jknimtv0lx4ll5ahnkqu" Type="http://schemas.openxmlformats.org/officeDocument/2006/relationships/hyperlink" Target="https://doi.org/10.1016/j.arabjc.2011.10.007" TargetMode="External"/><Relationship Id="rId3qn6osy6beiwihn4ewq-9" Type="http://schemas.openxmlformats.org/officeDocument/2006/relationships/hyperlink" Target="https://consensus.app/papers/details/c84cc90cb6f55469bb6723f44c264697/?utm_source=claude_desktop" TargetMode="External"/><Relationship Id="rId8j2qgorch3lbyfiobnjth" Type="http://schemas.openxmlformats.org/officeDocument/2006/relationships/hyperlink" Target="https://doi.org/10.1039/d6ra00514d" TargetMode="External"/><Relationship Id="rIdpj8bfv0ls5z1mduplc5nn" Type="http://schemas.openxmlformats.org/officeDocument/2006/relationships/hyperlink" Target="https://www.alphaxiv.org/abs/2603.05532" TargetMode="External"/><Relationship Id="rIdzhg-30fqk9c-ngfduoyfs" Type="http://schemas.openxmlformats.org/officeDocument/2006/relationships/hyperlink" Target="https://consensus.app/papers/details/782976d92d5852ae8f38aba3d325d132/?utm_source=claude_desktop" TargetMode="External"/><Relationship Id="rIdzm9an37y2hgnankqpg4pc" Type="http://schemas.openxmlformats.org/officeDocument/2006/relationships/hyperlink" Target="https://doi.org/10.1016/j.jfluchem.2006.08.005" TargetMode="External"/><Relationship Id="rIdvoxob6wgzcka2ko7wigob" Type="http://schemas.openxmlformats.org/officeDocument/2006/relationships/hyperlink" Target="https://consensus.app/papers/details/308d45aea1a25f4b81c7683976b4a8cd/?utm_source=claude_desktop" TargetMode="External"/><Relationship Id="rId-iyom2tq_apdpoz78anmz" Type="http://schemas.openxmlformats.org/officeDocument/2006/relationships/hyperlink" Target="https://doi.org/10.1021/acs.chemrev.9b00055" TargetMode="External"/><Relationship Id="rIdr12bdplcjs1lv-aqey_qw" Type="http://schemas.openxmlformats.org/officeDocument/2006/relationships/hyperlink" Target="https://consensus.app/papers/details/105dae15f4d85828979f1ca93f88e9c3/?utm_source=claude_desktop" TargetMode="External"/><Relationship Id="rIdfn6n_b3ondmk-l4rv6_bx" Type="http://schemas.openxmlformats.org/officeDocument/2006/relationships/hyperlink" Target="https://doi.org/10.3390/jof12100728" TargetMode="External"/><Relationship Id="rIdjjoapldbxsclejcwl2zi_" Type="http://schemas.openxmlformats.org/officeDocument/2006/relationships/hyperlink" Target="https://consensus.app/papers/details/bdd90a4cd8c35c4c9dcb2d58ba887035/?utm_source=claude_desktop" TargetMode="External"/><Relationship Id="rIdrrtyvkxk9tuesgetnssvg" Type="http://schemas.openxmlformats.org/officeDocument/2006/relationships/hyperlink" Target="https://doi.org/10.1016/j.molstruc.2023.136839" TargetMode="External"/><Relationship Id="rId5wd8yymahgkzogqologyk" Type="http://schemas.openxmlformats.org/officeDocument/2006/relationships/hyperlink" Target="https://consensus.app/papers/details/3496ab70d9c45bbf93084d131dd8cc04/?utm_source=claude_desktop" TargetMode="External"/><Relationship Id="rId0ymrzxpjegfpf_izhnayk" Type="http://schemas.openxmlformats.org/officeDocument/2006/relationships/hyperlink" Target="https://doi.org/10.1124/dmd.30.3.314" TargetMode="External"/><Relationship Id="rIdz-tba5cszisa3cwamej08" Type="http://schemas.openxmlformats.org/officeDocument/2006/relationships/hyperlink" Target="https://consensus.app/papers/details/830ff64070e053fc847d8d0022c0f6ea/?utm_source=claude_desktop" TargetMode="External"/><Relationship Id="rIdum-3ytqyczlqj-mmwhcwj" Type="http://schemas.openxmlformats.org/officeDocument/2006/relationships/hyperlink" Target="https://doi.org/10.1002/med.21290" TargetMode="External"/><Relationship Id="rId83ohqm7nupf-jsrjpzjs3" Type="http://schemas.openxmlformats.org/officeDocument/2006/relationships/hyperlink" Target="https://www.alphaxiv.org/abs/2607.10729" TargetMode="External"/><Relationship Id="rId2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Literature guide: imidazole-derived molecules, in silico study</dc:title>
  <dc:creator>Claude (Anthropic) for the requesting researcher</dc:creator>
  <cp:lastModifiedBy>Un-named</cp:lastModifiedBy>
  <cp:revision>1</cp:revision>
  <dcterms:created xsi:type="dcterms:W3CDTF">2026-10-19T04:15:18.760Z</dcterms:created>
  <dcterms:modified xsi:type="dcterms:W3CDTF">2026-10-19T04:15:18.760Z</dcterms:modified>
</cp:coreProperties>
</file>

<file path=docProps/custom.xml><?xml version="1.0" encoding="utf-8"?>
<Properties xmlns="http://schemas.openxmlformats.org/officeDocument/2006/custom-properties" xmlns:vt="http://schemas.openxmlformats.org/officeDocument/2006/docPropsVTypes"/>
</file>