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Arial" w:cs="Arial" w:eastAsia="Arial" w:hAnsi="Arial"/>
        </w:rPr>
        <w:t xml:space="preserve">Design and Synthesis of Imidazole-Derived Molecules with Potential Biological Activity: A Critical Review of In Silico–Guided Discovery</w:t>
      </w:r>
    </w:p>
    <w:p>
      <w:pPr>
        <w:spacing w:after="60" w:before="0" w:line="276"/>
        <w:jc w:val="left"/>
      </w:pPr>
      <w:r>
        <w:rPr>
          <w:rFonts w:ascii="Times New Roman" w:cs="Times New Roman" w:eastAsia="Times New Roman" w:hAnsi="Times New Roman"/>
          <w:i/>
          <w:iCs/>
          <w:color w:val="5B6B7A"/>
          <w:sz w:val="20"/>
          <w:szCs w:val="20"/>
        </w:rPr>
        <w:t xml:space="preserve">Review article · Draft prepared from a structured literature search (Consensus and alphaXiv), October 2026</w:t>
      </w:r>
    </w:p>
    <w:p>
      <w:pPr>
        <w:spacing w:after="60" w:before="0" w:line="276"/>
        <w:jc w:val="left"/>
      </w:pPr>
      <w:r>
        <w:rPr>
          <w:rFonts w:ascii="Times New Roman" w:cs="Times New Roman" w:eastAsia="Times New Roman" w:hAnsi="Times New Roman"/>
          <w:i/>
          <w:iCs/>
          <w:color w:val="5B6B7A"/>
          <w:sz w:val="20"/>
          <w:szCs w:val="20"/>
        </w:rPr>
        <w:t xml:space="preserve">Corresponding author and affiliations: to be completed by the authors</w:t>
      </w:r>
    </w:p>
    <w:p>
      <w:pPr>
        <w:pStyle w:val="Heading1"/>
        <w:keepNext/>
      </w:pPr>
      <w:r>
        <w:rPr>
          <w:rFonts w:ascii="Arial" w:cs="Arial" w:eastAsia="Arial" w:hAnsi="Arial"/>
        </w:rPr>
        <w:t xml:space="preserve">Abstract</w:t>
      </w:r>
    </w:p>
    <w:p>
      <w:pPr>
        <w:spacing w:after="120" w:before="0" w:line="276"/>
        <w:jc w:val="left"/>
      </w:pPr>
      <w:r>
        <w:rPr>
          <w:rFonts w:ascii="Times New Roman" w:cs="Times New Roman" w:eastAsia="Times New Roman" w:hAnsi="Times New Roman"/>
          <w:sz w:val="22"/>
          <w:szCs w:val="22"/>
        </w:rPr>
        <w:t xml:space="preserve">Imidazole and its fused derivatives (benzimidazole, imidazopyridine, imidazothiazole, imidazolone) remain among the most heavily explored nitrogen heterocycles in medicinal chemistry. A typical recent paper designs a hybrid molecule, makes it by a one-pot condensation, measures one in vitro activity, and supports the result with docking, molecular dynamics, density functional theory (DFT) and ADMET predictions. This review examines how well that pipeline works. We searched Consensus (21 searches, 377 unique papers) and alphaXiv (3 queries, 41 unique preprints) and selected 150 papers, 134 of them from 2020 onward, for critical reading. We also screened the abstracts of 56 primary studies that combine synthesis, a biological assay and computation.</w:t>
      </w:r>
    </w:p>
    <w:p>
      <w:pPr>
        <w:spacing w:after="120" w:before="0" w:line="276"/>
        <w:jc w:val="left"/>
      </w:pPr>
      <w:r>
        <w:rPr>
          <w:rFonts w:ascii="Times New Roman" w:cs="Times New Roman" w:eastAsia="Times New Roman" w:hAnsi="Times New Roman"/>
          <w:sz w:val="22"/>
          <w:szCs w:val="22"/>
        </w:rPr>
        <w:t xml:space="preserve">Synthesis is the most mature step. The Debus–Radziszewski condensation now runs in deep eutectic solvents, catalyst-free bio-solvents, metal–organic frameworks, under ultrasound and under microwave irradiation, often in minutes and in high yield. Biological results are more mixed. Reported leads reach nanomolar EGFR inhibition or MIC values well below fluconazole in individual papers, but many series are weaker than their reference drugs, and reference-drug potencies themselves differ several-fold between papers. The in silico layer is the least settled. Docking poses are often credible, but docking scores rank affinity poorly in independent benchmarks. In our screen, 51 of 56 abstracts reported docking, yet the docked target was also measured in an assay in only about half of them, and only 2 of 56 reported any in vivo result. Imidazole-specific liabilities, above all heme coordination and inhibition of human cytochrome P450 enzymes, were not tested experimentally in any of the 56 abstracts.</w:t>
      </w:r>
    </w:p>
    <w:p>
      <w:pPr>
        <w:spacing w:after="120" w:before="0" w:line="276"/>
        <w:jc w:val="left"/>
      </w:pPr>
      <w:r>
        <w:rPr>
          <w:rFonts w:ascii="Times New Roman" w:cs="Times New Roman" w:eastAsia="Times New Roman" w:hAnsi="Times New Roman"/>
          <w:sz w:val="22"/>
          <w:szCs w:val="22"/>
        </w:rPr>
        <w:t xml:space="preserve">We propose a minimum reporting standard for in silico–guided imidazole studies and highlight the few recent papers that close the loop from prediction to synthesis to experiment.</w:t>
      </w:r>
    </w:p>
    <w:p>
      <w:pPr>
        <w:spacing w:after="120" w:before="0" w:line="276"/>
        <w:jc w:val="left"/>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imidazole; benzimidazole; molecular docking; molecular dynamics; ADMET; multicomponent synthesis; QSAR; cytochrome P450; drug design</w:t>
      </w:r>
    </w:p>
    <w:p>
      <w:pPr>
        <w:pStyle w:val="Heading1"/>
        <w:keepNext/>
      </w:pPr>
      <w:r>
        <w:rPr>
          <w:rFonts w:ascii="Arial" w:cs="Arial" w:eastAsia="Arial" w:hAnsi="Arial"/>
        </w:rPr>
        <w:t xml:space="preserve">1. Introduction</w:t>
      </w:r>
    </w:p>
    <w:p>
      <w:pPr>
        <w:spacing w:after="120" w:before="0" w:line="276"/>
        <w:jc w:val="left"/>
      </w:pPr>
      <w:r>
        <w:rPr>
          <w:rFonts w:ascii="Times New Roman" w:cs="Times New Roman" w:eastAsia="Times New Roman" w:hAnsi="Times New Roman"/>
          <w:sz w:val="22"/>
          <w:szCs w:val="22"/>
        </w:rPr>
        <w:t xml:space="preserve">Imidazole is a five-membered aromatic ring with two nitrogen atoms in a 1,3 relationship, and for that reason it is also called 1,3-diazole. The name imidazole was introduced by Hantzsch in 1887, and the compound was first called glyoxaline because it was first made from glyoxal and ammonia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Debus obtained it in 1858 by reacting glyoxal and formaldehyde in ammonia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The ring is amphoteric, can donate and accept hydrogen bonds, and coordinates metal ions. It is the core of histidine, histamine and the purines, so it occurs throughout biochemistry, including in the catalytic sites of enzymes </w:t>
      </w: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As a polar and ionisable group it is also used by medicinal chemists to improve the solubility and bioavailability of lead molecules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The ring has supplied a long line of medicines. Cimetidine, the first blockbuster drug of this kind, is discussed in reviews as the origin of many of the chemical and biological concepts now applied to imidazole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Marketed examples quoted in the reviews include antihistamines (clemizole, astemizole), antiulcer agents (omeprazole, pantoprazole), antiprotozoal nitroimidazoles (metronidazole, tinidazole, ornidazole) and the antihelmintic thiabendazole, together with newer approvals such as nirogacestat, pretomanid, eprosartan, dabigatran etexilate, acalabrutinib, eluxadoline and cangrelor </w:t>
      </w: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Clotrimazole, introduced in 1969, was the first clinically used imidazole antifungal, and azole antifungals have since passed through four generations </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Reviews published between 2014 and 2026 describe anticancer, antifungal, antibacterial, antitubercular, antidiabetic, anti-inflammatory, antiviral, antihypertensive, antiparasitic and neuroactive imidazoles </w:t>
      </w:r>
      <w:r>
        <w:rPr>
          <w:rFonts w:ascii="Times New Roman" w:cs="Times New Roman" w:eastAsia="Times New Roman" w:hAnsi="Times New Roman"/>
          <w:sz w:val="22"/>
          <w:szCs w:val="22"/>
        </w:rPr>
        <w:t xml:space="preserve">[3,6–9]</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Three developments make a fresh look at the topic timely. First, one-pot multicomponent chemistry has made substituted imidazoles very cheap to prepare, so that new series appear faster than they can be characterised biologically </w:t>
      </w:r>
      <w:r>
        <w:rPr>
          <w:rFonts w:ascii="Times New Roman" w:cs="Times New Roman" w:eastAsia="Times New Roman" w:hAnsi="Times New Roman"/>
          <w:sz w:val="22"/>
          <w:szCs w:val="22"/>
        </w:rPr>
        <w:t xml:space="preserve">[10–12]</w:t>
      </w:r>
      <w:r>
        <w:rPr>
          <w:rFonts w:ascii="Times New Roman" w:cs="Times New Roman" w:eastAsia="Times New Roman" w:hAnsi="Times New Roman"/>
          <w:sz w:val="22"/>
          <w:szCs w:val="22"/>
        </w:rPr>
        <w:t xml:space="preserve">. Second, in silico tools have become routine companions to synthesis. A survey of more than 600 computer-aided drug design publications from 2015 to 2020 found that structure-based virtual screening accounted for 57.6% of the work, AutoDock was the most used docking program (41.8%), molecular dynamics (MD) followed virtual screening in 38.5% of studies, and only 36.5% reported any experimental evaluation afterwards </w:t>
      </w: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Third, benchmark studies of docking, binding-free-energy methods, machine-learning scoring functions and ADMET predictors have accumulated, and they bear directly on how much weight a docking score or a predicted pharmacokinetic profile deserves </w:t>
      </w:r>
      <w:r>
        <w:rPr>
          <w:rFonts w:ascii="Times New Roman" w:cs="Times New Roman" w:eastAsia="Times New Roman" w:hAnsi="Times New Roman"/>
          <w:sz w:val="22"/>
          <w:szCs w:val="22"/>
        </w:rPr>
        <w:t xml:space="preserve">[14–17]</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This review follows one question: when a paper reports the design and synthesis of imidazole-derived molecules and supports them with in silico analysis, which parts of the evidence are strong, which are weak, and what would make them stronger? We ask it in three parts. What do the design and synthesis steps contribute, and how mature are they? How potent are the reported leads when set beside the reference compounds in the same papers? And what do the in silico steps add, given what independent benchmarks say about their reliability? Sections 2 to 5 cover the search, the scaffold, design strategies and synthesis. Sections 6 to 9 summarise biological results, examine the in silico toolkit, compare claims with evidence and describe the imidazole-specific liability of heme binding. Sections 10 and 11 give a reporting standard and future directions. The review is critical in intent but not hostile to the field: most of the weaknesses it describes are weaknesses of reporting that are cheap to correct.</w:t>
      </w:r>
    </w:p>
    <w:p>
      <w:pPr>
        <w:pStyle w:val="Heading1"/>
        <w:keepNext/>
      </w:pPr>
      <w:r>
        <w:rPr>
          <w:rFonts w:ascii="Arial" w:cs="Arial" w:eastAsia="Arial" w:hAnsi="Arial"/>
        </w:rPr>
        <w:t xml:space="preserve">2. Literature search and scope</w:t>
      </w:r>
    </w:p>
    <w:p>
      <w:pPr>
        <w:spacing w:after="120" w:before="0" w:line="276"/>
        <w:jc w:val="left"/>
      </w:pPr>
      <w:r>
        <w:rPr>
          <w:rFonts w:ascii="Times New Roman" w:cs="Times New Roman" w:eastAsia="Times New Roman" w:hAnsi="Times New Roman"/>
          <w:sz w:val="22"/>
          <w:szCs w:val="22"/>
        </w:rPr>
        <w:t xml:space="preserve">The review is narrative, not a registered systematic review, and the search was designed to map a broad field in a limited number of queries. Searches in Consensus were run one at a time. They comprised one reconnaissance query, five sub-area queries (design and synthesis; anticancer; antimicrobial; other activities; in silico methodology), five review-oriented queries, four era-gated queries (publication year up to 2015 versus 2021 onward, for synthesis and for docking-guided design), three follow-up queries seeded by highly cited papers (Zhang 2014, Vijesh 2013, Wang 2019) and three queries on emerging threads (ADMET tool reliability, cytochrome P450 liability, QSAR and machine-learning design). Each query returned up to 20 records (one returned 19), giving 419 records and 377 unique papers.</w:t>
      </w:r>
    </w:p>
    <w:p>
      <w:pPr>
        <w:spacing w:after="120" w:before="0" w:line="276"/>
        <w:jc w:val="left"/>
      </w:pPr>
      <w:r>
        <w:rPr>
          <w:rFonts w:ascii="Times New Roman" w:cs="Times New Roman" w:eastAsia="Times New Roman" w:hAnsi="Times New Roman"/>
          <w:sz w:val="22"/>
          <w:szCs w:val="22"/>
        </w:rPr>
        <w:t xml:space="preserve">alphaXiv indexes arXiv and therefore contains little medicinal chemistry. Three discovery queries returned 42 records (41 unique). Only one was a medicinal-chemistry imidazole paper: a benzimidazole–pyrazoline antimicrobial study deposited on arXiv in 2020, which had been published in a journal in 2017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One further preprint reported the design and synthesis of a 1-benzyl-2,4,5-triaryl imidazole for organic electronics </w:t>
      </w: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The remainder concerned materials, sensing and, most usefully, the reliability of docking, binding-affinity prediction and ADMET models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Seven preprints were read in full text. Preprints have not been peer reviewed, and we flag them as such wherever they are cited.</w:t>
      </w:r>
    </w:p>
    <w:p>
      <w:pPr>
        <w:spacing w:after="120" w:before="0" w:line="276"/>
        <w:jc w:val="left"/>
      </w:pPr>
      <w:r>
        <w:rPr>
          <w:rFonts w:ascii="Times New Roman" w:cs="Times New Roman" w:eastAsia="Times New Roman" w:hAnsi="Times New Roman"/>
          <w:sz w:val="22"/>
          <w:szCs w:val="22"/>
        </w:rPr>
        <w:t xml:space="preserve">From the 377 Consensus papers and the preprints we kept 150 for citation, applying four rules: direct relevance to imidazole, benzimidazole or fused-imidazole design, synthesis and biology, or to in silico methods applied to them; recency, with 2020 onward as the default; older papers only as landmarks (at least 100 citations) or as the sole source for a needed claim; and, for preprints, full-text reading. Of the 150, 134 are from 2020 or later, and 128 of the 143 Consensus papers are from 2020 onward. Bibliographic fields (identifier, title, year, citation count, DOI) were checked against the raw search output for every record. Reported citation counts are those returned by Consensus on the search date and are used only to identify landmark papers.</w:t>
      </w:r>
    </w:p>
    <w:p>
      <w:pPr>
        <w:spacing w:after="120" w:before="0" w:line="276"/>
        <w:jc w:val="left"/>
      </w:pPr>
      <w:r>
        <w:rPr>
          <w:rFonts w:ascii="Times New Roman" w:cs="Times New Roman" w:eastAsia="Times New Roman" w:hAnsi="Times New Roman"/>
          <w:sz w:val="22"/>
          <w:szCs w:val="22"/>
        </w:rPr>
        <w:t xml:space="preserve">To describe typical practice, we also screened the abstracts of the 56 primary studies in the selected set that report the synthesis of imidazole-type compounds together with a biological assay. They comprise 21 anticancer studies, 15 antimicrobial and antifungal studies, 14 studies of other activities (antidiabetic, neuroactive, antioxidant, antihypertensive, antiviral), three synthesis papers with a biological component and three machine-learning-guided studies. Two further anticancer papers were left out, one because it was purely computational and one because its abstract was truncated. We coded each abstract by keyword for the evidence elements it mentions (docking, MD, DFT, in silico ADME, normal-cell or hemolysis controls, in vivo work, crystal structures of the products, redocking validation, and whether the docked target was also measured in an assay) and checked every match by hand. The screen is approximate by design, because an abstract can omit work that the full text reports, and the figures it gives are lower bounds on what the papers did. We use them in Section 8.</w:t>
      </w:r>
    </w:p>
    <w:p>
      <w:pPr>
        <w:spacing w:after="120" w:before="0" w:line="276"/>
        <w:jc w:val="left"/>
      </w:pPr>
      <w:r>
        <w:rPr>
          <w:rFonts w:ascii="Times New Roman" w:cs="Times New Roman" w:eastAsia="Times New Roman" w:hAnsi="Times New Roman"/>
          <w:sz w:val="22"/>
          <w:szCs w:val="22"/>
        </w:rPr>
        <w:t xml:space="preserve">Values are quoted as the abstracts give them. Fold-differences are those stated by the authors unless we say that they are our arithmetic, and the reference compounds named are those used in the same paper. We did not recompute statistics or pool potencies across papers, because assays, cell lines and units differ.</w:t>
      </w:r>
    </w:p>
    <w:p>
      <w:pPr>
        <w:spacing w:after="120" w:before="0" w:line="276"/>
        <w:jc w:val="left"/>
      </w:pPr>
      <w:r>
        <w:rPr>
          <w:rFonts w:ascii="Times New Roman" w:cs="Times New Roman" w:eastAsia="Times New Roman" w:hAnsi="Times New Roman"/>
          <w:sz w:val="22"/>
          <w:szCs w:val="22"/>
        </w:rPr>
        <w:t xml:space="preserve">Two limitations follow from this design. Consensus returns only the first author and an abstract for each record, so our reading of most primary studies rests on abstracts. Statements such as "rarely reported" refer to what the abstracts state and may under-count work described only in full texts. And because the searches targeted in silico–supported studies, our sample over-represents that style of paper. It describes the sampled literature and should not be read as a census of imidazole research.</w:t>
      </w:r>
    </w:p>
    <w:p>
      <w:pPr>
        <w:pStyle w:val="Heading1"/>
        <w:keepNext/>
      </w:pPr>
      <w:r>
        <w:rPr>
          <w:rFonts w:ascii="Arial" w:cs="Arial" w:eastAsia="Arial" w:hAnsi="Arial"/>
        </w:rPr>
        <w:t xml:space="preserve">3. The imidazole scaffold in medicinal chemistry</w:t>
      </w:r>
    </w:p>
    <w:p>
      <w:pPr>
        <w:pStyle w:val="Heading2"/>
        <w:keepNext/>
      </w:pPr>
      <w:r>
        <w:rPr>
          <w:rFonts w:ascii="Arial" w:cs="Arial" w:eastAsia="Arial" w:hAnsi="Arial"/>
        </w:rPr>
        <w:t xml:space="preserve">3.1 Physicochemical features</w:t>
      </w:r>
    </w:p>
    <w:p>
      <w:pPr>
        <w:spacing w:after="120" w:before="0" w:line="276"/>
        <w:jc w:val="left"/>
      </w:pPr>
      <w:r>
        <w:rPr>
          <w:rFonts w:ascii="Times New Roman" w:cs="Times New Roman" w:eastAsia="Times New Roman" w:hAnsi="Times New Roman"/>
          <w:sz w:val="22"/>
          <w:szCs w:val="22"/>
        </w:rPr>
        <w:t xml:space="preserve">The imidazole ring contains three carbon atoms and two nitrogens. One nitrogen carries a hydrogen (pyrrole type) and the other has a free lone pair (pyridine type), so the ring is amphoteric, is highly soluble in water and other polar solvents, and exists as two equivalent tautomers when unsubstituted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The electron-rich ring binds enzymes and receptors through several weak interactions and can coordinate metal ions, features that Zhang and co-workers identified in 2014 as the common thread behind its broad bioactivity </w:t>
      </w: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Reviews of its use in drug design add that the ring is practical and versatile to construct and functionalise, which makes it a rich source of chemical diversity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For kinases, the ring fits hinge-binding concepts, which helps explain the number of imidazole and benzimidazole kinase inhibitors </w:t>
      </w:r>
      <w:r>
        <w:rPr>
          <w:rFonts w:ascii="Times New Roman" w:cs="Times New Roman" w:eastAsia="Times New Roman" w:hAnsi="Times New Roman"/>
          <w:sz w:val="22"/>
          <w:szCs w:val="22"/>
        </w:rPr>
        <w:t xml:space="preserve">[25,26]</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Two consequences matter later in this review. The first is that the same pyridine-type nitrogen that binds a catalytic metal ion in a target enzyme can bind the heme iron of off-target cytochrome P450 enzymes (Section 9). The second is that tautomerism and protonation are real modelling variables: which nitrogen carries the hydrogen, and whether the ring is charged at assay pH, changes the hydrogen-bond pattern presented to a protein (Section 7.1).</w:t>
      </w:r>
    </w:p>
    <w:p>
      <w:pPr>
        <w:pStyle w:val="Heading2"/>
        <w:keepNext/>
      </w:pPr>
      <w:r>
        <w:rPr>
          <w:rFonts w:ascii="Arial" w:cs="Arial" w:eastAsia="Arial" w:hAnsi="Arial"/>
        </w:rPr>
        <w:t xml:space="preserve">3.2 Drugs and scaffold families</w:t>
      </w:r>
    </w:p>
    <w:p>
      <w:pPr>
        <w:spacing w:after="120" w:before="0" w:line="276"/>
        <w:jc w:val="left"/>
      </w:pPr>
      <w:r>
        <w:rPr>
          <w:rFonts w:ascii="Times New Roman" w:cs="Times New Roman" w:eastAsia="Times New Roman" w:hAnsi="Times New Roman"/>
          <w:sz w:val="22"/>
          <w:szCs w:val="22"/>
        </w:rPr>
        <w:t xml:space="preserve">The fused and related systems extend the chemical space considerably:</w:t>
      </w:r>
    </w:p>
    <w:p>
      <w:pPr>
        <w:pStyle w:val="ListParagraph"/>
        <w:numPr>
          <w:ilvl w:val="0"/>
          <w:numId w:val="2"/>
        </w:numPr>
        <w:spacing w:after="70" w:line="270"/>
      </w:pPr>
      <w:r>
        <w:rPr>
          <w:rFonts w:ascii="Times New Roman" w:cs="Times New Roman" w:eastAsia="Times New Roman" w:hAnsi="Times New Roman"/>
          <w:sz w:val="22"/>
          <w:szCs w:val="22"/>
        </w:rPr>
        <w:t xml:space="preserve">Benzimidazole is the most studied fused system in the retrieved literature, particularly for cancer, where it acts through tubulin disruption, topoisomerase inhibition, kinase inhibition and epigenetic targets, and where recent work frames it within precision medicine </w:t>
      </w: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Dedicated kinase reviews cover its use against FGFR, c-Met, EGFR, VEGFR and FLT3 since 2020 </w:t>
      </w: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w:t>
      </w:r>
    </w:p>
    <w:p>
      <w:pPr>
        <w:pStyle w:val="ListParagraph"/>
        <w:numPr>
          <w:ilvl w:val="0"/>
          <w:numId w:val="2"/>
        </w:numPr>
        <w:spacing w:after="70" w:line="270"/>
      </w:pPr>
      <w:r>
        <w:rPr>
          <w:rFonts w:ascii="Times New Roman" w:cs="Times New Roman" w:eastAsia="Times New Roman" w:hAnsi="Times New Roman"/>
          <w:sz w:val="22"/>
          <w:szCs w:val="22"/>
        </w:rPr>
        <w:t xml:space="preserve">Imidazo[1,2-a]pyridines include the hypnotic zolpidem and the anxiolytics alpidem, saripidem and necopidem. A 2026 review documents exponential growth in research on the scaffold, new synthetic routes (condensation, multicomponent, tandem, intramolecular cyclisation and oxidative coupling under green conditions) and applications against cancer, Alzheimer's disease, tuberculosis and neglected tropical diseases, with targets that include kinases, tubulin, histone deacetylases, the cytochrome bc1 complex of </w:t>
      </w:r>
      <w:r>
        <w:rPr>
          <w:rFonts w:ascii="Times New Roman" w:cs="Times New Roman" w:eastAsia="Times New Roman" w:hAnsi="Times New Roman"/>
          <w:i/>
          <w:iCs/>
          <w:sz w:val="22"/>
          <w:szCs w:val="22"/>
        </w:rPr>
        <w:t xml:space="preserve">Mycobacterium tuberculosis</w:t>
      </w:r>
      <w:r>
        <w:rPr>
          <w:rFonts w:ascii="Times New Roman" w:cs="Times New Roman" w:eastAsia="Times New Roman" w:hAnsi="Times New Roman"/>
          <w:sz w:val="22"/>
          <w:szCs w:val="22"/>
        </w:rPr>
        <w:t xml:space="preserve">, cholinesterases and secretases </w:t>
      </w: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w:t>
      </w:r>
    </w:p>
    <w:p>
      <w:pPr>
        <w:pStyle w:val="ListParagraph"/>
        <w:numPr>
          <w:ilvl w:val="0"/>
          <w:numId w:val="2"/>
        </w:numPr>
        <w:spacing w:after="70" w:line="270"/>
      </w:pPr>
      <w:r>
        <w:rPr>
          <w:rFonts w:ascii="Times New Roman" w:cs="Times New Roman" w:eastAsia="Times New Roman" w:hAnsi="Times New Roman"/>
          <w:sz w:val="22"/>
          <w:szCs w:val="22"/>
        </w:rPr>
        <w:t xml:space="preserve">Imidazo[2,1-b]thiazoles have been reviewed for 2020 to 2025, with sub-micromolar to low-micromolar antitubercular series that in some cases carry pharmacokinetic and tolerability data, and with activity against BRAF, IDO1 and α-glucosidase </w:t>
      </w: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w:t>
      </w:r>
    </w:p>
    <w:p>
      <w:pPr>
        <w:pStyle w:val="ListParagraph"/>
        <w:numPr>
          <w:ilvl w:val="0"/>
          <w:numId w:val="2"/>
        </w:numPr>
        <w:spacing w:after="70" w:line="270"/>
      </w:pPr>
      <w:r>
        <w:rPr>
          <w:rFonts w:ascii="Times New Roman" w:cs="Times New Roman" w:eastAsia="Times New Roman" w:hAnsi="Times New Roman"/>
          <w:sz w:val="22"/>
          <w:szCs w:val="22"/>
        </w:rPr>
        <w:t xml:space="preserve">Imidazolones are present in nilutamide, irbesartan and leucettinib-21 and have been studied against carbonic anhydrase, EGFR, Bcl-2 family proteins and checkpoint kinases </w:t>
      </w: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The related thioxoimidazolidinones have been designed as EGFR and VEGFR-2 dual inhibitors </w:t>
      </w: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w:t>
      </w:r>
    </w:p>
    <w:p>
      <w:pPr>
        <w:pStyle w:val="ListParagraph"/>
        <w:numPr>
          <w:ilvl w:val="0"/>
          <w:numId w:val="2"/>
        </w:numPr>
        <w:spacing w:after="70" w:line="270"/>
      </w:pPr>
      <w:r>
        <w:rPr>
          <w:rFonts w:ascii="Times New Roman" w:cs="Times New Roman" w:eastAsia="Times New Roman" w:hAnsi="Times New Roman"/>
          <w:sz w:val="22"/>
          <w:szCs w:val="22"/>
        </w:rPr>
        <w:t xml:space="preserve">Nitroimidazoles are used as hypoxia-directed agents in oncology and as antiprotozoal drugs, although resistance to metronidazole and tinidazole in </w:t>
      </w:r>
      <w:r>
        <w:rPr>
          <w:rFonts w:ascii="Times New Roman" w:cs="Times New Roman" w:eastAsia="Times New Roman" w:hAnsi="Times New Roman"/>
          <w:i/>
          <w:iCs/>
          <w:sz w:val="22"/>
          <w:szCs w:val="22"/>
        </w:rPr>
        <w:t xml:space="preserve">Trichomonas vaginalis</w:t>
      </w:r>
      <w:r>
        <w:rPr>
          <w:rFonts w:ascii="Times New Roman" w:cs="Times New Roman" w:eastAsia="Times New Roman" w:hAnsi="Times New Roman"/>
          <w:sz w:val="22"/>
          <w:szCs w:val="22"/>
        </w:rPr>
        <w:t xml:space="preserve"> is increasingly reported and motivates new designs </w:t>
      </w:r>
      <w:r>
        <w:rPr>
          <w:rFonts w:ascii="Times New Roman" w:cs="Times New Roman" w:eastAsia="Times New Roman" w:hAnsi="Times New Roman"/>
          <w:sz w:val="22"/>
          <w:szCs w:val="22"/>
        </w:rPr>
        <w:t xml:space="preserve">[3,32]</w:t>
      </w:r>
      <w:r>
        <w:rPr>
          <w:rFonts w:ascii="Times New Roman" w:cs="Times New Roman" w:eastAsia="Times New Roman" w:hAnsi="Times New Roman"/>
          <w:sz w:val="22"/>
          <w:szCs w:val="22"/>
        </w:rPr>
        <w:t xml:space="preserve">.</w:t>
      </w:r>
    </w:p>
    <w:p>
      <w:pPr>
        <w:spacing w:after="60"/>
      </w:pPr>
    </w:p>
    <w:p>
      <w:pPr>
        <w:spacing w:after="120" w:before="0" w:line="276"/>
        <w:jc w:val="left"/>
      </w:pPr>
      <w:r>
        <w:rPr>
          <w:rFonts w:ascii="Times New Roman" w:cs="Times New Roman" w:eastAsia="Times New Roman" w:hAnsi="Times New Roman"/>
          <w:sz w:val="22"/>
          <w:szCs w:val="22"/>
        </w:rPr>
        <w:t xml:space="preserve">Hybrids are the other large family. A 2024 review of imidazole hybrids covers antibacterial, antifungal, antituberculosis, antiviral, anticancer, antioxidant, antidiabetic, anti-inflammatory and analgesic activity, together with cholinesterase, carbonic anhydrase and monoamine oxidase inhibition, and it organises the work by partner pharmacophore: triazole, thiazole, indole, pyrazole, quinoline, sulfonamide, pyridine, chalcone, coumarin, pyrrole and pyrrolidine </w:t>
      </w: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That review notes that earlier ones had concentrated on a single activity, which is one reason a cross-activity view of design and validation is useful. A review of anticancer hybrids classifies them as imidazole in a side chain, imidazole-centred, condensed, bis- or poly-imidazole, polycyclic, metal complexes and benzimidazole hybrids </w:t>
      </w: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3.3 What the reviews say, and what they leave out</w:t>
      </w:r>
    </w:p>
    <w:p>
      <w:pPr>
        <w:spacing w:after="120" w:before="0" w:line="276"/>
        <w:jc w:val="left"/>
      </w:pPr>
      <w:r>
        <w:rPr>
          <w:rFonts w:ascii="Times New Roman" w:cs="Times New Roman" w:eastAsia="Times New Roman" w:hAnsi="Times New Roman"/>
          <w:sz w:val="22"/>
          <w:szCs w:val="22"/>
        </w:rPr>
        <w:t xml:space="preserve">The scaffold reviews are mostly descriptive, and they are organised by activity. Anticancer reviews list targets: microtubules, tyrosine and serine–threonine kinases, histone deacetylases, the p53–MDM2 interaction, PARP and G-quadruplexes for 2018 to 2020 </w:t>
      </w: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tubulin, heme oxygenases, VEGF and EGFR, with attention to resemblance to combretastatin A-4 and to 2-aryl-4-benzoyl-imidazoles </w:t>
      </w: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and topoisomerase IIα, focal adhesion kinase, c-MYC G-quadruplex stabilisation and aurora kinase inhibition </w:t>
      </w: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Anti-inflammatory mechanisms include COX-2 inhibition, inhibition of neutrophil degranulation and generation of reactive oxygen species </w:t>
      </w: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and a review of diazole anti-inflammatory agents covers the synthetic routes from the Debus reaction to cycloadditions </w:t>
      </w: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Alzheimer's disease is described as multifactorial, with tau phosphorylation, amyloid aggregation, metal dysregulation, oxidative stress and neuroinflammation all in play, which is the rationale for multi-target imidazole leads </w:t>
      </w: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Antibacterial reviews single out indole-, rifamycin-, berberine- and N-aryl-substituted imidazoles as superior against resistant </w:t>
      </w:r>
      <w:r>
        <w:rPr>
          <w:rFonts w:ascii="Times New Roman" w:cs="Times New Roman" w:eastAsia="Times New Roman" w:hAnsi="Times New Roman"/>
          <w:i/>
          <w:iCs/>
          <w:sz w:val="22"/>
          <w:szCs w:val="22"/>
        </w:rPr>
        <w:t xml:space="preserve">Staphylococcus aureus</w:t>
      </w:r>
      <w:r>
        <w:rPr>
          <w:rFonts w:ascii="Times New Roman" w:cs="Times New Roman" w:eastAsia="Times New Roman" w:hAnsi="Times New Roman"/>
          <w:sz w:val="22"/>
          <w:szCs w:val="22"/>
        </w:rPr>
        <w:t xml:space="preserve">, while hydroxynaphthalene, 2-phenylbenzimidazole, imidazothiadiazole and isatin analogues were often weaker </w:t>
      </w: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What the reviews rarely do is compare designs across activities or examine how the evidence for a design was obtained. Two of the most recent, both on imidazo[1,2-a]pyridines, are explicit about what is missing. The systematic review by Antoniolli and co-workers, based on Scopus and Web of Science, states that despite promising in vitro potency, many compounds still lack in vivo validation, pharmacokinetic characterisation and ADME/toxicity optimisation, and that structural exploration remains concentrated on conventional substitution patterns, which calls for bioisosteric and fragment-based approaches </w:t>
      </w: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We return to this point in Section 8.</w:t>
      </w:r>
    </w:p>
    <w:p>
      <w:pPr>
        <w:pStyle w:val="Heading2"/>
        <w:keepNext/>
      </w:pPr>
      <w:r>
        <w:rPr>
          <w:rFonts w:ascii="Arial" w:cs="Arial" w:eastAsia="Arial" w:hAnsi="Arial"/>
        </w:rPr>
        <w:t xml:space="preserve">3.4 Clinical and diagnostic context</w:t>
      </w:r>
    </w:p>
    <w:p>
      <w:pPr>
        <w:spacing w:after="120" w:before="0" w:line="276"/>
        <w:jc w:val="left"/>
      </w:pPr>
      <w:r>
        <w:rPr>
          <w:rFonts w:ascii="Times New Roman" w:cs="Times New Roman" w:eastAsia="Times New Roman" w:hAnsi="Times New Roman"/>
          <w:sz w:val="22"/>
          <w:szCs w:val="22"/>
        </w:rPr>
        <w:t xml:space="preserve">Clinical experience adds three cautions to the design literature. First, the recent approvals quoted in reviews (nirogacestat, pretomanid, eprosartan, dabigatran etexilate, acalabrutinib, eluxadoline and cangrelor) cover anticancer, antimycobacterial, antihypertensive, antithrombin, kinase-inhibitor, antidiarrhoeal and antiplatelet uses, and the review that lists them states that variations in structure, safety concerns and regulatory challenges remain critical considerations </w:t>
      </w: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Second, the scaffold has also been used outside therapy: the 2014 review covers diagnostic agents and pathological probes as well as drugs </w:t>
      </w: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and nitroimidazoles are used as hypoxia-directed agents that target oxygen-deprived tumour tissue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Third, reviews stress selectivity, noting that structural modifications of the nucleus have led to compounds with increased cytotoxicity toward cancer cells while sparing normal cells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As Section 8 shows, that claim is tested in only a minority of primary studies.</w:t>
      </w:r>
    </w:p>
    <w:p>
      <w:pPr>
        <w:pStyle w:val="Heading1"/>
        <w:keepNext/>
      </w:pPr>
      <w:r>
        <w:rPr>
          <w:rFonts w:ascii="Arial" w:cs="Arial" w:eastAsia="Arial" w:hAnsi="Arial"/>
        </w:rPr>
        <w:t xml:space="preserve">4. Design strategies</w:t>
      </w:r>
    </w:p>
    <w:p>
      <w:pPr>
        <w:spacing w:after="120" w:before="0" w:line="276"/>
        <w:jc w:val="left"/>
      </w:pPr>
      <w:r>
        <w:rPr>
          <w:rFonts w:ascii="Times New Roman" w:cs="Times New Roman" w:eastAsia="Times New Roman" w:hAnsi="Times New Roman"/>
          <w:sz w:val="22"/>
          <w:szCs w:val="22"/>
        </w:rPr>
        <w:t xml:space="preserve">Design in the retrieved studies follows a small number of recurring patterns. The most common is a hybrid pharmacophore, in which the imidazole is joined to a second recognised heterocycle, either through click chemistry or through a direct heteroaryl link. The next is a fused scaffold, in which the imidazole is part of an imidazothiazole, imidazopyridine, imidazoquinoxaline or benzimidazole system. A third pattern is hinge-directed or heme-directed design, in which the ring is placed to bind a kinase hinge or the iron of a fungal cytochrome. Others are multi-target ligand design, docking-first selection of compounds to make, and QSAR- or machine-learning-first design. The sub-sections below describe each with representative studies.</w:t>
      </w:r>
    </w:p>
    <w:p>
      <w:pPr>
        <w:pStyle w:val="Heading2"/>
        <w:keepNext/>
      </w:pPr>
      <w:r>
        <w:rPr>
          <w:rFonts w:ascii="Arial" w:cs="Arial" w:eastAsia="Arial" w:hAnsi="Arial"/>
        </w:rPr>
        <w:t xml:space="preserve">4.1 Hybrid and fused designs</w:t>
      </w:r>
    </w:p>
    <w:p>
      <w:pPr>
        <w:spacing w:after="120" w:before="0" w:line="276"/>
        <w:jc w:val="left"/>
      </w:pPr>
      <w:r>
        <w:rPr>
          <w:rFonts w:ascii="Times New Roman" w:cs="Times New Roman" w:eastAsia="Times New Roman" w:hAnsi="Times New Roman"/>
          <w:sz w:val="22"/>
          <w:szCs w:val="22"/>
        </w:rPr>
        <w:t xml:space="preserve">The commonest move is to join the imidazole to a second heterocycle that is itself a recognised pharmacophore. Click chemistry delivered imidazole–triazole hybrids from thiopropargylated imidazole and organic azides, with the most active compound (4k) docked into glycogen synthase kinase-3β and the ADMET profile predicted </w:t>
      </w: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A later imidazole–triazole series carrying a nitrobenzodioxole group was tested against MCF-7 cells and normal NIH/3T3 fibroblasts, and the best compound docked into EGFR </w:t>
      </w: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Imidazole–thiazole hybrids made from phenacyl bromides showed moderate antimicrobial activity and an IC50 of 33.52 µM against a cancer line for the best compound </w:t>
      </w: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A pyridine–1,2,4-oxadiazole–imidazole series was tested against four cancer lines, and an imidazole–1,2,4-oxadiazole–piperazine series (26 compounds) against five, in the latter case with a normal kidney cell line as a control </w:t>
      </w:r>
      <w:r>
        <w:rPr>
          <w:rFonts w:ascii="Times New Roman" w:cs="Times New Roman" w:eastAsia="Times New Roman" w:hAnsi="Times New Roman"/>
          <w:sz w:val="22"/>
          <w:szCs w:val="22"/>
        </w:rPr>
        <w:t xml:space="preserve">[42,43]</w:t>
      </w:r>
      <w:r>
        <w:rPr>
          <w:rFonts w:ascii="Times New Roman" w:cs="Times New Roman" w:eastAsia="Times New Roman" w:hAnsi="Times New Roman"/>
          <w:sz w:val="22"/>
          <w:szCs w:val="22"/>
        </w:rPr>
        <w:t xml:space="preserve">. Benzimidazole–triazole hybrids were designed as multi-target EGFR, VEGFR-2 and topoisomerase II inhibitors </w:t>
      </w: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Hybrids with sulfonamide, urea, chalcone, thiadiazole, isoxazole, triazole-fused and pyrazole partners follow the same logic </w:t>
      </w:r>
      <w:r>
        <w:rPr>
          <w:rFonts w:ascii="Times New Roman" w:cs="Times New Roman" w:eastAsia="Times New Roman" w:hAnsi="Times New Roman"/>
          <w:sz w:val="22"/>
          <w:szCs w:val="22"/>
        </w:rPr>
        <w:t xml:space="preserve">[45–51]</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Fused scaffolds repeat the pattern. Indolinone-grafted imidazo[2,1-b]thiazoles and imidazo[1,2-a]pyridines were designed as VEGFR-2 inhibitors and docked into the VEGFR-2 structure 4AGD, where their binding resembled that of the co-crystallised ligand sunitinib </w:t>
      </w:r>
      <w:r>
        <w:rPr>
          <w:rFonts w:ascii="Times New Roman" w:cs="Times New Roman" w:eastAsia="Times New Roman" w:hAnsi="Times New Roman"/>
          <w:sz w:val="22"/>
          <w:szCs w:val="22"/>
        </w:rPr>
        <w:t xml:space="preserve">[52]</w:t>
      </w:r>
      <w:r>
        <w:rPr>
          <w:rFonts w:ascii="Times New Roman" w:cs="Times New Roman" w:eastAsia="Times New Roman" w:hAnsi="Times New Roman"/>
          <w:sz w:val="22"/>
          <w:szCs w:val="22"/>
        </w:rPr>
        <w:t xml:space="preserve">. Imidazo[1,2-a]quinoxalines were built by a Pictet–Spengler sequence as dual EGFR and tubulin agents </w:t>
      </w:r>
      <w:r>
        <w:rPr>
          <w:rFonts w:ascii="Times New Roman" w:cs="Times New Roman" w:eastAsia="Times New Roman" w:hAnsi="Times New Roman"/>
          <w:sz w:val="22"/>
          <w:szCs w:val="22"/>
        </w:rPr>
        <w:t xml:space="preserve">[53]</w:t>
      </w:r>
      <w:r>
        <w:rPr>
          <w:rFonts w:ascii="Times New Roman" w:cs="Times New Roman" w:eastAsia="Times New Roman" w:hAnsi="Times New Roman"/>
          <w:sz w:val="22"/>
          <w:szCs w:val="22"/>
        </w:rPr>
        <w:t xml:space="preserve">. Imidazo[1,5-a]pyridines were assessed by umbrella sampling and steered MD </w:t>
      </w:r>
      <w:r>
        <w:rPr>
          <w:rFonts w:ascii="Times New Roman" w:cs="Times New Roman" w:eastAsia="Times New Roman" w:hAnsi="Times New Roman"/>
          <w:sz w:val="22"/>
          <w:szCs w:val="22"/>
        </w:rPr>
        <w:t xml:space="preserve">[54]</w:t>
      </w:r>
      <w:r>
        <w:rPr>
          <w:rFonts w:ascii="Times New Roman" w:cs="Times New Roman" w:eastAsia="Times New Roman" w:hAnsi="Times New Roman"/>
          <w:sz w:val="22"/>
          <w:szCs w:val="22"/>
        </w:rPr>
        <w:t xml:space="preserve">. Imidazo[1,2-a]pyridine–thiadiazoles and imidazopyridine chalcones were designed against diabetes-related enzymes </w:t>
      </w:r>
      <w:r>
        <w:rPr>
          <w:rFonts w:ascii="Times New Roman" w:cs="Times New Roman" w:eastAsia="Times New Roman" w:hAnsi="Times New Roman"/>
          <w:sz w:val="22"/>
          <w:szCs w:val="22"/>
        </w:rPr>
        <w:t xml:space="preserve">[55,56]</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Substituent patterns do matter within series. In one imidazole–chalcone series, tubulin-binding activity and cytotoxicity (IC50 7.05 to 63.43 µM) followed substituent changes and were rationalised by docking in the colchicine site </w:t>
      </w:r>
      <w:r>
        <w:rPr>
          <w:rFonts w:ascii="Times New Roman" w:cs="Times New Roman" w:eastAsia="Times New Roman" w:hAnsi="Times New Roman"/>
          <w:sz w:val="22"/>
          <w:szCs w:val="22"/>
        </w:rPr>
        <w:t xml:space="preserve">[47]</w:t>
      </w:r>
      <w:r>
        <w:rPr>
          <w:rFonts w:ascii="Times New Roman" w:cs="Times New Roman" w:eastAsia="Times New Roman" w:hAnsi="Times New Roman"/>
          <w:sz w:val="22"/>
          <w:szCs w:val="22"/>
        </w:rPr>
        <w:t xml:space="preserve">. In a tetrasubstituted imidazole–pyrimidine–sulfonamide series, one compound inhibited HER2 and two EGFR mutants and altered the Bax/Bcl-2 ratio </w:t>
      </w: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In an imidazole–pyridine–oxadiazole series, the lead carried a 3,4,5-trimethoxyphenyl group </w:t>
      </w: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Electron-withdrawing groups tended to enhance anticancer potency in the imidazole–triazole series, and phenolic hydroxyl and para-methoxy substituents did so in a Brønsted-acid deep eutectic solvent series tested on HepG2 cells </w:t>
      </w:r>
      <w:r>
        <w:rPr>
          <w:rFonts w:ascii="Times New Roman" w:cs="Times New Roman" w:eastAsia="Times New Roman" w:hAnsi="Times New Roman"/>
          <w:sz w:val="22"/>
          <w:szCs w:val="22"/>
        </w:rPr>
        <w:t xml:space="preserve">[40,57]</w:t>
      </w:r>
      <w:r>
        <w:rPr>
          <w:rFonts w:ascii="Times New Roman" w:cs="Times New Roman" w:eastAsia="Times New Roman" w:hAnsi="Times New Roman"/>
          <w:sz w:val="22"/>
          <w:szCs w:val="22"/>
        </w:rPr>
        <w:t xml:space="preserve">. These are small structure–activity statements, drawn from series of roughly 6 to 26 compounds, and they should be read as such.</w:t>
      </w:r>
    </w:p>
    <w:p>
      <w:pPr>
        <w:pStyle w:val="Heading2"/>
        <w:keepNext/>
      </w:pPr>
      <w:r>
        <w:rPr>
          <w:rFonts w:ascii="Arial" w:cs="Arial" w:eastAsia="Arial" w:hAnsi="Arial"/>
        </w:rPr>
        <w:t xml:space="preserve">4.2 Target-directed design</w:t>
      </w:r>
    </w:p>
    <w:p>
      <w:pPr>
        <w:spacing w:after="120" w:before="0" w:line="276"/>
        <w:jc w:val="left"/>
      </w:pPr>
      <w:r>
        <w:rPr>
          <w:rFonts w:ascii="Times New Roman" w:cs="Times New Roman" w:eastAsia="Times New Roman" w:hAnsi="Times New Roman"/>
          <w:sz w:val="22"/>
          <w:szCs w:val="22"/>
        </w:rPr>
        <w:t xml:space="preserve">Two target classes dominate. For kinases, designs aim at the ATP site of EGFR (including the T790M resistance mutant), VEGFR-2 and related tyrosine kinases </w:t>
      </w:r>
      <w:r>
        <w:rPr>
          <w:rFonts w:ascii="Times New Roman" w:cs="Times New Roman" w:eastAsia="Times New Roman" w:hAnsi="Times New Roman"/>
          <w:sz w:val="22"/>
          <w:szCs w:val="22"/>
        </w:rPr>
        <w:t xml:space="preserve">[26,31,58–60]</w:t>
      </w:r>
      <w:r>
        <w:rPr>
          <w:rFonts w:ascii="Times New Roman" w:cs="Times New Roman" w:eastAsia="Times New Roman" w:hAnsi="Times New Roman"/>
          <w:sz w:val="22"/>
          <w:szCs w:val="22"/>
        </w:rPr>
        <w:t xml:space="preserve">. Dual and triple kinase designs are common: EGFR with VEGFR-2, or VEGFR-2, EGFR and c-Met together </w:t>
      </w:r>
      <w:r>
        <w:rPr>
          <w:rFonts w:ascii="Times New Roman" w:cs="Times New Roman" w:eastAsia="Times New Roman" w:hAnsi="Times New Roman"/>
          <w:sz w:val="22"/>
          <w:szCs w:val="22"/>
        </w:rPr>
        <w:t xml:space="preserve">[31,46]</w:t>
      </w:r>
      <w:r>
        <w:rPr>
          <w:rFonts w:ascii="Times New Roman" w:cs="Times New Roman" w:eastAsia="Times New Roman" w:hAnsi="Times New Roman"/>
          <w:sz w:val="22"/>
          <w:szCs w:val="22"/>
        </w:rPr>
        <w:t xml:space="preserve">. For fungal CYP51, the imidazole nitrogen is placed to coordinate the heme iron while a lipophilic tail occupies the access channel; docking studies of eugenol-derived imidazoles describe exactly this arrangement </w:t>
      </w:r>
      <w:r>
        <w:rPr>
          <w:rFonts w:ascii="Times New Roman" w:cs="Times New Roman" w:eastAsia="Times New Roman" w:hAnsi="Times New Roman"/>
          <w:sz w:val="22"/>
          <w:szCs w:val="22"/>
        </w:rPr>
        <w:t xml:space="preserve">[61]</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Other recurring targets follow the available crystal structures. Glucosamine-6-phosphate synthase is used for antibacterial work </w:t>
      </w:r>
      <w:r>
        <w:rPr>
          <w:rFonts w:ascii="Times New Roman" w:cs="Times New Roman" w:eastAsia="Times New Roman" w:hAnsi="Times New Roman"/>
          <w:sz w:val="22"/>
          <w:szCs w:val="22"/>
        </w:rPr>
        <w:t xml:space="preserve">[62,63]</w:t>
      </w:r>
      <w:r>
        <w:rPr>
          <w:rFonts w:ascii="Times New Roman" w:cs="Times New Roman" w:eastAsia="Times New Roman" w:hAnsi="Times New Roman"/>
          <w:sz w:val="22"/>
          <w:szCs w:val="22"/>
        </w:rPr>
        <w:t xml:space="preserve">, penicillin-binding protein 2a for MRSA </w:t>
      </w:r>
      <w:r>
        <w:rPr>
          <w:rFonts w:ascii="Times New Roman" w:cs="Times New Roman" w:eastAsia="Times New Roman" w:hAnsi="Times New Roman"/>
          <w:sz w:val="22"/>
          <w:szCs w:val="22"/>
        </w:rPr>
        <w:t xml:space="preserve">[64]</w:t>
      </w:r>
      <w:r>
        <w:rPr>
          <w:rFonts w:ascii="Times New Roman" w:cs="Times New Roman" w:eastAsia="Times New Roman" w:hAnsi="Times New Roman"/>
          <w:sz w:val="22"/>
          <w:szCs w:val="22"/>
        </w:rPr>
        <w:t xml:space="preserve">, and FabH for </w:t>
      </w:r>
      <w:r>
        <w:rPr>
          <w:rFonts w:ascii="Times New Roman" w:cs="Times New Roman" w:eastAsia="Times New Roman" w:hAnsi="Times New Roman"/>
          <w:i/>
          <w:iCs/>
          <w:sz w:val="22"/>
          <w:szCs w:val="22"/>
        </w:rPr>
        <w:t xml:space="preserve">Escherichia coli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[65]</w:t>
      </w:r>
      <w:r>
        <w:rPr>
          <w:rFonts w:ascii="Times New Roman" w:cs="Times New Roman" w:eastAsia="Times New Roman" w:hAnsi="Times New Roman"/>
          <w:sz w:val="22"/>
          <w:szCs w:val="22"/>
        </w:rPr>
        <w:t xml:space="preserve">. α-Amylase, α-glucosidase and aldose reductase are used for diabetes </w:t>
      </w:r>
      <w:r>
        <w:rPr>
          <w:rFonts w:ascii="Times New Roman" w:cs="Times New Roman" w:eastAsia="Times New Roman" w:hAnsi="Times New Roman"/>
          <w:sz w:val="22"/>
          <w:szCs w:val="22"/>
        </w:rPr>
        <w:t xml:space="preserve">[50,55,66]</w:t>
      </w:r>
      <w:r>
        <w:rPr>
          <w:rFonts w:ascii="Times New Roman" w:cs="Times New Roman" w:eastAsia="Times New Roman" w:hAnsi="Times New Roman"/>
          <w:sz w:val="22"/>
          <w:szCs w:val="22"/>
        </w:rPr>
        <w:t xml:space="preserve">, cholinesterases and BACE-1 for Alzheimer's disease </w:t>
      </w:r>
      <w:r>
        <w:rPr>
          <w:rFonts w:ascii="Times New Roman" w:cs="Times New Roman" w:eastAsia="Times New Roman" w:hAnsi="Times New Roman"/>
          <w:sz w:val="22"/>
          <w:szCs w:val="22"/>
        </w:rPr>
        <w:t xml:space="preserve">[67,68]</w:t>
      </w:r>
      <w:r>
        <w:rPr>
          <w:rFonts w:ascii="Times New Roman" w:cs="Times New Roman" w:eastAsia="Times New Roman" w:hAnsi="Times New Roman"/>
          <w:sz w:val="22"/>
          <w:szCs w:val="22"/>
        </w:rPr>
        <w:t xml:space="preserve">, carbonic anhydrases IX and II for cancer </w:t>
      </w:r>
      <w:r>
        <w:rPr>
          <w:rFonts w:ascii="Times New Roman" w:cs="Times New Roman" w:eastAsia="Times New Roman" w:hAnsi="Times New Roman"/>
          <w:sz w:val="22"/>
          <w:szCs w:val="22"/>
        </w:rPr>
        <w:t xml:space="preserve">[69,70]</w:t>
      </w:r>
      <w:r>
        <w:rPr>
          <w:rFonts w:ascii="Times New Roman" w:cs="Times New Roman" w:eastAsia="Times New Roman" w:hAnsi="Times New Roman"/>
          <w:sz w:val="22"/>
          <w:szCs w:val="22"/>
        </w:rPr>
        <w:t xml:space="preserve">, and the angiotensin-converting enzyme for hypertension </w:t>
      </w:r>
      <w:r>
        <w:rPr>
          <w:rFonts w:ascii="Times New Roman" w:cs="Times New Roman" w:eastAsia="Times New Roman" w:hAnsi="Times New Roman"/>
          <w:sz w:val="22"/>
          <w:szCs w:val="22"/>
        </w:rPr>
        <w:t xml:space="preserve">[71]</w:t>
      </w:r>
      <w:r>
        <w:rPr>
          <w:rFonts w:ascii="Times New Roman" w:cs="Times New Roman" w:eastAsia="Times New Roman" w:hAnsi="Times New Roman"/>
          <w:sz w:val="22"/>
          <w:szCs w:val="22"/>
        </w:rPr>
        <w:t xml:space="preserve">. The SARS-CoV-2 main protease, which in the retrieved imidazole studies was approached by docking, MD and DFT alone, is the least supported of these </w:t>
      </w:r>
      <w:r>
        <w:rPr>
          <w:rFonts w:ascii="Times New Roman" w:cs="Times New Roman" w:eastAsia="Times New Roman" w:hAnsi="Times New Roman"/>
          <w:sz w:val="22"/>
          <w:szCs w:val="22"/>
        </w:rPr>
        <w:t xml:space="preserve">[72,73]</w:t>
      </w:r>
      <w:r>
        <w:rPr>
          <w:rFonts w:ascii="Times New Roman" w:cs="Times New Roman" w:eastAsia="Times New Roman" w:hAnsi="Times New Roman"/>
          <w:sz w:val="22"/>
          <w:szCs w:val="22"/>
        </w:rPr>
        <w:t xml:space="preserve">. Multi-target design is also applied outside oncology: a rationally designed set of 25 imidazole hybrids addressed AChE, BACE-1, microtubule stabilisation, metal chelation and neuroprotection together </w:t>
      </w:r>
      <w:r>
        <w:rPr>
          <w:rFonts w:ascii="Times New Roman" w:cs="Times New Roman" w:eastAsia="Times New Roman" w:hAnsi="Times New Roman"/>
          <w:sz w:val="22"/>
          <w:szCs w:val="22"/>
        </w:rPr>
        <w:t xml:space="preserve">[68]</w:t>
      </w:r>
      <w:r>
        <w:rPr>
          <w:rFonts w:ascii="Times New Roman" w:cs="Times New Roman" w:eastAsia="Times New Roman" w:hAnsi="Times New Roman"/>
          <w:sz w:val="22"/>
          <w:szCs w:val="22"/>
        </w:rPr>
        <w:t xml:space="preserve">, and imidazole–thiadiazole hybrids were tested against four enzymes and three antioxidant assays </w:t>
      </w:r>
      <w:r>
        <w:rPr>
          <w:rFonts w:ascii="Times New Roman" w:cs="Times New Roman" w:eastAsia="Times New Roman" w:hAnsi="Times New Roman"/>
          <w:sz w:val="22"/>
          <w:szCs w:val="22"/>
        </w:rPr>
        <w:t xml:space="preserve">[48]</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4.3 Computation first, synthesis second</w:t>
      </w:r>
    </w:p>
    <w:p>
      <w:pPr>
        <w:spacing w:after="120" w:before="0" w:line="276"/>
        <w:jc w:val="left"/>
      </w:pPr>
      <w:r>
        <w:rPr>
          <w:rFonts w:ascii="Times New Roman" w:cs="Times New Roman" w:eastAsia="Times New Roman" w:hAnsi="Times New Roman"/>
          <w:sz w:val="22"/>
          <w:szCs w:val="22"/>
        </w:rPr>
        <w:t xml:space="preserve">A small group of papers inverts the usual order. Docking against maternal embryonic leucine zipper kinase (MELK) was used to select which tri- and tetrasubstituted imidazoles to make; the lead (6c) was then analysed by MD, and the authors report that its apoptosis-inducing activity agreed with the prediction </w:t>
      </w:r>
      <w:r>
        <w:rPr>
          <w:rFonts w:ascii="Times New Roman" w:cs="Times New Roman" w:eastAsia="Times New Roman" w:hAnsi="Times New Roman"/>
          <w:sz w:val="22"/>
          <w:szCs w:val="22"/>
        </w:rPr>
        <w:t xml:space="preserve">[74]</w:t>
      </w:r>
      <w:r>
        <w:rPr>
          <w:rFonts w:ascii="Times New Roman" w:cs="Times New Roman" w:eastAsia="Times New Roman" w:hAnsi="Times New Roman"/>
          <w:sz w:val="22"/>
          <w:szCs w:val="22"/>
        </w:rPr>
        <w:t xml:space="preserve">. Machine-learning variants are more recent and more informative because they end in experiment. Walhekar and co-workers screened imidazo[1,2-a]pyridin-2-yl benzamides with a pharmacophore model, designed 27 candidates in a Python workflow, scored them with a linear regression model, synthesised selected compounds, and found that the best (6h) inhibited PIM1 kinase by 34.5 ± 3.4% at 10 µM and induced apoptosis in HT-29 cells </w:t>
      </w:r>
      <w:r>
        <w:rPr>
          <w:rFonts w:ascii="Times New Roman" w:cs="Times New Roman" w:eastAsia="Times New Roman" w:hAnsi="Times New Roman"/>
          <w:sz w:val="22"/>
          <w:szCs w:val="22"/>
        </w:rPr>
        <w:t xml:space="preserve">[75]</w:t>
      </w:r>
      <w:r>
        <w:rPr>
          <w:rFonts w:ascii="Times New Roman" w:cs="Times New Roman" w:eastAsia="Times New Roman" w:hAnsi="Times New Roman"/>
          <w:sz w:val="22"/>
          <w:szCs w:val="22"/>
        </w:rPr>
        <w:t xml:space="preserve">. Veríssimo and co-workers built classification models for nitroimidazoles active against </w:t>
      </w:r>
      <w:r>
        <w:rPr>
          <w:rFonts w:ascii="Times New Roman" w:cs="Times New Roman" w:eastAsia="Times New Roman" w:hAnsi="Times New Roman"/>
          <w:i/>
          <w:iCs/>
          <w:sz w:val="22"/>
          <w:szCs w:val="22"/>
        </w:rPr>
        <w:t xml:space="preserve">Trichomonas vaginalis</w:t>
      </w:r>
      <w:r>
        <w:rPr>
          <w:rFonts w:ascii="Times New Roman" w:cs="Times New Roman" w:eastAsia="Times New Roman" w:hAnsi="Times New Roman"/>
          <w:sz w:val="22"/>
          <w:szCs w:val="22"/>
        </w:rPr>
        <w:t xml:space="preserve"> (external Matthews correlation coefficients 0.583 to 0.849), scored 57 compounds, and synthesised three; all three were active, with IC50 values from 0.17 to 48.92 µM and no HeLa cytotoxicity at the concentrations tested </w:t>
      </w: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A benzimidazole antipsychotic programme combined QSAR on 2,615 ChEMBL compounds with pharmacophore modelling of the 5-HT2A receptor and then tested the lead (RU-31) in vivo in mice and rats </w:t>
      </w:r>
      <w:r>
        <w:rPr>
          <w:rFonts w:ascii="Times New Roman" w:cs="Times New Roman" w:eastAsia="Times New Roman" w:hAnsi="Times New Roman"/>
          <w:sz w:val="22"/>
          <w:szCs w:val="22"/>
        </w:rPr>
        <w:t xml:space="preserve">[76]</w:t>
      </w:r>
      <w:r>
        <w:rPr>
          <w:rFonts w:ascii="Times New Roman" w:cs="Times New Roman" w:eastAsia="Times New Roman" w:hAnsi="Times New Roman"/>
          <w:sz w:val="22"/>
          <w:szCs w:val="22"/>
        </w:rPr>
        <w:t xml:space="preserve">. These studies show what a closed loop looks like. The potencies they report are modest, which is an honest result and a useful baseline.</w:t>
      </w:r>
    </w:p>
    <w:p>
      <w:pPr>
        <w:spacing w:after="120" w:before="0" w:line="276"/>
        <w:jc w:val="left"/>
      </w:pPr>
      <w:r>
        <w:rPr>
          <w:rFonts w:ascii="Times New Roman" w:cs="Times New Roman" w:eastAsia="Times New Roman" w:hAnsi="Times New Roman"/>
          <w:sz w:val="22"/>
          <w:szCs w:val="22"/>
        </w:rPr>
        <w:t xml:space="preserve">Not every computational design paper reaches the bench. 3D-QSAR models trained on 24 trisubstituted imidazoles (CK2 inhibitors) reported R² of 0.98 and 0.99 and proposed new molecules but no synthesis </w:t>
      </w:r>
      <w:r>
        <w:rPr>
          <w:rFonts w:ascii="Times New Roman" w:cs="Times New Roman" w:eastAsia="Times New Roman" w:hAnsi="Times New Roman"/>
          <w:sz w:val="22"/>
          <w:szCs w:val="22"/>
        </w:rPr>
        <w:t xml:space="preserve">[77]</w:t>
      </w:r>
      <w:r>
        <w:rPr>
          <w:rFonts w:ascii="Times New Roman" w:cs="Times New Roman" w:eastAsia="Times New Roman" w:hAnsi="Times New Roman"/>
          <w:sz w:val="22"/>
          <w:szCs w:val="22"/>
        </w:rPr>
        <w:t xml:space="preserve">. A benzimidazole–Alzheimer's study used 193 literature compounds for QSAR and Q-RASAR modelling and nominated a lead after docking, MD and ADMET analysis, again without experiment </w:t>
      </w:r>
      <w:r>
        <w:rPr>
          <w:rFonts w:ascii="Times New Roman" w:cs="Times New Roman" w:eastAsia="Times New Roman" w:hAnsi="Times New Roman"/>
          <w:sz w:val="22"/>
          <w:szCs w:val="22"/>
        </w:rPr>
        <w:t xml:space="preserve">[78]</w:t>
      </w:r>
      <w:r>
        <w:rPr>
          <w:rFonts w:ascii="Times New Roman" w:cs="Times New Roman" w:eastAsia="Times New Roman" w:hAnsi="Times New Roman"/>
          <w:sz w:val="22"/>
          <w:szCs w:val="22"/>
        </w:rPr>
        <w:t xml:space="preserve">. A QSAR study of benzimidazo[1,2-a]pyrimidines used 32 compounds, tested the applicability domain, designed seven derivatives and flagged a possible CYP3A4 inhibition risk, which is a rare example of an imidazole-fused study that raised the liability itself </w:t>
      </w:r>
      <w:r>
        <w:rPr>
          <w:rFonts w:ascii="Times New Roman" w:cs="Times New Roman" w:eastAsia="Times New Roman" w:hAnsi="Times New Roman"/>
          <w:sz w:val="22"/>
          <w:szCs w:val="22"/>
        </w:rPr>
        <w:t xml:space="preserve">[79]</w:t>
      </w:r>
      <w:r>
        <w:rPr>
          <w:rFonts w:ascii="Times New Roman" w:cs="Times New Roman" w:eastAsia="Times New Roman" w:hAnsi="Times New Roman"/>
          <w:sz w:val="22"/>
          <w:szCs w:val="22"/>
        </w:rPr>
        <w:t xml:space="preserve">. Generative and deep-learning designs for imidazole-related scaffolds exist, for example a scaffold-focused generative model and multilayer virtual screening for benzimidazole–pyrazine adenosine A2B antagonists </w:t>
      </w:r>
      <w:r>
        <w:rPr>
          <w:rFonts w:ascii="Times New Roman" w:cs="Times New Roman" w:eastAsia="Times New Roman" w:hAnsi="Times New Roman"/>
          <w:sz w:val="22"/>
          <w:szCs w:val="22"/>
        </w:rPr>
        <w:t xml:space="preserve">[80]</w:t>
      </w:r>
      <w:r>
        <w:rPr>
          <w:rFonts w:ascii="Times New Roman" w:cs="Times New Roman" w:eastAsia="Times New Roman" w:hAnsi="Times New Roman"/>
          <w:sz w:val="22"/>
          <w:szCs w:val="22"/>
        </w:rPr>
        <w:t xml:space="preserve">, and general reviews describe experimentally validated generative design while stressing the gap to realistic drug-discovery end points </w:t>
      </w:r>
      <w:r>
        <w:rPr>
          <w:rFonts w:ascii="Times New Roman" w:cs="Times New Roman" w:eastAsia="Times New Roman" w:hAnsi="Times New Roman"/>
          <w:sz w:val="22"/>
          <w:szCs w:val="22"/>
        </w:rPr>
        <w:t xml:space="preserve">[81]</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4.4 What the design rationale usually consists of</w:t>
      </w:r>
    </w:p>
    <w:p>
      <w:pPr>
        <w:spacing w:after="120" w:before="0" w:line="276"/>
        <w:jc w:val="left"/>
      </w:pPr>
      <w:r>
        <w:rPr>
          <w:rFonts w:ascii="Times New Roman" w:cs="Times New Roman" w:eastAsia="Times New Roman" w:hAnsi="Times New Roman"/>
          <w:sz w:val="22"/>
          <w:szCs w:val="22"/>
        </w:rPr>
        <w:t xml:space="preserve">Taken together, the design sections of these papers share a pattern. In the abstracts we read, the rationale is usually a combination of two or three known pharmacophores, a target for which a crystal structure exists, and a docking pose that resembles that of a co-crystallised ligand. The in silico step then appears as support for a result or for the choice of target. Few abstracts state a prediction in advance that the experiment could have contradicted, and the studies in Section 4.3 are the exceptions. This is not a criticism of any single paper, since the pattern is efficient for producing testable compounds. It does mean that docking more often rationalises a result than chooses between alternative designs before synthesis, and the reader should weigh it accordingly.</w:t>
      </w:r>
    </w:p>
    <w:p>
      <w:pPr>
        <w:pStyle w:val="Heading2"/>
        <w:keepNext/>
      </w:pPr>
      <w:r>
        <w:rPr>
          <w:rFonts w:ascii="Arial" w:cs="Arial" w:eastAsia="Arial" w:hAnsi="Arial"/>
        </w:rPr>
        <w:t xml:space="preserve">4.5 Resistance as a design target</w:t>
      </w:r>
    </w:p>
    <w:p>
      <w:pPr>
        <w:spacing w:after="120" w:before="0" w:line="276"/>
        <w:jc w:val="left"/>
      </w:pPr>
      <w:r>
        <w:rPr>
          <w:rFonts w:ascii="Times New Roman" w:cs="Times New Roman" w:eastAsia="Times New Roman" w:hAnsi="Times New Roman"/>
          <w:sz w:val="22"/>
          <w:szCs w:val="22"/>
        </w:rPr>
        <w:t xml:space="preserve">Resistance is an explicit design target in several series. In oncology, the T790M mutation of EGFR is addressed by assaying wild-type and mutant enzymes side by side, and several series report T790M inhibition that is comparable to or stronger than wild-type inhibition </w:t>
      </w:r>
      <w:r>
        <w:rPr>
          <w:rFonts w:ascii="Times New Roman" w:cs="Times New Roman" w:eastAsia="Times New Roman" w:hAnsi="Times New Roman"/>
          <w:sz w:val="22"/>
          <w:szCs w:val="22"/>
        </w:rPr>
        <w:t xml:space="preserve">[58–60]</w:t>
      </w:r>
      <w:r>
        <w:rPr>
          <w:rFonts w:ascii="Times New Roman" w:cs="Times New Roman" w:eastAsia="Times New Roman" w:hAnsi="Times New Roman"/>
          <w:sz w:val="22"/>
          <w:szCs w:val="22"/>
        </w:rPr>
        <w:t xml:space="preserve">. In infection, designs are tested against multidrug-resistant </w:t>
      </w:r>
      <w:r>
        <w:rPr>
          <w:rFonts w:ascii="Times New Roman" w:cs="Times New Roman" w:eastAsia="Times New Roman" w:hAnsi="Times New Roman"/>
          <w:i/>
          <w:iCs/>
          <w:sz w:val="22"/>
          <w:szCs w:val="22"/>
        </w:rPr>
        <w:t xml:space="preserve">Candida auris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[61]</w:t>
      </w:r>
      <w:r>
        <w:rPr>
          <w:rFonts w:ascii="Times New Roman" w:cs="Times New Roman" w:eastAsia="Times New Roman" w:hAnsi="Times New Roman"/>
          <w:sz w:val="22"/>
          <w:szCs w:val="22"/>
        </w:rPr>
        <w:t xml:space="preserve">, a multidrug-resistant </w:t>
      </w:r>
      <w:r>
        <w:rPr>
          <w:rFonts w:ascii="Times New Roman" w:cs="Times New Roman" w:eastAsia="Times New Roman" w:hAnsi="Times New Roman"/>
          <w:i/>
          <w:iCs/>
          <w:sz w:val="22"/>
          <w:szCs w:val="22"/>
        </w:rPr>
        <w:t xml:space="preserve">Trichophyton rubrum</w:t>
      </w:r>
      <w:r>
        <w:rPr>
          <w:rFonts w:ascii="Times New Roman" w:cs="Times New Roman" w:eastAsia="Times New Roman" w:hAnsi="Times New Roman"/>
          <w:sz w:val="22"/>
          <w:szCs w:val="22"/>
        </w:rPr>
        <w:t xml:space="preserve"> strain </w:t>
      </w:r>
      <w:r>
        <w:rPr>
          <w:rFonts w:ascii="Times New Roman" w:cs="Times New Roman" w:eastAsia="Times New Roman" w:hAnsi="Times New Roman"/>
          <w:sz w:val="22"/>
          <w:szCs w:val="22"/>
        </w:rPr>
        <w:t xml:space="preserve">[64]</w:t>
      </w:r>
      <w:r>
        <w:rPr>
          <w:rFonts w:ascii="Times New Roman" w:cs="Times New Roman" w:eastAsia="Times New Roman" w:hAnsi="Times New Roman"/>
          <w:sz w:val="22"/>
          <w:szCs w:val="22"/>
        </w:rPr>
        <w:t xml:space="preserve"> and, by docking, penicillin-binding protein 2a of MRSA </w:t>
      </w:r>
      <w:r>
        <w:rPr>
          <w:rFonts w:ascii="Times New Roman" w:cs="Times New Roman" w:eastAsia="Times New Roman" w:hAnsi="Times New Roman"/>
          <w:sz w:val="22"/>
          <w:szCs w:val="22"/>
        </w:rPr>
        <w:t xml:space="preserve">[64]</w:t>
      </w:r>
      <w:r>
        <w:rPr>
          <w:rFonts w:ascii="Times New Roman" w:cs="Times New Roman" w:eastAsia="Times New Roman" w:hAnsi="Times New Roman"/>
          <w:sz w:val="22"/>
          <w:szCs w:val="22"/>
        </w:rPr>
        <w:t xml:space="preserve">, and a mitoxantrone-resistant breast cancer line and a cisplatin-resistant ovarian line appear among the cancer panels </w:t>
      </w:r>
      <w:r>
        <w:rPr>
          <w:rFonts w:ascii="Times New Roman" w:cs="Times New Roman" w:eastAsia="Times New Roman" w:hAnsi="Times New Roman"/>
          <w:sz w:val="22"/>
          <w:szCs w:val="22"/>
        </w:rPr>
        <w:t xml:space="preserve">[47,82]</w:t>
      </w:r>
      <w:r>
        <w:rPr>
          <w:rFonts w:ascii="Times New Roman" w:cs="Times New Roman" w:eastAsia="Times New Roman" w:hAnsi="Times New Roman"/>
          <w:sz w:val="22"/>
          <w:szCs w:val="22"/>
        </w:rPr>
        <w:t xml:space="preserve">. These tests are informative because resistant targets are where a new imidazole has to prove itself. They are also still sparse: resistance features in eight of the 56 abstracts we screened, and the mechanisms of resistance themselves (CYP51 mutation, efflux, biofilm) are discussed mainly in reviews (Section 6.2).</w:t>
      </w:r>
    </w:p>
    <w:p>
      <w:pPr>
        <w:pStyle w:val="Heading1"/>
        <w:keepNext/>
      </w:pPr>
      <w:r>
        <w:rPr>
          <w:rFonts w:ascii="Arial" w:cs="Arial" w:eastAsia="Arial" w:hAnsi="Arial"/>
        </w:rPr>
        <w:t xml:space="preserve">5. Synthetic chemistry</w:t>
      </w:r>
    </w:p>
    <w:p>
      <w:pPr>
        <w:pStyle w:val="Heading2"/>
        <w:keepNext/>
      </w:pPr>
      <w:r>
        <w:rPr>
          <w:rFonts w:ascii="Arial" w:cs="Arial" w:eastAsia="Arial" w:hAnsi="Arial"/>
        </w:rPr>
        <w:t xml:space="preserve">5.1 The Debus–Radziszewski condensation and its descendants</w:t>
      </w:r>
    </w:p>
    <w:p>
      <w:pPr>
        <w:spacing w:after="120" w:before="0" w:line="276"/>
        <w:jc w:val="left"/>
      </w:pPr>
      <w:r>
        <w:rPr>
          <w:rFonts w:ascii="Times New Roman" w:cs="Times New Roman" w:eastAsia="Times New Roman" w:hAnsi="Times New Roman"/>
          <w:sz w:val="22"/>
          <w:szCs w:val="22"/>
        </w:rPr>
        <w:t xml:space="preserve">Debus obtained imidazole in 1858 from glyoxal, formaldehyde and ammonia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The route that dominates the retrieved literature is its later variant, the condensation of a 1,2-diketone (usually benzil), an aldehyde and ammonium acetate, which gives 2,4,5-trisubstituted imidazoles. Adding a primary amine as a fourth component gives the 1,2,4,5-tetrasubstituted products </w:t>
      </w:r>
      <w:r>
        <w:rPr>
          <w:rFonts w:ascii="Times New Roman" w:cs="Times New Roman" w:eastAsia="Times New Roman" w:hAnsi="Times New Roman"/>
          <w:sz w:val="22"/>
          <w:szCs w:val="22"/>
        </w:rPr>
        <w:t xml:space="preserve">[83]</w:t>
      </w:r>
      <w:r>
        <w:rPr>
          <w:rFonts w:ascii="Times New Roman" w:cs="Times New Roman" w:eastAsia="Times New Roman" w:hAnsi="Times New Roman"/>
          <w:sz w:val="22"/>
          <w:szCs w:val="22"/>
        </w:rPr>
        <w:t xml:space="preserve">. A review of the tri- and tetrasubstituted series traces the historical development of the Radziszewski reaction and notes that reflux and microwave heating are both in use </w:t>
      </w:r>
      <w:r>
        <w:rPr>
          <w:rFonts w:ascii="Times New Roman" w:cs="Times New Roman" w:eastAsia="Times New Roman" w:hAnsi="Times New Roman"/>
          <w:sz w:val="22"/>
          <w:szCs w:val="22"/>
        </w:rPr>
        <w:t xml:space="preserve">[83]</w:t>
      </w:r>
      <w:r>
        <w:rPr>
          <w:rFonts w:ascii="Times New Roman" w:cs="Times New Roman" w:eastAsia="Times New Roman" w:hAnsi="Times New Roman"/>
          <w:sz w:val="22"/>
          <w:szCs w:val="22"/>
        </w:rPr>
        <w:t xml:space="preserve">. The attraction for library work is plain. Three or four inexpensive components combine in one pot, and diversity comes from the aldehyde, the diketone and the amine, which is why multicomponent routes are said to suit drug discovery programmes that need many compounds in a limited time </w:t>
      </w: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Reviews of the field have appeared repeatedly, covering multicomponent reactions of 2018 to 2022, green approaches that include microwave, ultrasound, ball milling and catalyst-free conditions, and sustainable catalysis more broadly </w:t>
      </w:r>
      <w:r>
        <w:rPr>
          <w:rFonts w:ascii="Times New Roman" w:cs="Times New Roman" w:eastAsia="Times New Roman" w:hAnsi="Times New Roman"/>
          <w:sz w:val="22"/>
          <w:szCs w:val="22"/>
        </w:rPr>
        <w:t xml:space="preserve">[10,11,84,85]</w:t>
      </w:r>
      <w:r>
        <w:rPr>
          <w:rFonts w:ascii="Times New Roman" w:cs="Times New Roman" w:eastAsia="Times New Roman" w:hAnsi="Times New Roman"/>
          <w:sz w:val="22"/>
          <w:szCs w:val="22"/>
        </w:rPr>
        <w:t xml:space="preserve">. Imidazoles are also made for materials science, catalysis and corrosion inhibition, which is one reason the synthetic literature is larger than the medicinal one </w:t>
      </w: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5.2 How the emphasis has shifted</w:t>
      </w:r>
    </w:p>
    <w:p>
      <w:pPr>
        <w:spacing w:after="120" w:before="0" w:line="276"/>
        <w:jc w:val="left"/>
      </w:pPr>
      <w:r>
        <w:rPr>
          <w:rFonts w:ascii="Times New Roman" w:cs="Times New Roman" w:eastAsia="Times New Roman" w:hAnsi="Times New Roman"/>
          <w:sz w:val="22"/>
          <w:szCs w:val="22"/>
        </w:rPr>
        <w:t xml:space="preserve">The era-gated searches show a clear change. The papers returned for the period up to 2015 were dominated by new catalysts for the same condensation, such as ytterbium triflate, which was reported in 2006 to catalyse the benzil–aldehyde–ammonium acetate coupling under mild conditions and could be recovered and reused for at least three cycles </w:t>
      </w:r>
      <w:r>
        <w:rPr>
          <w:rFonts w:ascii="Times New Roman" w:cs="Times New Roman" w:eastAsia="Times New Roman" w:hAnsi="Times New Roman"/>
          <w:sz w:val="22"/>
          <w:szCs w:val="22"/>
        </w:rPr>
        <w:t xml:space="preserve">[86]</w:t>
      </w:r>
      <w:r>
        <w:rPr>
          <w:rFonts w:ascii="Times New Roman" w:cs="Times New Roman" w:eastAsia="Times New Roman" w:hAnsi="Times New Roman"/>
          <w:sz w:val="22"/>
          <w:szCs w:val="22"/>
        </w:rPr>
        <w:t xml:space="preserve">. Papers from 2021 onward more often report green media and alternative energy inputs, and they frequently pair the synthesis with biological testing and in silico analysis in the same article </w:t>
      </w:r>
      <w:r>
        <w:rPr>
          <w:rFonts w:ascii="Times New Roman" w:cs="Times New Roman" w:eastAsia="Times New Roman" w:hAnsi="Times New Roman"/>
          <w:sz w:val="22"/>
          <w:szCs w:val="22"/>
        </w:rPr>
        <w:t xml:space="preserve">[10,84,85]</w:t>
      </w:r>
      <w:r>
        <w:rPr>
          <w:rFonts w:ascii="Times New Roman" w:cs="Times New Roman" w:eastAsia="Times New Roman" w:hAnsi="Times New Roman"/>
          <w:sz w:val="22"/>
          <w:szCs w:val="22"/>
        </w:rPr>
        <w:t xml:space="preserve">. The old test of a good method was a recoverable catalyst. The new one is that the reaction also produces a compound that can go straight into a cell assay and a docking study.</w:t>
      </w:r>
    </w:p>
    <w:p>
      <w:pPr>
        <w:pStyle w:val="Heading2"/>
        <w:keepNext/>
      </w:pPr>
      <w:r>
        <w:rPr>
          <w:rFonts w:ascii="Arial" w:cs="Arial" w:eastAsia="Arial" w:hAnsi="Arial"/>
        </w:rPr>
        <w:t xml:space="preserve">5.3 Green variants in the retrieved papers</w:t>
      </w:r>
    </w:p>
    <w:p>
      <w:pPr>
        <w:spacing w:after="120" w:before="0" w:line="276"/>
        <w:jc w:val="left"/>
      </w:pPr>
      <w:r>
        <w:rPr>
          <w:rFonts w:ascii="Times New Roman" w:cs="Times New Roman" w:eastAsia="Times New Roman" w:hAnsi="Times New Roman"/>
          <w:sz w:val="22"/>
          <w:szCs w:val="22"/>
        </w:rPr>
        <w:t xml:space="preserve">The variants differ in what replaces the conventional acid catalyst and solvent. A ternary deep eutectic solvent of dimethyl urea, SnCl₂ and HCl acts as both solvent and catalyst for tri- and tetrasubstituted imidazoles, gives good to excellent yields in short times and showed no decline in activity over five consecutive runs </w:t>
      </w:r>
      <w:r>
        <w:rPr>
          <w:rFonts w:ascii="Times New Roman" w:cs="Times New Roman" w:eastAsia="Times New Roman" w:hAnsi="Times New Roman"/>
          <w:sz w:val="22"/>
          <w:szCs w:val="22"/>
        </w:rPr>
        <w:t xml:space="preserve">[87]</w:t>
      </w:r>
      <w:r>
        <w:rPr>
          <w:rFonts w:ascii="Times New Roman" w:cs="Times New Roman" w:eastAsia="Times New Roman" w:hAnsi="Times New Roman"/>
          <w:sz w:val="22"/>
          <w:szCs w:val="22"/>
        </w:rPr>
        <w:t xml:space="preserve">. A Brønsted-acidic deep eutectic solvent, [Bet]₂[PTSA], drives a solvent-free four-component reaction and is recyclable; the products were tested against HepG2 cells, where compound 16n (IC50 32.54 µM) outperformed camptothecin, and it was docked and simulated against the glucose transporter GLUT1 </w:t>
      </w:r>
      <w:r>
        <w:rPr>
          <w:rFonts w:ascii="Times New Roman" w:cs="Times New Roman" w:eastAsia="Times New Roman" w:hAnsi="Times New Roman"/>
          <w:sz w:val="22"/>
          <w:szCs w:val="22"/>
        </w:rPr>
        <w:t xml:space="preserve">[57]</w:t>
      </w:r>
      <w:r>
        <w:rPr>
          <w:rFonts w:ascii="Times New Roman" w:cs="Times New Roman" w:eastAsia="Times New Roman" w:hAnsi="Times New Roman"/>
          <w:sz w:val="22"/>
          <w:szCs w:val="22"/>
        </w:rPr>
        <w:t xml:space="preserve">. Ethyl lactate, a biodegradable bio-based solvent, supports a catalyst-free Debus–Japp–Radziszewski reaction of benzil, ammonium acetate and benzaldehydes, and the products are insoluble and isolated by filtration </w:t>
      </w:r>
      <w:r>
        <w:rPr>
          <w:rFonts w:ascii="Times New Roman" w:cs="Times New Roman" w:eastAsia="Times New Roman" w:hAnsi="Times New Roman"/>
          <w:sz w:val="22"/>
          <w:szCs w:val="22"/>
        </w:rPr>
        <w:t xml:space="preserve">[88]</w:t>
      </w:r>
      <w:r>
        <w:rPr>
          <w:rFonts w:ascii="Times New Roman" w:cs="Times New Roman" w:eastAsia="Times New Roman" w:hAnsi="Times New Roman"/>
          <w:sz w:val="22"/>
          <w:szCs w:val="22"/>
        </w:rPr>
        <w:t xml:space="preserve">. A chromium metal–organic framework, MIL-101(Cr), catalysed the solvent-free three-component reaction in 10 min at 95% yield with 5 mg of catalyst per mmol of benzil, and it was recovered at least five times with a slight loss of efficiency </w:t>
      </w:r>
      <w:r>
        <w:rPr>
          <w:rFonts w:ascii="Times New Roman" w:cs="Times New Roman" w:eastAsia="Times New Roman" w:hAnsi="Times New Roman"/>
          <w:sz w:val="22"/>
          <w:szCs w:val="22"/>
        </w:rPr>
        <w:t xml:space="preserve">[89]</w:t>
      </w:r>
      <w:r>
        <w:rPr>
          <w:rFonts w:ascii="Times New Roman" w:cs="Times New Roman" w:eastAsia="Times New Roman" w:hAnsi="Times New Roman"/>
          <w:sz w:val="22"/>
          <w:szCs w:val="22"/>
        </w:rPr>
        <w:t xml:space="preserve">. Tungstic acid anchored on silica-coated cobalt ferrite nanoparticles is a recyclable, magnetically separable acid catalyst for solvent-free synthesis </w:t>
      </w:r>
      <w:r>
        <w:rPr>
          <w:rFonts w:ascii="Times New Roman" w:cs="Times New Roman" w:eastAsia="Times New Roman" w:hAnsi="Times New Roman"/>
          <w:sz w:val="22"/>
          <w:szCs w:val="22"/>
        </w:rPr>
        <w:t xml:space="preserve">[90]</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Energy inputs are the other lever. A sulfuric acid-catalysed four-component reaction under ultrasound gave shorter times and higher yields than reflux; the products showed in vitro anti-inflammatory activity (compound M10: 69.00% proteinase inhibition and 82.39% inhibition of albumin denaturation at 1000 µg/mL, against 61.69% and 83.33% for diclofenac) and hemolysis of 0.74% to 2.06%, below the 5% threshold </w:t>
      </w:r>
      <w:r>
        <w:rPr>
          <w:rFonts w:ascii="Times New Roman" w:cs="Times New Roman" w:eastAsia="Times New Roman" w:hAnsi="Times New Roman"/>
          <w:sz w:val="22"/>
          <w:szCs w:val="22"/>
        </w:rPr>
        <w:t xml:space="preserve">[91]</w:t>
      </w:r>
      <w:r>
        <w:rPr>
          <w:rFonts w:ascii="Times New Roman" w:cs="Times New Roman" w:eastAsia="Times New Roman" w:hAnsi="Times New Roman"/>
          <w:sz w:val="22"/>
          <w:szCs w:val="22"/>
        </w:rPr>
        <w:t xml:space="preserve">. Microwave irradiation gave 86% to 92% yields in 9 to 14 minutes without toxic solvents for imidazoles tested as EGFR inhibitors </w:t>
      </w:r>
      <w:r>
        <w:rPr>
          <w:rFonts w:ascii="Times New Roman" w:cs="Times New Roman" w:eastAsia="Times New Roman" w:hAnsi="Times New Roman"/>
          <w:sz w:val="22"/>
          <w:szCs w:val="22"/>
        </w:rPr>
        <w:t xml:space="preserve">[58]</w:t>
      </w:r>
      <w:r>
        <w:rPr>
          <w:rFonts w:ascii="Times New Roman" w:cs="Times New Roman" w:eastAsia="Times New Roman" w:hAnsi="Times New Roman"/>
          <w:sz w:val="22"/>
          <w:szCs w:val="22"/>
        </w:rPr>
        <w:t xml:space="preserve">, and was also used for benzimidazole, triazole and triazine derivatives and for imidazolones </w:t>
      </w:r>
      <w:r>
        <w:rPr>
          <w:rFonts w:ascii="Times New Roman" w:cs="Times New Roman" w:eastAsia="Times New Roman" w:hAnsi="Times New Roman"/>
          <w:sz w:val="22"/>
          <w:szCs w:val="22"/>
        </w:rPr>
        <w:t xml:space="preserve">[60,70]</w:t>
      </w:r>
      <w:r>
        <w:rPr>
          <w:rFonts w:ascii="Times New Roman" w:cs="Times New Roman" w:eastAsia="Times New Roman" w:hAnsi="Times New Roman"/>
          <w:sz w:val="22"/>
          <w:szCs w:val="22"/>
        </w:rPr>
        <w:t xml:space="preserve">. Other catalysts reported include tartaric acid as an organocatalyst under solvent-free conditions </w:t>
      </w:r>
      <w:r>
        <w:rPr>
          <w:rFonts w:ascii="Times New Roman" w:cs="Times New Roman" w:eastAsia="Times New Roman" w:hAnsi="Times New Roman"/>
          <w:sz w:val="22"/>
          <w:szCs w:val="22"/>
        </w:rPr>
        <w:t xml:space="preserve">[92]</w:t>
      </w:r>
      <w:r>
        <w:rPr>
          <w:rFonts w:ascii="Times New Roman" w:cs="Times New Roman" w:eastAsia="Times New Roman" w:hAnsi="Times New Roman"/>
          <w:sz w:val="22"/>
          <w:szCs w:val="22"/>
        </w:rPr>
        <w:t xml:space="preserve">, a silica-based copper heterogeneous catalyst </w:t>
      </w:r>
      <w:r>
        <w:rPr>
          <w:rFonts w:ascii="Times New Roman" w:cs="Times New Roman" w:eastAsia="Times New Roman" w:hAnsi="Times New Roman"/>
          <w:sz w:val="22"/>
          <w:szCs w:val="22"/>
        </w:rPr>
        <w:t xml:space="preserve">[93]</w:t>
      </w:r>
      <w:r>
        <w:rPr>
          <w:rFonts w:ascii="Times New Roman" w:cs="Times New Roman" w:eastAsia="Times New Roman" w:hAnsi="Times New Roman"/>
          <w:sz w:val="22"/>
          <w:szCs w:val="22"/>
        </w:rPr>
        <w:t xml:space="preserve">, an N-methyl-2-pyrrolidone hydrogen sulfate ionic liquid </w:t>
      </w:r>
      <w:r>
        <w:rPr>
          <w:rFonts w:ascii="Times New Roman" w:cs="Times New Roman" w:eastAsia="Times New Roman" w:hAnsi="Times New Roman"/>
          <w:sz w:val="22"/>
          <w:szCs w:val="22"/>
        </w:rPr>
        <w:t xml:space="preserve">[94]</w:t>
      </w:r>
      <w:r>
        <w:rPr>
          <w:rFonts w:ascii="Times New Roman" w:cs="Times New Roman" w:eastAsia="Times New Roman" w:hAnsi="Times New Roman"/>
          <w:sz w:val="22"/>
          <w:szCs w:val="22"/>
        </w:rPr>
        <w:t xml:space="preserve"> and boron trifluoride as a Lewis acid </w:t>
      </w:r>
      <w:r>
        <w:rPr>
          <w:rFonts w:ascii="Times New Roman" w:cs="Times New Roman" w:eastAsia="Times New Roman" w:hAnsi="Times New Roman"/>
          <w:sz w:val="22"/>
          <w:szCs w:val="22"/>
        </w:rPr>
        <w:t xml:space="preserve">[73]</w:t>
      </w:r>
      <w:r>
        <w:rPr>
          <w:rFonts w:ascii="Times New Roman" w:cs="Times New Roman" w:eastAsia="Times New Roman" w:hAnsi="Times New Roman"/>
          <w:sz w:val="22"/>
          <w:szCs w:val="22"/>
        </w:rPr>
        <w:t xml:space="preserve">. The last is a reminder that "one-pot" and "green" are not synonyms.</w:t>
      </w:r>
    </w:p>
    <w:p>
      <w:pPr>
        <w:spacing w:after="120" w:before="0" w:line="276"/>
        <w:jc w:val="left"/>
      </w:pPr>
      <w:r>
        <w:rPr>
          <w:rFonts w:ascii="Times New Roman" w:cs="Times New Roman" w:eastAsia="Times New Roman" w:hAnsi="Times New Roman"/>
          <w:sz w:val="22"/>
          <w:szCs w:val="22"/>
        </w:rPr>
        <w:t xml:space="preserve">Beyond the condensation itself, a three-component reaction of imidazole-5-carbaldehyde, malononitrile and methyl acetoacetate in green solvents gave imidazole–pyran hybrids without purification steps </w:t>
      </w:r>
      <w:r>
        <w:rPr>
          <w:rFonts w:ascii="Times New Roman" w:cs="Times New Roman" w:eastAsia="Times New Roman" w:hAnsi="Times New Roman"/>
          <w:sz w:val="22"/>
          <w:szCs w:val="22"/>
        </w:rPr>
        <w:t xml:space="preserve">[82]</w:t>
      </w:r>
      <w:r>
        <w:rPr>
          <w:rFonts w:ascii="Times New Roman" w:cs="Times New Roman" w:eastAsia="Times New Roman" w:hAnsi="Times New Roman"/>
          <w:sz w:val="22"/>
          <w:szCs w:val="22"/>
        </w:rPr>
        <w:t xml:space="preserve">. The El-Saghier reaction combines amines with ethyl cyanoacetate and ethyl glycinate hydrochloride to give imidazolidin-4-ones under neat conditions in 2 h at 70 °C with 90% to 98% yields; the best compound showed an antibacterial activity index of 80.0% against </w:t>
      </w:r>
      <w:r>
        <w:rPr>
          <w:rFonts w:ascii="Times New Roman" w:cs="Times New Roman" w:eastAsia="Times New Roman" w:hAnsi="Times New Roman"/>
          <w:i/>
          <w:iCs/>
          <w:sz w:val="22"/>
          <w:szCs w:val="22"/>
        </w:rPr>
        <w:t xml:space="preserve">Escherichia coli</w:t>
      </w:r>
      <w:r>
        <w:rPr>
          <w:rFonts w:ascii="Times New Roman" w:cs="Times New Roman" w:eastAsia="Times New Roman" w:hAnsi="Times New Roman"/>
          <w:sz w:val="22"/>
          <w:szCs w:val="22"/>
        </w:rPr>
        <w:t xml:space="preserve"> relative to chloramphenicol and was docked into the FabH–CoA complex </w:t>
      </w:r>
      <w:r>
        <w:rPr>
          <w:rFonts w:ascii="Times New Roman" w:cs="Times New Roman" w:eastAsia="Times New Roman" w:hAnsi="Times New Roman"/>
          <w:sz w:val="22"/>
          <w:szCs w:val="22"/>
        </w:rPr>
        <w:t xml:space="preserve">[65]</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5.4 Installing the pharmacophore</w:t>
      </w:r>
    </w:p>
    <w:p>
      <w:pPr>
        <w:spacing w:after="120" w:before="0" w:line="276"/>
        <w:jc w:val="left"/>
      </w:pPr>
      <w:r>
        <w:rPr>
          <w:rFonts w:ascii="Times New Roman" w:cs="Times New Roman" w:eastAsia="Times New Roman" w:hAnsi="Times New Roman"/>
          <w:sz w:val="22"/>
          <w:szCs w:val="22"/>
        </w:rPr>
        <w:t xml:space="preserve">Condensation gives the core. The pharmacophore is often installed afterwards. Copper-catalysed azide–alkyne cycloaddition attaches triazoles to a propargylated imidazole </w:t>
      </w: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A Pictet–Spengler sequence produced eighteen carboxamide-substituted imidazo[1,2-a]quinoxalines </w:t>
      </w:r>
      <w:r>
        <w:rPr>
          <w:rFonts w:ascii="Times New Roman" w:cs="Times New Roman" w:eastAsia="Times New Roman" w:hAnsi="Times New Roman"/>
          <w:sz w:val="22"/>
          <w:szCs w:val="22"/>
        </w:rPr>
        <w:t xml:space="preserve">[53]</w:t>
      </w:r>
      <w:r>
        <w:rPr>
          <w:rFonts w:ascii="Times New Roman" w:cs="Times New Roman" w:eastAsia="Times New Roman" w:hAnsi="Times New Roman"/>
          <w:sz w:val="22"/>
          <w:szCs w:val="22"/>
        </w:rPr>
        <w:t xml:space="preserve">. Condensation–cyclisation of oxazolones with amines or other nitrogen nucleophiles gives imidazolones, including from vanillin-based and bromobenzylidene oxazolones </w:t>
      </w:r>
      <w:r>
        <w:rPr>
          <w:rFonts w:ascii="Times New Roman" w:cs="Times New Roman" w:eastAsia="Times New Roman" w:hAnsi="Times New Roman"/>
          <w:sz w:val="22"/>
          <w:szCs w:val="22"/>
        </w:rPr>
        <w:t xml:space="preserve">[64,95,96]</w:t>
      </w:r>
      <w:r>
        <w:rPr>
          <w:rFonts w:ascii="Times New Roman" w:cs="Times New Roman" w:eastAsia="Times New Roman" w:hAnsi="Times New Roman"/>
          <w:sz w:val="22"/>
          <w:szCs w:val="22"/>
        </w:rPr>
        <w:t xml:space="preserve">. Nitroimidazoles undergo carbon–carbon bond formation in water by substitution of the aromatic nitro group </w:t>
      </w:r>
      <w:r>
        <w:rPr>
          <w:rFonts w:ascii="Times New Roman" w:cs="Times New Roman" w:eastAsia="Times New Roman" w:hAnsi="Times New Roman"/>
          <w:sz w:val="22"/>
          <w:szCs w:val="22"/>
        </w:rPr>
        <w:t xml:space="preserve">[69]</w:t>
      </w:r>
      <w:r>
        <w:rPr>
          <w:rFonts w:ascii="Times New Roman" w:cs="Times New Roman" w:eastAsia="Times New Roman" w:hAnsi="Times New Roman"/>
          <w:sz w:val="22"/>
          <w:szCs w:val="22"/>
        </w:rPr>
        <w:t xml:space="preserve">. A three-step sequence from 5-chloro-4-(p-tolyl)-1H-imidazole-2-carbonitrile gave a 26-member imidazole–oxadiazole–piperazine library </w:t>
      </w: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A regioselective Michael addition of 2-acetyl-benzimidazoles to a dicyanovinyl alkanesulfonate gave benzimidazole–pyridine hybrids, and condensation of o-phenylenediamines with aldehyde–bisulfite adducts gave benzimidazole sulfonates </w:t>
      </w:r>
      <w:r>
        <w:rPr>
          <w:rFonts w:ascii="Times New Roman" w:cs="Times New Roman" w:eastAsia="Times New Roman" w:hAnsi="Times New Roman"/>
          <w:sz w:val="22"/>
          <w:szCs w:val="22"/>
        </w:rPr>
        <w:t xml:space="preserve">[97,98]</w:t>
      </w:r>
      <w:r>
        <w:rPr>
          <w:rFonts w:ascii="Times New Roman" w:cs="Times New Roman" w:eastAsia="Times New Roman" w:hAnsi="Times New Roman"/>
          <w:sz w:val="22"/>
          <w:szCs w:val="22"/>
        </w:rPr>
        <w:t xml:space="preserve">. Enaminones react with hydrazines or hydroxylamine to give pyrazole and isoxazole partners </w:t>
      </w:r>
      <w:r>
        <w:rPr>
          <w:rFonts w:ascii="Times New Roman" w:cs="Times New Roman" w:eastAsia="Times New Roman" w:hAnsi="Times New Roman"/>
          <w:sz w:val="22"/>
          <w:szCs w:val="22"/>
        </w:rPr>
        <w:t xml:space="preserve">[51]</w:t>
      </w:r>
      <w:r>
        <w:rPr>
          <w:rFonts w:ascii="Times New Roman" w:cs="Times New Roman" w:eastAsia="Times New Roman" w:hAnsi="Times New Roman"/>
          <w:sz w:val="22"/>
          <w:szCs w:val="22"/>
        </w:rPr>
        <w:t xml:space="preserve">, phenacyl bromides react with an imidazole–hydrazinecarbothioamide to give thiazoles </w:t>
      </w: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2-bromoacetophenones react with an amino-triazole to give imidazotriazoles </w:t>
      </w:r>
      <w:r>
        <w:rPr>
          <w:rFonts w:ascii="Times New Roman" w:cs="Times New Roman" w:eastAsia="Times New Roman" w:hAnsi="Times New Roman"/>
          <w:sz w:val="22"/>
          <w:szCs w:val="22"/>
        </w:rPr>
        <w:t xml:space="preserve">[50]</w:t>
      </w:r>
      <w:r>
        <w:rPr>
          <w:rFonts w:ascii="Times New Roman" w:cs="Times New Roman" w:eastAsia="Times New Roman" w:hAnsi="Times New Roman"/>
          <w:sz w:val="22"/>
          <w:szCs w:val="22"/>
        </w:rPr>
        <w:t xml:space="preserve">, and isocyanates convert 2-(benzimidazol-2-yl)aniline into ureas </w:t>
      </w:r>
      <w:r>
        <w:rPr>
          <w:rFonts w:ascii="Times New Roman" w:cs="Times New Roman" w:eastAsia="Times New Roman" w:hAnsi="Times New Roman"/>
          <w:sz w:val="22"/>
          <w:szCs w:val="22"/>
        </w:rPr>
        <w:t xml:space="preserve">[99]</w:t>
      </w:r>
      <w:r>
        <w:rPr>
          <w:rFonts w:ascii="Times New Roman" w:cs="Times New Roman" w:eastAsia="Times New Roman" w:hAnsi="Times New Roman"/>
          <w:sz w:val="22"/>
          <w:szCs w:val="22"/>
        </w:rPr>
        <w:t xml:space="preserve">. Yields are reported for most of these routes, and none of the abstracts describes synthesis as the limiting step.</w:t>
      </w:r>
    </w:p>
    <w:p>
      <w:pPr>
        <w:pStyle w:val="Heading2"/>
        <w:keepNext/>
      </w:pPr>
      <w:r>
        <w:rPr>
          <w:rFonts w:ascii="Arial" w:cs="Arial" w:eastAsia="Arial" w:hAnsi="Arial"/>
        </w:rPr>
        <w:t xml:space="preserve">5.5 What the synthetic reports do not say</w:t>
      </w:r>
    </w:p>
    <w:p>
      <w:pPr>
        <w:spacing w:after="120" w:before="0" w:line="276"/>
        <w:jc w:val="left"/>
      </w:pPr>
      <w:r>
        <w:rPr>
          <w:rFonts w:ascii="Times New Roman" w:cs="Times New Roman" w:eastAsia="Times New Roman" w:hAnsi="Times New Roman"/>
          <w:sz w:val="22"/>
          <w:szCs w:val="22"/>
        </w:rPr>
        <w:t xml:space="preserve">Structural proof follows a standard pattern of IR, ¹H and ¹³C NMR and mass spectrometry, with elemental analysis in many papers. Single-crystal X-ray analysis of selected products appears in four of the 56 abstracts we screened </w:t>
      </w:r>
      <w:r>
        <w:rPr>
          <w:rFonts w:ascii="Times New Roman" w:cs="Times New Roman" w:eastAsia="Times New Roman" w:hAnsi="Times New Roman"/>
          <w:sz w:val="22"/>
          <w:szCs w:val="22"/>
        </w:rPr>
        <w:t xml:space="preserve">[51,71,72,74]</w:t>
      </w:r>
      <w:r>
        <w:rPr>
          <w:rFonts w:ascii="Times New Roman" w:cs="Times New Roman" w:eastAsia="Times New Roman" w:hAnsi="Times New Roman"/>
          <w:sz w:val="22"/>
          <w:szCs w:val="22"/>
        </w:rPr>
        <w:t xml:space="preserve">, and one adds HPLC purity </w:t>
      </w:r>
      <w:r>
        <w:rPr>
          <w:rFonts w:ascii="Times New Roman" w:cs="Times New Roman" w:eastAsia="Times New Roman" w:hAnsi="Times New Roman"/>
          <w:sz w:val="22"/>
          <w:szCs w:val="22"/>
        </w:rPr>
        <w:t xml:space="preserve">[74]</w:t>
      </w:r>
      <w:r>
        <w:rPr>
          <w:rFonts w:ascii="Times New Roman" w:cs="Times New Roman" w:eastAsia="Times New Roman" w:hAnsi="Times New Roman"/>
          <w:sz w:val="22"/>
          <w:szCs w:val="22"/>
        </w:rPr>
        <w:t xml:space="preserve"> and another Hirshfeld surface and Cambridge Structural Database analysis </w:t>
      </w:r>
      <w:r>
        <w:rPr>
          <w:rFonts w:ascii="Times New Roman" w:cs="Times New Roman" w:eastAsia="Times New Roman" w:hAnsi="Times New Roman"/>
          <w:sz w:val="22"/>
          <w:szCs w:val="22"/>
        </w:rPr>
        <w:t xml:space="preserve">[71]</w:t>
      </w:r>
      <w:r>
        <w:rPr>
          <w:rFonts w:ascii="Times New Roman" w:cs="Times New Roman" w:eastAsia="Times New Roman" w:hAnsi="Times New Roman"/>
          <w:sz w:val="22"/>
          <w:szCs w:val="22"/>
        </w:rPr>
        <w:t xml:space="preserve">. Green-chemistry claims, however, rest on qualitative advantages (solvent-free, recyclable catalyst, short time). None of the abstracts we read quantified mass-based metrics such as E-factor or atom economy, and none described scale-up beyond the milligram scale. Reviews that compare catalyst systems note advantages and limitations in efficiency, substrate scope and practicality, but the comparisons are made on reported yield and time </w:t>
      </w:r>
      <w:r>
        <w:rPr>
          <w:rFonts w:ascii="Times New Roman" w:cs="Times New Roman" w:eastAsia="Times New Roman" w:hAnsi="Times New Roman"/>
          <w:sz w:val="22"/>
          <w:szCs w:val="22"/>
        </w:rPr>
        <w:t xml:space="preserve">[10,84]</w:t>
      </w:r>
      <w:r>
        <w:rPr>
          <w:rFonts w:ascii="Times New Roman" w:cs="Times New Roman" w:eastAsia="Times New Roman" w:hAnsi="Times New Roman"/>
          <w:sz w:val="22"/>
          <w:szCs w:val="22"/>
        </w:rPr>
        <w:t xml:space="preserve">. One review states that most traditional imidazole syntheses already do not need high pressure, high temperature or toxic chemicals, which implies that the case for a "green" label has to be made against a more modest baseline than is sometimes assumed </w:t>
      </w:r>
      <w:r>
        <w:rPr>
          <w:rFonts w:ascii="Times New Roman" w:cs="Times New Roman" w:eastAsia="Times New Roman" w:hAnsi="Times New Roman"/>
          <w:sz w:val="22"/>
          <w:szCs w:val="22"/>
        </w:rPr>
        <w:t xml:space="preserve">[84]</w:t>
      </w:r>
      <w:r>
        <w:rPr>
          <w:rFonts w:ascii="Times New Roman" w:cs="Times New Roman" w:eastAsia="Times New Roman" w:hAnsi="Times New Roman"/>
          <w:sz w:val="22"/>
          <w:szCs w:val="22"/>
        </w:rPr>
        <w:t xml:space="preserve">. For a field that routinely labels its methods green, quantitative metrics would be an easy and valuable addition.</w:t>
      </w:r>
    </w:p>
    <w:p>
      <w:pPr>
        <w:pStyle w:val="Heading1"/>
        <w:keepNext/>
      </w:pPr>
      <w:r>
        <w:rPr>
          <w:rFonts w:ascii="Arial" w:cs="Arial" w:eastAsia="Arial" w:hAnsi="Arial"/>
        </w:rPr>
        <w:t xml:space="preserve">6. Biological activity of imidazole-derived molecules</w:t>
      </w:r>
    </w:p>
    <w:p>
      <w:pPr>
        <w:spacing w:after="120" w:before="0" w:line="276"/>
        <w:jc w:val="left"/>
      </w:pPr>
      <w:r>
        <w:rPr>
          <w:rFonts w:ascii="Times New Roman" w:cs="Times New Roman" w:eastAsia="Times New Roman" w:hAnsi="Times New Roman"/>
          <w:sz w:val="22"/>
          <w:szCs w:val="22"/>
        </w:rPr>
        <w:t xml:space="preserve">The primary studies in the retrieved set are weighted toward anticancer work (21 of the 56 screened), followed by antimicrobial and antifungal work (15) and a mixed group of antidiabetic, neuroactive, antioxidant, antihypertensive and antiviral studies (14). In most of them, potency is reported as an IC50 or a minimum inhibitory concentration (MIC) beside a reference compound used in the same assay. This section summarises results by activity and then asks how potent the leads actually are.</w:t>
      </w:r>
    </w:p>
    <w:p>
      <w:pPr>
        <w:pStyle w:val="Heading2"/>
        <w:keepNext/>
      </w:pPr>
      <w:r>
        <w:rPr>
          <w:rFonts w:ascii="Arial" w:cs="Arial" w:eastAsia="Arial" w:hAnsi="Arial"/>
        </w:rPr>
        <w:t xml:space="preserve">6.1 Anticancer activity</w:t>
      </w:r>
    </w:p>
    <w:p>
      <w:pPr>
        <w:spacing w:after="120" w:before="0" w:line="276"/>
        <w:jc w:val="left"/>
      </w:pPr>
      <w:r>
        <w:rPr>
          <w:rFonts w:ascii="Times New Roman" w:cs="Times New Roman" w:eastAsia="Times New Roman" w:hAnsi="Times New Roman"/>
          <w:sz w:val="22"/>
          <w:szCs w:val="22"/>
        </w:rPr>
        <w:t xml:space="preserve">Targets include receptor tyrosine kinases (EGFR, VEGFR-2, HER2, c-Met), tubulin, GSK-3β, MELK, carbonic anhydrases and topoisomerase II </w:t>
      </w:r>
      <w:r>
        <w:rPr>
          <w:rFonts w:ascii="Times New Roman" w:cs="Times New Roman" w:eastAsia="Times New Roman" w:hAnsi="Times New Roman"/>
          <w:sz w:val="22"/>
          <w:szCs w:val="22"/>
        </w:rPr>
        <w:t xml:space="preserve">[26,33,34]</w:t>
      </w:r>
      <w:r>
        <w:rPr>
          <w:rFonts w:ascii="Times New Roman" w:cs="Times New Roman" w:eastAsia="Times New Roman" w:hAnsi="Times New Roman"/>
          <w:sz w:val="22"/>
          <w:szCs w:val="22"/>
        </w:rPr>
        <w:t xml:space="preserve">. The cell lines are drawn from a small panel (MCF-7, MDA-MB-231, A549, HepG2, HCT-116 and HeLa recur), and a normal-cell control is reported in about a third of the anticancer abstracts (7 of 21).</w:t>
      </w:r>
    </w:p>
    <w:p>
      <w:pPr>
        <w:spacing w:after="120" w:before="0" w:line="276"/>
        <w:jc w:val="left"/>
      </w:pPr>
      <w:r>
        <w:rPr>
          <w:rFonts w:ascii="Times New Roman" w:cs="Times New Roman" w:eastAsia="Times New Roman" w:hAnsi="Times New Roman"/>
          <w:i/>
          <w:iCs/>
          <w:sz w:val="22"/>
          <w:szCs w:val="22"/>
        </w:rPr>
        <w:t xml:space="preserve">Kinase inhibitors.</w:t>
      </w:r>
      <w:r>
        <w:rPr>
          <w:rFonts w:ascii="Times New Roman" w:cs="Times New Roman" w:eastAsia="Times New Roman" w:hAnsi="Times New Roman"/>
          <w:sz w:val="22"/>
          <w:szCs w:val="22"/>
        </w:rPr>
        <w:t xml:space="preserve"> In benzimidazole series designed against EGFR, compound 10i inhibited wild-type EGFR and the L858R/T790M mutant with IC50 values of 4.38 and 5.69 nM, and was reported as 3.09-fold and 13.29-fold more active than erlotinib against the two forms </w:t>
      </w:r>
      <w:r>
        <w:rPr>
          <w:rFonts w:ascii="Times New Roman" w:cs="Times New Roman" w:eastAsia="Times New Roman" w:hAnsi="Times New Roman"/>
          <w:sz w:val="22"/>
          <w:szCs w:val="22"/>
        </w:rPr>
        <w:t xml:space="preserve">[59]</w:t>
      </w:r>
      <w:r>
        <w:rPr>
          <w:rFonts w:ascii="Times New Roman" w:cs="Times New Roman" w:eastAsia="Times New Roman" w:hAnsi="Times New Roman"/>
          <w:sz w:val="22"/>
          <w:szCs w:val="22"/>
        </w:rPr>
        <w:t xml:space="preserve">. A microwave-assisted four-component imidazole series gave compound 5b with IC50 values of 30.1 nM (wild type) and 12.8 nM (T790M), which the authors report as exceeding osimertinib and gefitinib in the same assays. The same abstract states that the antiproliferative IC50 values of the best compounds in H1975, A549 and A431 cells (5.22 and 6.34 µM) were markedly inferior to those of the recognised EGFR inhibitors, and it lists four reference values (54.3, 19.1, 9.1 and 356.8 nM) without saying which belongs to which drug and enzyme form </w:t>
      </w:r>
      <w:r>
        <w:rPr>
          <w:rFonts w:ascii="Times New Roman" w:cs="Times New Roman" w:eastAsia="Times New Roman" w:hAnsi="Times New Roman"/>
          <w:sz w:val="22"/>
          <w:szCs w:val="22"/>
        </w:rPr>
        <w:t xml:space="preserve">[58]</w:t>
      </w:r>
      <w:r>
        <w:rPr>
          <w:rFonts w:ascii="Times New Roman" w:cs="Times New Roman" w:eastAsia="Times New Roman" w:hAnsi="Times New Roman"/>
          <w:sz w:val="22"/>
          <w:szCs w:val="22"/>
        </w:rPr>
        <w:t xml:space="preserve">. High enzyme potency with much lower cell potency recurs in this literature, and it is a reminder that a kinase IC50 is not a cellular result. Benzimidazole–triazole hybrids acted as multi-target inhibitors, with compound 5a inhibiting EGFR at 0.086 µM against 0.052 µM for gefitinib, VEGFR-2 at 0.107 µM against 0.0482 µM for sorafenib, and topoisomerase II at 2.52 µM against 3.62 µM for doxorubicin </w:t>
      </w: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Microwave-assisted benzimidazole, triazole and triazine derivatives suppressed the T790M mutant more strongly than wild-type EGFR </w:t>
      </w:r>
      <w:r>
        <w:rPr>
          <w:rFonts w:ascii="Times New Roman" w:cs="Times New Roman" w:eastAsia="Times New Roman" w:hAnsi="Times New Roman"/>
          <w:sz w:val="22"/>
          <w:szCs w:val="22"/>
        </w:rPr>
        <w:t xml:space="preserve">[60]</w:t>
      </w:r>
      <w:r>
        <w:rPr>
          <w:rFonts w:ascii="Times New Roman" w:cs="Times New Roman" w:eastAsia="Times New Roman" w:hAnsi="Times New Roman"/>
          <w:sz w:val="22"/>
          <w:szCs w:val="22"/>
        </w:rPr>
        <w:t xml:space="preserve">. Indolinone-grafted imidazothiazoles and imidazopyridines showed VEGFR-2 IC50 values of 0.22 to 0.95 µM for eight of 16 compounds, and four had lower IC50 than cisplatin (11.50 µM) against MDA-MB-231 cells (8.35 to 10.88 µM) </w:t>
      </w:r>
      <w:r>
        <w:rPr>
          <w:rFonts w:ascii="Times New Roman" w:cs="Times New Roman" w:eastAsia="Times New Roman" w:hAnsi="Times New Roman"/>
          <w:sz w:val="22"/>
          <w:szCs w:val="22"/>
        </w:rPr>
        <w:t xml:space="preserve">[52]</w:t>
      </w:r>
      <w:r>
        <w:rPr>
          <w:rFonts w:ascii="Times New Roman" w:cs="Times New Roman" w:eastAsia="Times New Roman" w:hAnsi="Times New Roman"/>
          <w:sz w:val="22"/>
          <w:szCs w:val="22"/>
        </w:rPr>
        <w:t xml:space="preserve">. Not every kinase series is potent. Imidazothiazole–thiazolidinone hybrids inhibited EGFR with an IC50 of 18.35 µM for the best compound against 6.12 µM for erlotinib, although the series was notable for including in vivo anti-inflammatory data and tissue histology for hepatic and cardiac safety </w:t>
      </w:r>
      <w:r>
        <w:rPr>
          <w:rFonts w:ascii="Times New Roman" w:cs="Times New Roman" w:eastAsia="Times New Roman" w:hAnsi="Times New Roman"/>
          <w:sz w:val="22"/>
          <w:szCs w:val="22"/>
        </w:rPr>
        <w:t xml:space="preserve">[100]</w:t>
      </w:r>
      <w:r>
        <w:rPr>
          <w:rFonts w:ascii="Times New Roman" w:cs="Times New Roman" w:eastAsia="Times New Roman" w:hAnsi="Times New Roman"/>
          <w:sz w:val="22"/>
          <w:szCs w:val="22"/>
        </w:rPr>
        <w:t xml:space="preserve">. A benzothiazole and benzimidazole urea series was designed against VEGFR-2, EGFR and c-Met together, with negligible toxicity (IC50 above 100 µM) in normal HEK-293 cells for several compounds, suppression of neovascularisation in a chorioallantoic membrane assay, and a 200 ns MD run </w:t>
      </w:r>
      <w:r>
        <w:rPr>
          <w:rFonts w:ascii="Times New Roman" w:cs="Times New Roman" w:eastAsia="Times New Roman" w:hAnsi="Times New Roman"/>
          <w:sz w:val="22"/>
          <w:szCs w:val="22"/>
        </w:rPr>
        <w:t xml:space="preserve">[46]</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i/>
          <w:iCs/>
          <w:sz w:val="22"/>
          <w:szCs w:val="22"/>
        </w:rPr>
        <w:t xml:space="preserve">Other mechanisms.</w:t>
      </w:r>
      <w:r>
        <w:rPr>
          <w:rFonts w:ascii="Times New Roman" w:cs="Times New Roman" w:eastAsia="Times New Roman" w:hAnsi="Times New Roman"/>
          <w:sz w:val="22"/>
          <w:szCs w:val="22"/>
        </w:rPr>
        <w:t xml:space="preserve"> Imidazole–chalcones inhibited tubulin polymerisation, arrested cells in G2/M and induced apoptosis </w:t>
      </w:r>
      <w:r>
        <w:rPr>
          <w:rFonts w:ascii="Times New Roman" w:cs="Times New Roman" w:eastAsia="Times New Roman" w:hAnsi="Times New Roman"/>
          <w:sz w:val="22"/>
          <w:szCs w:val="22"/>
        </w:rPr>
        <w:t xml:space="preserve">[47]</w:t>
      </w:r>
      <w:r>
        <w:rPr>
          <w:rFonts w:ascii="Times New Roman" w:cs="Times New Roman" w:eastAsia="Times New Roman" w:hAnsi="Times New Roman"/>
          <w:sz w:val="22"/>
          <w:szCs w:val="22"/>
        </w:rPr>
        <w:t xml:space="preserve">. Imidazo[1,2-a]quinoxalines JRC-2 and JRC-6 inhibited MCF-7 cells at 4.59 and 4.01 µM against 9.39 µM for erlotinib, inhibited wild-type EGFR with IC50 values of 294 and 384 nM, and JRC-6 stabilised microtubules at a level the authors compare to paclitaxel </w:t>
      </w:r>
      <w:r>
        <w:rPr>
          <w:rFonts w:ascii="Times New Roman" w:cs="Times New Roman" w:eastAsia="Times New Roman" w:hAnsi="Times New Roman"/>
          <w:sz w:val="22"/>
          <w:szCs w:val="22"/>
        </w:rPr>
        <w:t xml:space="preserve">[53]</w:t>
      </w:r>
      <w:r>
        <w:rPr>
          <w:rFonts w:ascii="Times New Roman" w:cs="Times New Roman" w:eastAsia="Times New Roman" w:hAnsi="Times New Roman"/>
          <w:sz w:val="22"/>
          <w:szCs w:val="22"/>
        </w:rPr>
        <w:t xml:space="preserve">. Imidazole–oxadiazole hybrids with a 3,4,5-trimethoxyphenyl group reached IC50 values of 0.02 µM against A549 cells, compared with etoposide values of 1.97 to 3.08 µM across the four lines </w:t>
      </w: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A tetrasubstituted imidazole–pyrimidine–sulfonamide series was screened across the 60-cell-line panel at a single 10 µM dose, with growth inhibition of up to 95%; the most active compounds were then assayed against HER2 and two EGFR mutants and shifted the Bax/Bcl-2 expression ratio in MCF-7 cells, with S-phase or G1/S cell-cycle arrest </w:t>
      </w: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Tri- and tetrasubstituted imidazoles directed at MELK inhibited triple-negative breast, pancreatic and oral cancer lines and induced apoptosis </w:t>
      </w:r>
      <w:r>
        <w:rPr>
          <w:rFonts w:ascii="Times New Roman" w:cs="Times New Roman" w:eastAsia="Times New Roman" w:hAnsi="Times New Roman"/>
          <w:sz w:val="22"/>
          <w:szCs w:val="22"/>
        </w:rPr>
        <w:t xml:space="preserve">[74]</w:t>
      </w:r>
      <w:r>
        <w:rPr>
          <w:rFonts w:ascii="Times New Roman" w:cs="Times New Roman" w:eastAsia="Times New Roman" w:hAnsi="Times New Roman"/>
          <w:sz w:val="22"/>
          <w:szCs w:val="22"/>
        </w:rPr>
        <w:t xml:space="preserve">. An imidazole–piperazine–oxadiazole lead (5w) gave IC50 values of 7.51 to 33.67 µM across five lines, spared HEK-293T cells, and caused G2/M arrest with lower CDK1, CDK2 and cyclin B1 </w:t>
      </w: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Imidazole–pyran hybrids inhibited MCF-7 cells at 9.44 and 11.74 µM, were also tested in a cisplatin-resistant ovarian line and against normal CHO cells, and suppressed colony formation </w:t>
      </w:r>
      <w:r>
        <w:rPr>
          <w:rFonts w:ascii="Times New Roman" w:cs="Times New Roman" w:eastAsia="Times New Roman" w:hAnsi="Times New Roman"/>
          <w:sz w:val="22"/>
          <w:szCs w:val="22"/>
        </w:rPr>
        <w:t xml:space="preserve">[82]</w:t>
      </w:r>
      <w:r>
        <w:rPr>
          <w:rFonts w:ascii="Times New Roman" w:cs="Times New Roman" w:eastAsia="Times New Roman" w:hAnsi="Times New Roman"/>
          <w:sz w:val="22"/>
          <w:szCs w:val="22"/>
        </w:rPr>
        <w:t xml:space="preserve">. Imidazole–pyrimidine hybrids inhibited carbonic anhydrase IX and II with IC50 values of 9.6 to 32.2 µM and 11.6 to 31.1 µM, and the best was toxic to MDA-MB-231 cells but not to MCF-10A cells </w:t>
      </w:r>
      <w:r>
        <w:rPr>
          <w:rFonts w:ascii="Times New Roman" w:cs="Times New Roman" w:eastAsia="Times New Roman" w:hAnsi="Times New Roman"/>
          <w:sz w:val="22"/>
          <w:szCs w:val="22"/>
        </w:rPr>
        <w:t xml:space="preserve">[69]</w:t>
      </w:r>
      <w:r>
        <w:rPr>
          <w:rFonts w:ascii="Times New Roman" w:cs="Times New Roman" w:eastAsia="Times New Roman" w:hAnsi="Times New Roman"/>
          <w:sz w:val="22"/>
          <w:szCs w:val="22"/>
        </w:rPr>
        <w:t xml:space="preserve">. Imidazol-2-ones and their thione analogues were evaluated as CAIX inhibitors, and their quantum-chemical descriptors were said to agree with their activity </w:t>
      </w:r>
      <w:r>
        <w:rPr>
          <w:rFonts w:ascii="Times New Roman" w:cs="Times New Roman" w:eastAsia="Times New Roman" w:hAnsi="Times New Roman"/>
          <w:sz w:val="22"/>
          <w:szCs w:val="22"/>
        </w:rPr>
        <w:t xml:space="preserve">[70]</w:t>
      </w:r>
      <w:r>
        <w:rPr>
          <w:rFonts w:ascii="Times New Roman" w:cs="Times New Roman" w:eastAsia="Times New Roman" w:hAnsi="Times New Roman"/>
          <w:sz w:val="22"/>
          <w:szCs w:val="22"/>
        </w:rPr>
        <w:t xml:space="preserve">. Bromophenyl imidazolones reached IC50 values of 7.32 to 12.39 µM with a selectivity index of 7.2 against normal WI-38 fibroblasts </w:t>
      </w:r>
      <w:r>
        <w:rPr>
          <w:rFonts w:ascii="Times New Roman" w:cs="Times New Roman" w:eastAsia="Times New Roman" w:hAnsi="Times New Roman"/>
          <w:sz w:val="22"/>
          <w:szCs w:val="22"/>
        </w:rPr>
        <w:t xml:space="preserve">[96]</w:t>
      </w:r>
      <w:r>
        <w:rPr>
          <w:rFonts w:ascii="Times New Roman" w:cs="Times New Roman" w:eastAsia="Times New Roman" w:hAnsi="Times New Roman"/>
          <w:sz w:val="22"/>
          <w:szCs w:val="22"/>
        </w:rPr>
        <w:t xml:space="preserve">, and a lipophilic imidazolone series reached 2.2 and 5.5 µM against HepG2 and HeLa cells </w:t>
      </w:r>
      <w:r>
        <w:rPr>
          <w:rFonts w:ascii="Times New Roman" w:cs="Times New Roman" w:eastAsia="Times New Roman" w:hAnsi="Times New Roman"/>
          <w:sz w:val="22"/>
          <w:szCs w:val="22"/>
        </w:rPr>
        <w:t xml:space="preserve">[95]</w:t>
      </w:r>
      <w:r>
        <w:rPr>
          <w:rFonts w:ascii="Times New Roman" w:cs="Times New Roman" w:eastAsia="Times New Roman" w:hAnsi="Times New Roman"/>
          <w:sz w:val="22"/>
          <w:szCs w:val="22"/>
        </w:rPr>
        <w:t xml:space="preserve">. An isobenzofuran imidazothiadiazole series beat cisplatin for three compounds, the best at 35.81 µM </w:t>
      </w:r>
      <w:r>
        <w:rPr>
          <w:rFonts w:ascii="Times New Roman" w:cs="Times New Roman" w:eastAsia="Times New Roman" w:hAnsi="Times New Roman"/>
          <w:sz w:val="22"/>
          <w:szCs w:val="22"/>
        </w:rPr>
        <w:t xml:space="preserve">[101]</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Benzimidazole dominates the review literature on cancer, and recent reviews cover its mechanisms, hybrids and epigenetic targets </w:t>
      </w: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Reviews specific to non-fused imidazoles are fewer </w:t>
      </w:r>
      <w:r>
        <w:rPr>
          <w:rFonts w:ascii="Times New Roman" w:cs="Times New Roman" w:eastAsia="Times New Roman" w:hAnsi="Times New Roman"/>
          <w:sz w:val="22"/>
          <w:szCs w:val="22"/>
        </w:rPr>
        <w:t xml:space="preserve">[25,33,34]</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6.2 Antimicrobial and antifungal activity</w:t>
      </w:r>
    </w:p>
    <w:p>
      <w:pPr>
        <w:spacing w:after="120" w:before="0" w:line="276"/>
        <w:jc w:val="left"/>
      </w:pPr>
      <w:r>
        <w:rPr>
          <w:rFonts w:ascii="Times New Roman" w:cs="Times New Roman" w:eastAsia="Times New Roman" w:hAnsi="Times New Roman"/>
          <w:sz w:val="22"/>
          <w:szCs w:val="22"/>
        </w:rPr>
        <w:t xml:space="preserve">The antifungal case rests on a well-understood mechanism. Imidazole antifungals inhibit lanosterol 14α-demethylase (CYP51) and so block ergosterol biosynthesis </w:t>
      </w:r>
      <w:r>
        <w:rPr>
          <w:rFonts w:ascii="Times New Roman" w:cs="Times New Roman" w:eastAsia="Times New Roman" w:hAnsi="Times New Roman"/>
          <w:sz w:val="22"/>
          <w:szCs w:val="22"/>
        </w:rPr>
        <w:t xml:space="preserve">[5,102]</w:t>
      </w:r>
      <w:r>
        <w:rPr>
          <w:rFonts w:ascii="Times New Roman" w:cs="Times New Roman" w:eastAsia="Times New Roman" w:hAnsi="Times New Roman"/>
          <w:sz w:val="22"/>
          <w:szCs w:val="22"/>
        </w:rPr>
        <w:t xml:space="preserve">. Recent series typically report minimum inhibitory concentrations, an ergosterol or ROS assay for mechanism, a CYP51 docking study and often MD. The clinical azoles divide into imidazoles (two ring nitrogens) and triazoles (three), which differ markedly in target-enzyme selectivity, pharmacokinetics and safety, and the move from topical imidazoles to oral and intravenous triazoles across four generations was driven by spectrum, safety and pharmacokinetics </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New imidazole antifungals are therefore designed against a background in which systemic use has largely moved to triazoles.</w:t>
      </w:r>
    </w:p>
    <w:p>
      <w:pPr>
        <w:spacing w:after="120" w:before="0" w:line="276"/>
        <w:jc w:val="left"/>
      </w:pPr>
      <w:r>
        <w:rPr>
          <w:rFonts w:ascii="Times New Roman" w:cs="Times New Roman" w:eastAsia="Times New Roman" w:hAnsi="Times New Roman"/>
          <w:sz w:val="22"/>
          <w:szCs w:val="22"/>
        </w:rPr>
        <w:t xml:space="preserve">Selected results illustrate the range. Eugenol-derived imidazole 13 had an MIC of 4.6 µM against </w:t>
      </w:r>
      <w:r>
        <w:rPr>
          <w:rFonts w:ascii="Times New Roman" w:cs="Times New Roman" w:eastAsia="Times New Roman" w:hAnsi="Times New Roman"/>
          <w:i/>
          <w:iCs/>
          <w:sz w:val="22"/>
          <w:szCs w:val="22"/>
        </w:rPr>
        <w:t xml:space="preserve">Candida albicans</w:t>
      </w:r>
      <w:r>
        <w:rPr>
          <w:rFonts w:ascii="Times New Roman" w:cs="Times New Roman" w:eastAsia="Times New Roman" w:hAnsi="Times New Roman"/>
          <w:sz w:val="22"/>
          <w:szCs w:val="22"/>
        </w:rPr>
        <w:t xml:space="preserve">, 32 times lower than miconazole (150.2 µM), with a selectivity index above 28; a dihydroeugenol-imidazole was twice as potent as miconazole and over five times more potent than fluconazole against multidrug-resistant </w:t>
      </w:r>
      <w:r>
        <w:rPr>
          <w:rFonts w:ascii="Times New Roman" w:cs="Times New Roman" w:eastAsia="Times New Roman" w:hAnsi="Times New Roman"/>
          <w:i/>
          <w:iCs/>
          <w:sz w:val="22"/>
          <w:szCs w:val="22"/>
        </w:rPr>
        <w:t xml:space="preserve">Candida auris</w:t>
      </w:r>
      <w:r>
        <w:rPr>
          <w:rFonts w:ascii="Times New Roman" w:cs="Times New Roman" w:eastAsia="Times New Roman" w:hAnsi="Times New Roman"/>
          <w:sz w:val="22"/>
          <w:szCs w:val="22"/>
        </w:rPr>
        <w:t xml:space="preserve">, and ergosterol content fell as it does with fluconazole </w:t>
      </w:r>
      <w:r>
        <w:rPr>
          <w:rFonts w:ascii="Times New Roman" w:cs="Times New Roman" w:eastAsia="Times New Roman" w:hAnsi="Times New Roman"/>
          <w:sz w:val="22"/>
          <w:szCs w:val="22"/>
        </w:rPr>
        <w:t xml:space="preserve">[61]</w:t>
      </w:r>
      <w:r>
        <w:rPr>
          <w:rFonts w:ascii="Times New Roman" w:cs="Times New Roman" w:eastAsia="Times New Roman" w:hAnsi="Times New Roman"/>
          <w:sz w:val="22"/>
          <w:szCs w:val="22"/>
        </w:rPr>
        <w:t xml:space="preserve">. Trisubstituted imidazoles reached an MIC of 4 µg/mL against </w:t>
      </w:r>
      <w:r>
        <w:rPr>
          <w:rFonts w:ascii="Times New Roman" w:cs="Times New Roman" w:eastAsia="Times New Roman" w:hAnsi="Times New Roman"/>
          <w:i/>
          <w:iCs/>
          <w:sz w:val="22"/>
          <w:szCs w:val="22"/>
        </w:rPr>
        <w:t xml:space="preserve">Candida glabrata</w:t>
      </w:r>
      <w:r>
        <w:rPr>
          <w:rFonts w:ascii="Times New Roman" w:cs="Times New Roman" w:eastAsia="Times New Roman" w:hAnsi="Times New Roman"/>
          <w:sz w:val="22"/>
          <w:szCs w:val="22"/>
        </w:rPr>
        <w:t xml:space="preserve">, against 32 µg/mL for fluconazole </w:t>
      </w:r>
      <w:r>
        <w:rPr>
          <w:rFonts w:ascii="Times New Roman" w:cs="Times New Roman" w:eastAsia="Times New Roman" w:hAnsi="Times New Roman"/>
          <w:sz w:val="22"/>
          <w:szCs w:val="22"/>
        </w:rPr>
        <w:t xml:space="preserve">[93]</w:t>
      </w:r>
      <w:r>
        <w:rPr>
          <w:rFonts w:ascii="Times New Roman" w:cs="Times New Roman" w:eastAsia="Times New Roman" w:hAnsi="Times New Roman"/>
          <w:sz w:val="22"/>
          <w:szCs w:val="22"/>
        </w:rPr>
        <w:t xml:space="preserve">. Benzimidazole hybrids had MIC values of 4 to 16 µg/mL against </w:t>
      </w:r>
      <w:r>
        <w:rPr>
          <w:rFonts w:ascii="Times New Roman" w:cs="Times New Roman" w:eastAsia="Times New Roman" w:hAnsi="Times New Roman"/>
          <w:i/>
          <w:iCs/>
          <w:sz w:val="22"/>
          <w:szCs w:val="22"/>
        </w:rPr>
        <w:t xml:space="preserve">C. albicans</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Cryptococcus neoformans</w:t>
      </w:r>
      <w:r>
        <w:rPr>
          <w:rFonts w:ascii="Times New Roman" w:cs="Times New Roman" w:eastAsia="Times New Roman" w:hAnsi="Times New Roman"/>
          <w:sz w:val="22"/>
          <w:szCs w:val="22"/>
        </w:rPr>
        <w:t xml:space="preserve"> without toxicity to red blood cells or kidney cells up to 32 µg/mL, and compound 4e inhibited CYP51 directly with an IC50 of 0.19 µg/mL against 0.62 µg/mL for fluconazole </w:t>
      </w:r>
      <w:r>
        <w:rPr>
          <w:rFonts w:ascii="Times New Roman" w:cs="Times New Roman" w:eastAsia="Times New Roman" w:hAnsi="Times New Roman"/>
          <w:sz w:val="22"/>
          <w:szCs w:val="22"/>
        </w:rPr>
        <w:t xml:space="preserve">[103]</w:t>
      </w:r>
      <w:r>
        <w:rPr>
          <w:rFonts w:ascii="Times New Roman" w:cs="Times New Roman" w:eastAsia="Times New Roman" w:hAnsi="Times New Roman"/>
          <w:sz w:val="22"/>
          <w:szCs w:val="22"/>
        </w:rPr>
        <w:t xml:space="preserve">. Benzimidazole–thiadiazole hybrids reached 3.90 µg/mL against </w:t>
      </w:r>
      <w:r>
        <w:rPr>
          <w:rFonts w:ascii="Times New Roman" w:cs="Times New Roman" w:eastAsia="Times New Roman" w:hAnsi="Times New Roman"/>
          <w:i/>
          <w:iCs/>
          <w:sz w:val="22"/>
          <w:szCs w:val="22"/>
        </w:rPr>
        <w:t xml:space="preserve">C. albicans</w:t>
      </w:r>
      <w:r>
        <w:rPr>
          <w:rFonts w:ascii="Times New Roman" w:cs="Times New Roman" w:eastAsia="Times New Roman" w:hAnsi="Times New Roman"/>
          <w:sz w:val="22"/>
          <w:szCs w:val="22"/>
        </w:rPr>
        <w:t xml:space="preserve"> and against </w:t>
      </w:r>
      <w:r>
        <w:rPr>
          <w:rFonts w:ascii="Times New Roman" w:cs="Times New Roman" w:eastAsia="Times New Roman" w:hAnsi="Times New Roman"/>
          <w:i/>
          <w:iCs/>
          <w:sz w:val="22"/>
          <w:szCs w:val="22"/>
        </w:rPr>
        <w:t xml:space="preserve">Enterococcus faecalis</w:t>
      </w:r>
      <w:r>
        <w:rPr>
          <w:rFonts w:ascii="Times New Roman" w:cs="Times New Roman" w:eastAsia="Times New Roman" w:hAnsi="Times New Roman"/>
          <w:sz w:val="22"/>
          <w:szCs w:val="22"/>
        </w:rPr>
        <w:t xml:space="preserve">, were tested for cytotoxicity in L929 fibroblasts, and were docked and simulated in CYP51 </w:t>
      </w:r>
      <w:r>
        <w:rPr>
          <w:rFonts w:ascii="Times New Roman" w:cs="Times New Roman" w:eastAsia="Times New Roman" w:hAnsi="Times New Roman"/>
          <w:sz w:val="22"/>
          <w:szCs w:val="22"/>
        </w:rPr>
        <w:t xml:space="preserve">[104,105]</w:t>
      </w:r>
      <w:r>
        <w:rPr>
          <w:rFonts w:ascii="Times New Roman" w:cs="Times New Roman" w:eastAsia="Times New Roman" w:hAnsi="Times New Roman"/>
          <w:sz w:val="22"/>
          <w:szCs w:val="22"/>
        </w:rPr>
        <w:t xml:space="preserve">. Imidazoles 7c, 7d and 7f had MIC50 values of 0.5 to 16 µg/mL across several </w:t>
      </w:r>
      <w:r>
        <w:rPr>
          <w:rFonts w:ascii="Times New Roman" w:cs="Times New Roman" w:eastAsia="Times New Roman" w:hAnsi="Times New Roman"/>
          <w:i/>
          <w:iCs/>
          <w:sz w:val="22"/>
          <w:szCs w:val="22"/>
        </w:rPr>
        <w:t xml:space="preserve">Candida</w:t>
      </w:r>
      <w:r>
        <w:rPr>
          <w:rFonts w:ascii="Times New Roman" w:cs="Times New Roman" w:eastAsia="Times New Roman" w:hAnsi="Times New Roman"/>
          <w:sz w:val="22"/>
          <w:szCs w:val="22"/>
        </w:rPr>
        <w:t xml:space="preserve"> species and </w:t>
      </w:r>
      <w:r>
        <w:rPr>
          <w:rFonts w:ascii="Times New Roman" w:cs="Times New Roman" w:eastAsia="Times New Roman" w:hAnsi="Times New Roman"/>
          <w:i/>
          <w:iCs/>
          <w:sz w:val="22"/>
          <w:szCs w:val="22"/>
        </w:rPr>
        <w:t xml:space="preserve">Cryptococcus neoformans</w:t>
      </w:r>
      <w:r>
        <w:rPr>
          <w:rFonts w:ascii="Times New Roman" w:cs="Times New Roman" w:eastAsia="Times New Roman" w:hAnsi="Times New Roman"/>
          <w:sz w:val="22"/>
          <w:szCs w:val="22"/>
        </w:rPr>
        <w:t xml:space="preserve">, with low toxicity to normal fibroblasts </w:t>
      </w:r>
      <w:r>
        <w:rPr>
          <w:rFonts w:ascii="Times New Roman" w:cs="Times New Roman" w:eastAsia="Times New Roman" w:hAnsi="Times New Roman"/>
          <w:sz w:val="22"/>
          <w:szCs w:val="22"/>
        </w:rPr>
        <w:t xml:space="preserve">[106]</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Some results show that cell and enzyme potency can diverge. A benzimidazole sulfonate series had MIC values of 8.2 and 9.8 µg/mL against </w:t>
      </w:r>
      <w:r>
        <w:rPr>
          <w:rFonts w:ascii="Times New Roman" w:cs="Times New Roman" w:eastAsia="Times New Roman" w:hAnsi="Times New Roman"/>
          <w:i/>
          <w:iCs/>
          <w:sz w:val="22"/>
          <w:szCs w:val="22"/>
        </w:rPr>
        <w:t xml:space="preserve">C. albicans</w:t>
      </w:r>
      <w:r>
        <w:rPr>
          <w:rFonts w:ascii="Times New Roman" w:cs="Times New Roman" w:eastAsia="Times New Roman" w:hAnsi="Times New Roman"/>
          <w:sz w:val="22"/>
          <w:szCs w:val="22"/>
        </w:rPr>
        <w:t xml:space="preserve"> (amphotericin B, 11.8 µg/mL); here the mechanistic evidence went beyond docking, because ROS accumulated in treated cells and ergosterol supplementation raised the MIC, which points to membrane disruption through ergosterol binding, while CYP51 docking and MD were used as supporting evidence </w:t>
      </w:r>
      <w:r>
        <w:rPr>
          <w:rFonts w:ascii="Times New Roman" w:cs="Times New Roman" w:eastAsia="Times New Roman" w:hAnsi="Times New Roman"/>
          <w:sz w:val="22"/>
          <w:szCs w:val="22"/>
        </w:rPr>
        <w:t xml:space="preserve">[98]</w:t>
      </w:r>
      <w:r>
        <w:rPr>
          <w:rFonts w:ascii="Times New Roman" w:cs="Times New Roman" w:eastAsia="Times New Roman" w:hAnsi="Times New Roman"/>
          <w:sz w:val="22"/>
          <w:szCs w:val="22"/>
        </w:rPr>
        <w:t xml:space="preserve">. Another benzimidazole–pyridine–sulfonate series had an MIC of 5 µg/mL against </w:t>
      </w:r>
      <w:r>
        <w:rPr>
          <w:rFonts w:ascii="Times New Roman" w:cs="Times New Roman" w:eastAsia="Times New Roman" w:hAnsi="Times New Roman"/>
          <w:i/>
          <w:iCs/>
          <w:sz w:val="22"/>
          <w:szCs w:val="22"/>
        </w:rPr>
        <w:t xml:space="preserve">C. albicans</w:t>
      </w:r>
      <w:r>
        <w:rPr>
          <w:rFonts w:ascii="Times New Roman" w:cs="Times New Roman" w:eastAsia="Times New Roman" w:hAnsi="Times New Roman"/>
          <w:sz w:val="22"/>
          <w:szCs w:val="22"/>
        </w:rPr>
        <w:t xml:space="preserve"> (amphotericin B, 20 µg/mL) and 42.1% biofilm inhibition in </w:t>
      </w:r>
      <w:r>
        <w:rPr>
          <w:rFonts w:ascii="Times New Roman" w:cs="Times New Roman" w:eastAsia="Times New Roman" w:hAnsi="Times New Roman"/>
          <w:i/>
          <w:iCs/>
          <w:sz w:val="22"/>
          <w:szCs w:val="22"/>
        </w:rPr>
        <w:t xml:space="preserve">Pseudomonas aeruginosa</w:t>
      </w:r>
      <w:r>
        <w:rPr>
          <w:rFonts w:ascii="Times New Roman" w:cs="Times New Roman" w:eastAsia="Times New Roman" w:hAnsi="Times New Roman"/>
          <w:sz w:val="22"/>
          <w:szCs w:val="22"/>
        </w:rPr>
        <w:t xml:space="preserve"> for its best antibiofilm compound, but a CYP51 IC50 of 4.2 µM against 0.6 µM for fluconazole </w:t>
      </w:r>
      <w:r>
        <w:rPr>
          <w:rFonts w:ascii="Times New Roman" w:cs="Times New Roman" w:eastAsia="Times New Roman" w:hAnsi="Times New Roman"/>
          <w:sz w:val="22"/>
          <w:szCs w:val="22"/>
        </w:rPr>
        <w:t xml:space="preserve">[97]</w:t>
      </w:r>
      <w:r>
        <w:rPr>
          <w:rFonts w:ascii="Times New Roman" w:cs="Times New Roman" w:eastAsia="Times New Roman" w:hAnsi="Times New Roman"/>
          <w:sz w:val="22"/>
          <w:szCs w:val="22"/>
        </w:rPr>
        <w:t xml:space="preserve">. Cinnamate esters of imidazole and benzimidazole had antibacterial MICs of 12.5 to 50 µg/mL and antifungal minimum fungicidal concentrations of 125 to 200 µg/mL </w:t>
      </w:r>
      <w:r>
        <w:rPr>
          <w:rFonts w:ascii="Times New Roman" w:cs="Times New Roman" w:eastAsia="Times New Roman" w:hAnsi="Times New Roman"/>
          <w:sz w:val="22"/>
          <w:szCs w:val="22"/>
        </w:rPr>
        <w:t xml:space="preserve">[107]</w:t>
      </w:r>
      <w:r>
        <w:rPr>
          <w:rFonts w:ascii="Times New Roman" w:cs="Times New Roman" w:eastAsia="Times New Roman" w:hAnsi="Times New Roman"/>
          <w:sz w:val="22"/>
          <w:szCs w:val="22"/>
        </w:rPr>
        <w:t xml:space="preserve">. Imidazole–pyrazole and imidazole–isoxazole scaffolds docked in CYP51 (5V5Z) with higher predicted affinity than fluconazole, though the abstract reports only that the antifungal activity can be optimised </w:t>
      </w:r>
      <w:r>
        <w:rPr>
          <w:rFonts w:ascii="Times New Roman" w:cs="Times New Roman" w:eastAsia="Times New Roman" w:hAnsi="Times New Roman"/>
          <w:sz w:val="22"/>
          <w:szCs w:val="22"/>
        </w:rPr>
        <w:t xml:space="preserve">[51]</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For bacteria, the weight of evidence is lighter. Glucosamine-6-phosphate synthase and penicillin-binding protein 2a of MRSA appear as docking targets </w:t>
      </w:r>
      <w:r>
        <w:rPr>
          <w:rFonts w:ascii="Times New Roman" w:cs="Times New Roman" w:eastAsia="Times New Roman" w:hAnsi="Times New Roman"/>
          <w:sz w:val="22"/>
          <w:szCs w:val="22"/>
        </w:rPr>
        <w:t xml:space="preserve">[63,64]</w:t>
      </w:r>
      <w:r>
        <w:rPr>
          <w:rFonts w:ascii="Times New Roman" w:cs="Times New Roman" w:eastAsia="Times New Roman" w:hAnsi="Times New Roman"/>
          <w:sz w:val="22"/>
          <w:szCs w:val="22"/>
        </w:rPr>
        <w:t xml:space="preserve">. In a vanillyl–imidazolidinyl–sulfamethoxazole series, imidazolones were the better antibacterials and oxazolones the better antifungals, and one oxazolone gave a 20 mm inhibition zone against a multidrug-resistant </w:t>
      </w:r>
      <w:r>
        <w:rPr>
          <w:rFonts w:ascii="Times New Roman" w:cs="Times New Roman" w:eastAsia="Times New Roman" w:hAnsi="Times New Roman"/>
          <w:i/>
          <w:iCs/>
          <w:sz w:val="22"/>
          <w:szCs w:val="22"/>
        </w:rPr>
        <w:t xml:space="preserve">Trichophyton rubrum</w:t>
      </w:r>
      <w:r>
        <w:rPr>
          <w:rFonts w:ascii="Times New Roman" w:cs="Times New Roman" w:eastAsia="Times New Roman" w:hAnsi="Times New Roman"/>
          <w:sz w:val="22"/>
          <w:szCs w:val="22"/>
        </w:rPr>
        <w:t xml:space="preserve"> strain, better than ketoconazole </w:t>
      </w:r>
      <w:r>
        <w:rPr>
          <w:rFonts w:ascii="Times New Roman" w:cs="Times New Roman" w:eastAsia="Times New Roman" w:hAnsi="Times New Roman"/>
          <w:sz w:val="22"/>
          <w:szCs w:val="22"/>
        </w:rPr>
        <w:t xml:space="preserve">[64]</w:t>
      </w:r>
      <w:r>
        <w:rPr>
          <w:rFonts w:ascii="Times New Roman" w:cs="Times New Roman" w:eastAsia="Times New Roman" w:hAnsi="Times New Roman"/>
          <w:sz w:val="22"/>
          <w:szCs w:val="22"/>
        </w:rPr>
        <w:t xml:space="preserve">. Imidazole–thiazole hybrids showed moderate antimicrobial activity, and imidazothiadiazoles had MIC values of 0.14 to 0.59 mM that their authors call fairly good </w:t>
      </w:r>
      <w:r>
        <w:rPr>
          <w:rFonts w:ascii="Times New Roman" w:cs="Times New Roman" w:eastAsia="Times New Roman" w:hAnsi="Times New Roman"/>
          <w:sz w:val="22"/>
          <w:szCs w:val="22"/>
        </w:rPr>
        <w:t xml:space="preserve">[41,101]</w:t>
      </w:r>
      <w:r>
        <w:rPr>
          <w:rFonts w:ascii="Times New Roman" w:cs="Times New Roman" w:eastAsia="Times New Roman" w:hAnsi="Times New Roman"/>
          <w:sz w:val="22"/>
          <w:szCs w:val="22"/>
        </w:rPr>
        <w:t xml:space="preserve">. A 2013 study found one pyrazole-bearing imidazole active against </w:t>
      </w:r>
      <w:r>
        <w:rPr>
          <w:rFonts w:ascii="Times New Roman" w:cs="Times New Roman" w:eastAsia="Times New Roman" w:hAnsi="Times New Roman"/>
          <w:i/>
          <w:iCs/>
          <w:sz w:val="22"/>
          <w:szCs w:val="22"/>
        </w:rPr>
        <w:t xml:space="preserve">P. aeruginosa</w:t>
      </w:r>
      <w:r>
        <w:rPr>
          <w:rFonts w:ascii="Times New Roman" w:cs="Times New Roman" w:eastAsia="Times New Roman" w:hAnsi="Times New Roman"/>
          <w:sz w:val="22"/>
          <w:szCs w:val="22"/>
        </w:rPr>
        <w:t xml:space="preserve"> at 1 and 0.5 mg/mL, a high concentration compared with the µg/mL values in recent papers </w:t>
      </w:r>
      <w:r>
        <w:rPr>
          <w:rFonts w:ascii="Times New Roman" w:cs="Times New Roman" w:eastAsia="Times New Roman" w:hAnsi="Times New Roman"/>
          <w:sz w:val="22"/>
          <w:szCs w:val="22"/>
        </w:rPr>
        <w:t xml:space="preserve">[62]</w:t>
      </w:r>
      <w:r>
        <w:rPr>
          <w:rFonts w:ascii="Times New Roman" w:cs="Times New Roman" w:eastAsia="Times New Roman" w:hAnsi="Times New Roman"/>
          <w:sz w:val="22"/>
          <w:szCs w:val="22"/>
        </w:rPr>
        <w:t xml:space="preserve">. A tartaric-acid-catalysed series was tested by disk diffusion against gentamicin </w:t>
      </w:r>
      <w:r>
        <w:rPr>
          <w:rFonts w:ascii="Times New Roman" w:cs="Times New Roman" w:eastAsia="Times New Roman" w:hAnsi="Times New Roman"/>
          <w:sz w:val="22"/>
          <w:szCs w:val="22"/>
        </w:rPr>
        <w:t xml:space="preserve">[92]</w:t>
      </w:r>
      <w:r>
        <w:rPr>
          <w:rFonts w:ascii="Times New Roman" w:cs="Times New Roman" w:eastAsia="Times New Roman" w:hAnsi="Times New Roman"/>
          <w:sz w:val="22"/>
          <w:szCs w:val="22"/>
        </w:rPr>
        <w:t xml:space="preserve">. A review of imidazoles against </w:t>
      </w:r>
      <w:r>
        <w:rPr>
          <w:rFonts w:ascii="Times New Roman" w:cs="Times New Roman" w:eastAsia="Times New Roman" w:hAnsi="Times New Roman"/>
          <w:i/>
          <w:iCs/>
          <w:sz w:val="22"/>
          <w:szCs w:val="22"/>
        </w:rPr>
        <w:t xml:space="preserve">Staphylococcus aureus</w:t>
      </w:r>
      <w:r>
        <w:rPr>
          <w:rFonts w:ascii="Times New Roman" w:cs="Times New Roman" w:eastAsia="Times New Roman" w:hAnsi="Times New Roman"/>
          <w:sz w:val="22"/>
          <w:szCs w:val="22"/>
        </w:rPr>
        <w:t xml:space="preserve"> and MRSA calls for stability, toxicity and PK/PD profiling before clinical translation </w:t>
      </w: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An arXiv deposit of a benzimidazole–pyrazoline study illustrates a candid weak-activity result: bacterial MIC values of 64 to more than 1,024 µg/mL against 6.25 to 12.5 µg/mL for ciprofloxacin, and weak or no activity against </w:t>
      </w:r>
      <w:r>
        <w:rPr>
          <w:rFonts w:ascii="Times New Roman" w:cs="Times New Roman" w:eastAsia="Times New Roman" w:hAnsi="Times New Roman"/>
          <w:i/>
          <w:iCs/>
          <w:sz w:val="22"/>
          <w:szCs w:val="22"/>
        </w:rPr>
        <w:t xml:space="preserve">C. albicans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i/>
          <w:iCs/>
          <w:sz w:val="22"/>
          <w:szCs w:val="22"/>
        </w:rPr>
        <w:t xml:space="preserve">Resistance context.</w:t>
      </w:r>
      <w:r>
        <w:rPr>
          <w:rFonts w:ascii="Times New Roman" w:cs="Times New Roman" w:eastAsia="Times New Roman" w:hAnsi="Times New Roman"/>
          <w:sz w:val="22"/>
          <w:szCs w:val="22"/>
        </w:rPr>
        <w:t xml:space="preserve"> Azole resistance in </w:t>
      </w:r>
      <w:r>
        <w:rPr>
          <w:rFonts w:ascii="Times New Roman" w:cs="Times New Roman" w:eastAsia="Times New Roman" w:hAnsi="Times New Roman"/>
          <w:i/>
          <w:iCs/>
          <w:sz w:val="22"/>
          <w:szCs w:val="22"/>
        </w:rPr>
        <w:t xml:space="preserve">Candida</w:t>
      </w:r>
      <w:r>
        <w:rPr>
          <w:rFonts w:ascii="Times New Roman" w:cs="Times New Roman" w:eastAsia="Times New Roman" w:hAnsi="Times New Roman"/>
          <w:sz w:val="22"/>
          <w:szCs w:val="22"/>
        </w:rPr>
        <w:t xml:space="preserve"> arises through ERG11 and UPC2 mutations, overexpression of efflux pumps (CDR1, CDR2, MDR1, PDR16 and SNQ2, regulated by the transcription factors Tac1 and Mrr1) and biofilm formation </w:t>
      </w:r>
      <w:r>
        <w:rPr>
          <w:rFonts w:ascii="Times New Roman" w:cs="Times New Roman" w:eastAsia="Times New Roman" w:hAnsi="Times New Roman"/>
          <w:sz w:val="22"/>
          <w:szCs w:val="22"/>
        </w:rPr>
        <w:t xml:space="preserve">[102,108,109]</w:t>
      </w:r>
      <w:r>
        <w:rPr>
          <w:rFonts w:ascii="Times New Roman" w:cs="Times New Roman" w:eastAsia="Times New Roman" w:hAnsi="Times New Roman"/>
          <w:sz w:val="22"/>
          <w:szCs w:val="22"/>
        </w:rPr>
        <w:t xml:space="preserve">. It is a global clinical problem, reviewed in </w:t>
      </w:r>
      <w:r>
        <w:rPr>
          <w:rFonts w:ascii="Times New Roman" w:cs="Times New Roman" w:eastAsia="Times New Roman" w:hAnsi="Times New Roman"/>
          <w:i/>
          <w:iCs/>
          <w:sz w:val="22"/>
          <w:szCs w:val="22"/>
        </w:rPr>
        <w:t xml:space="preserve">Candida</w:t>
      </w:r>
      <w:r>
        <w:rPr>
          <w:rFonts w:ascii="Times New Roman" w:cs="Times New Roman" w:eastAsia="Times New Roman" w:hAnsi="Times New Roman"/>
          <w:sz w:val="22"/>
          <w:szCs w:val="22"/>
        </w:rPr>
        <w:t xml:space="preserve"> species and with a One Health framing that links agricultural and clinical azole use and cross-resistance </w:t>
      </w:r>
      <w:r>
        <w:rPr>
          <w:rFonts w:ascii="Times New Roman" w:cs="Times New Roman" w:eastAsia="Times New Roman" w:hAnsi="Times New Roman"/>
          <w:sz w:val="22"/>
          <w:szCs w:val="22"/>
        </w:rPr>
        <w:t xml:space="preserve">[5,110–112]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Candida glabrata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Pichia kudriavzevii</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 auris</w:t>
      </w:r>
      <w:r>
        <w:rPr>
          <w:rFonts w:ascii="Times New Roman" w:cs="Times New Roman" w:eastAsia="Times New Roman" w:hAnsi="Times New Roman"/>
          <w:sz w:val="22"/>
          <w:szCs w:val="22"/>
        </w:rPr>
        <w:t xml:space="preserve"> show fluconazole resistance </w:t>
      </w:r>
      <w:r>
        <w:rPr>
          <w:rFonts w:ascii="Times New Roman" w:cs="Times New Roman" w:eastAsia="Times New Roman" w:hAnsi="Times New Roman"/>
          <w:sz w:val="22"/>
          <w:szCs w:val="22"/>
        </w:rPr>
        <w:t xml:space="preserve">[108]</w:t>
      </w:r>
      <w:r>
        <w:rPr>
          <w:rFonts w:ascii="Times New Roman" w:cs="Times New Roman" w:eastAsia="Times New Roman" w:hAnsi="Times New Roman"/>
          <w:sz w:val="22"/>
          <w:szCs w:val="22"/>
        </w:rPr>
        <w:t xml:space="preserve">. Imidazole antifungals are also limited by poor aqueous solubility and tissue penetration, which has led to lipid-based, vesicular and nanocarrier formulations </w:t>
      </w:r>
      <w:r>
        <w:rPr>
          <w:rFonts w:ascii="Times New Roman" w:cs="Times New Roman" w:eastAsia="Times New Roman" w:hAnsi="Times New Roman"/>
          <w:sz w:val="22"/>
          <w:szCs w:val="22"/>
        </w:rPr>
        <w:t xml:space="preserve">[102]</w:t>
      </w:r>
      <w:r>
        <w:rPr>
          <w:rFonts w:ascii="Times New Roman" w:cs="Times New Roman" w:eastAsia="Times New Roman" w:hAnsi="Times New Roman"/>
          <w:sz w:val="22"/>
          <w:szCs w:val="22"/>
        </w:rPr>
        <w:t xml:space="preserve">. Reviews of new azoles document progress with triazoles, 1,2,3-triazole natural-product conjugates and tetrazoles, and one notes that tetrazoles show lower basicity and reduced inhibition of human CYP450 enzymes in preclinical work </w:t>
      </w:r>
      <w:r>
        <w:rPr>
          <w:rFonts w:ascii="Times New Roman" w:cs="Times New Roman" w:eastAsia="Times New Roman" w:hAnsi="Times New Roman"/>
          <w:sz w:val="22"/>
          <w:szCs w:val="22"/>
        </w:rPr>
        <w:t xml:space="preserve">[5,113]</w:t>
      </w:r>
      <w:r>
        <w:rPr>
          <w:rFonts w:ascii="Times New Roman" w:cs="Times New Roman" w:eastAsia="Times New Roman" w:hAnsi="Times New Roman"/>
          <w:sz w:val="22"/>
          <w:szCs w:val="22"/>
        </w:rPr>
        <w:t xml:space="preserve">. That point matters for design and returns in Section 9.</w:t>
      </w:r>
    </w:p>
    <w:p>
      <w:pPr>
        <w:pStyle w:val="Heading2"/>
        <w:keepNext/>
      </w:pPr>
      <w:r>
        <w:rPr>
          <w:rFonts w:ascii="Arial" w:cs="Arial" w:eastAsia="Arial" w:hAnsi="Arial"/>
        </w:rPr>
        <w:t xml:space="preserve">6.3 Antidiabetic activity</w:t>
      </w:r>
    </w:p>
    <w:p>
      <w:pPr>
        <w:spacing w:after="120" w:before="0" w:line="276"/>
        <w:jc w:val="left"/>
      </w:pPr>
      <w:r>
        <w:rPr>
          <w:rFonts w:ascii="Times New Roman" w:cs="Times New Roman" w:eastAsia="Times New Roman" w:hAnsi="Times New Roman"/>
          <w:sz w:val="22"/>
          <w:szCs w:val="22"/>
        </w:rPr>
        <w:t xml:space="preserve">Antidiabetic papers cluster around α-amylase, α-glucosidase and aldose reductase. Eight imidazole derivatives gave a best α-amylase IC50 of 21.5 ± 1.2 µM against 18.9 ± 1.4 µM for acarbose, with low cytotoxicity in 3T3-L1 cells </w:t>
      </w:r>
      <w:r>
        <w:rPr>
          <w:rFonts w:ascii="Times New Roman" w:cs="Times New Roman" w:eastAsia="Times New Roman" w:hAnsi="Times New Roman"/>
          <w:sz w:val="22"/>
          <w:szCs w:val="22"/>
        </w:rPr>
        <w:t xml:space="preserve">[66]</w:t>
      </w:r>
      <w:r>
        <w:rPr>
          <w:rFonts w:ascii="Times New Roman" w:cs="Times New Roman" w:eastAsia="Times New Roman" w:hAnsi="Times New Roman"/>
          <w:sz w:val="22"/>
          <w:szCs w:val="22"/>
        </w:rPr>
        <w:t xml:space="preserve">. Imidazole–thiadiazole hybrids gave α-glucosidase and α-amylase IC50 values of 1.4 to 13.6 µM and 0.9 to 12.8 µM against 14.8 µM for acarbose in the same study, and also inhibited cholinesterases </w:t>
      </w:r>
      <w:r>
        <w:rPr>
          <w:rFonts w:ascii="Times New Roman" w:cs="Times New Roman" w:eastAsia="Times New Roman" w:hAnsi="Times New Roman"/>
          <w:sz w:val="22"/>
          <w:szCs w:val="22"/>
        </w:rPr>
        <w:t xml:space="preserve">[48]</w:t>
      </w:r>
      <w:r>
        <w:rPr>
          <w:rFonts w:ascii="Times New Roman" w:cs="Times New Roman" w:eastAsia="Times New Roman" w:hAnsi="Times New Roman"/>
          <w:sz w:val="22"/>
          <w:szCs w:val="22"/>
        </w:rPr>
        <w:t xml:space="preserve">. Benzimidazole ureas had α-amylase IC50 values of 18.65 to 22.33 µM against 14.21 µM for acarbose, which the authors call comparable </w:t>
      </w:r>
      <w:r>
        <w:rPr>
          <w:rFonts w:ascii="Times New Roman" w:cs="Times New Roman" w:eastAsia="Times New Roman" w:hAnsi="Times New Roman"/>
          <w:sz w:val="22"/>
          <w:szCs w:val="22"/>
        </w:rPr>
        <w:t xml:space="preserve">[99]</w:t>
      </w:r>
      <w:r>
        <w:rPr>
          <w:rFonts w:ascii="Times New Roman" w:cs="Times New Roman" w:eastAsia="Times New Roman" w:hAnsi="Times New Roman"/>
          <w:sz w:val="22"/>
          <w:szCs w:val="22"/>
        </w:rPr>
        <w:t xml:space="preserve">. An imidazo-triazole series reached 6.80 and 7.10 µM against α-amylase and α-glucosidase </w:t>
      </w:r>
      <w:r>
        <w:rPr>
          <w:rFonts w:ascii="Times New Roman" w:cs="Times New Roman" w:eastAsia="Times New Roman" w:hAnsi="Times New Roman"/>
          <w:sz w:val="22"/>
          <w:szCs w:val="22"/>
        </w:rPr>
        <w:t xml:space="preserve">[50]</w:t>
      </w:r>
      <w:r>
        <w:rPr>
          <w:rFonts w:ascii="Times New Roman" w:cs="Times New Roman" w:eastAsia="Times New Roman" w:hAnsi="Times New Roman"/>
          <w:sz w:val="22"/>
          <w:szCs w:val="22"/>
        </w:rPr>
        <w:t xml:space="preserve">, imidazo-isoxazole ureas reached 26.67 and 39.12 µM with competitive kinetics and a 100 ns MD run </w:t>
      </w:r>
      <w:r>
        <w:rPr>
          <w:rFonts w:ascii="Times New Roman" w:cs="Times New Roman" w:eastAsia="Times New Roman" w:hAnsi="Times New Roman"/>
          <w:sz w:val="22"/>
          <w:szCs w:val="22"/>
        </w:rPr>
        <w:t xml:space="preserve">[49]</w:t>
      </w:r>
      <w:r>
        <w:rPr>
          <w:rFonts w:ascii="Times New Roman" w:cs="Times New Roman" w:eastAsia="Times New Roman" w:hAnsi="Times New Roman"/>
          <w:sz w:val="22"/>
          <w:szCs w:val="22"/>
        </w:rPr>
        <w:t xml:space="preserve">, and imidazopyridine chalcones inhibited α-amylase, α-glucosidase and aldose reductase at 6.71, 4.78 and 4.04 µg/mL with antioxidant activity comparable to ascorbic acid </w:t>
      </w:r>
      <w:r>
        <w:rPr>
          <w:rFonts w:ascii="Times New Roman" w:cs="Times New Roman" w:eastAsia="Times New Roman" w:hAnsi="Times New Roman"/>
          <w:sz w:val="22"/>
          <w:szCs w:val="22"/>
        </w:rPr>
        <w:t xml:space="preserve">[56]</w:t>
      </w:r>
      <w:r>
        <w:rPr>
          <w:rFonts w:ascii="Times New Roman" w:cs="Times New Roman" w:eastAsia="Times New Roman" w:hAnsi="Times New Roman"/>
          <w:sz w:val="22"/>
          <w:szCs w:val="22"/>
        </w:rPr>
        <w:t xml:space="preserve">. Imidazo[1,2-a]pyridine–thiadiazoles inhibited aldose reductase with Ki values of 23 to 140 nM </w:t>
      </w:r>
      <w:r>
        <w:rPr>
          <w:rFonts w:ascii="Times New Roman" w:cs="Times New Roman" w:eastAsia="Times New Roman" w:hAnsi="Times New Roman"/>
          <w:sz w:val="22"/>
          <w:szCs w:val="22"/>
        </w:rPr>
        <w:t xml:space="preserve">[55]</w:t>
      </w:r>
      <w:r>
        <w:rPr>
          <w:rFonts w:ascii="Times New Roman" w:cs="Times New Roman" w:eastAsia="Times New Roman" w:hAnsi="Times New Roman"/>
          <w:sz w:val="22"/>
          <w:szCs w:val="22"/>
        </w:rPr>
        <w:t xml:space="preserve">. A group of quinoline–imidazole hybrids showed antihyperglycaemic, antioxidant and anti-inflammatory effects but, as the authors themselves note, none outperformed the standard drugs in any in vitro assay </w:t>
      </w:r>
      <w:r>
        <w:rPr>
          <w:rFonts w:ascii="Times New Roman" w:cs="Times New Roman" w:eastAsia="Times New Roman" w:hAnsi="Times New Roman"/>
          <w:sz w:val="22"/>
          <w:szCs w:val="22"/>
        </w:rPr>
        <w:t xml:space="preserve">[114]</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6.4 Neuroactive, antiviral, antioxidant and other activities</w:t>
      </w:r>
    </w:p>
    <w:p>
      <w:pPr>
        <w:spacing w:after="120" w:before="0" w:line="276"/>
        <w:jc w:val="left"/>
      </w:pPr>
      <w:r>
        <w:rPr>
          <w:rFonts w:ascii="Times New Roman" w:cs="Times New Roman" w:eastAsia="Times New Roman" w:hAnsi="Times New Roman"/>
          <w:sz w:val="22"/>
          <w:szCs w:val="22"/>
        </w:rPr>
        <w:t xml:space="preserve">In Alzheimer's disease research, imidazole hydrazones inhibited acetylcholinesterase and butyrylcholinesterase at 3.10 to 21.10 µM and 3.40 to 23.30 µM, with the best compound stronger than donepezil (7.30 and 7.50 µM) </w:t>
      </w:r>
      <w:r>
        <w:rPr>
          <w:rFonts w:ascii="Times New Roman" w:cs="Times New Roman" w:eastAsia="Times New Roman" w:hAnsi="Times New Roman"/>
          <w:sz w:val="22"/>
          <w:szCs w:val="22"/>
        </w:rPr>
        <w:t xml:space="preserve">[67]</w:t>
      </w:r>
      <w:r>
        <w:rPr>
          <w:rFonts w:ascii="Times New Roman" w:cs="Times New Roman" w:eastAsia="Times New Roman" w:hAnsi="Times New Roman"/>
          <w:sz w:val="22"/>
          <w:szCs w:val="22"/>
        </w:rPr>
        <w:t xml:space="preserve">. A rationally designed multi-target set of 25 imidazole hybrids produced a lead (IMZ-15) with an AChE IC50 of 65.4 nM, a BACE-1 IC50 of 0.52 µM, microtubule stabilisation, metal chelation and no cytotoxicity at 100 µM </w:t>
      </w:r>
      <w:r>
        <w:rPr>
          <w:rFonts w:ascii="Times New Roman" w:cs="Times New Roman" w:eastAsia="Times New Roman" w:hAnsi="Times New Roman"/>
          <w:sz w:val="22"/>
          <w:szCs w:val="22"/>
        </w:rPr>
        <w:t xml:space="preserve">[68]</w:t>
      </w:r>
      <w:r>
        <w:rPr>
          <w:rFonts w:ascii="Times New Roman" w:cs="Times New Roman" w:eastAsia="Times New Roman" w:hAnsi="Times New Roman"/>
          <w:sz w:val="22"/>
          <w:szCs w:val="22"/>
        </w:rPr>
        <w:t xml:space="preserve">. Reviews summarise multi-target imidazole leads for Alzheimer's disease and anti-inflammatory diazoles </w:t>
      </w:r>
      <w:r>
        <w:rPr>
          <w:rFonts w:ascii="Times New Roman" w:cs="Times New Roman" w:eastAsia="Times New Roman" w:hAnsi="Times New Roman"/>
          <w:sz w:val="22"/>
          <w:szCs w:val="22"/>
        </w:rPr>
        <w:t xml:space="preserve">[35,36]</w:t>
      </w:r>
      <w:r>
        <w:rPr>
          <w:rFonts w:ascii="Times New Roman" w:cs="Times New Roman" w:eastAsia="Times New Roman" w:hAnsi="Times New Roman"/>
          <w:sz w:val="22"/>
          <w:szCs w:val="22"/>
        </w:rPr>
        <w:t xml:space="preserve">. A benzimidazole QSAR study ended with a nominated lead and no assay </w:t>
      </w:r>
      <w:r>
        <w:rPr>
          <w:rFonts w:ascii="Times New Roman" w:cs="Times New Roman" w:eastAsia="Times New Roman" w:hAnsi="Times New Roman"/>
          <w:sz w:val="22"/>
          <w:szCs w:val="22"/>
        </w:rPr>
        <w:t xml:space="preserve">[78]</w:t>
      </w:r>
      <w:r>
        <w:rPr>
          <w:rFonts w:ascii="Times New Roman" w:cs="Times New Roman" w:eastAsia="Times New Roman" w:hAnsi="Times New Roman"/>
          <w:sz w:val="22"/>
          <w:szCs w:val="22"/>
        </w:rPr>
        <w:t xml:space="preserve">. In schizophrenia models, RU-31 reduced climbing behaviour in mice (ED80 10.16 mg/kg, intraperitoneal) and apomorphine-induced yawning by 49.3% </w:t>
      </w:r>
      <w:r>
        <w:rPr>
          <w:rFonts w:ascii="Times New Roman" w:cs="Times New Roman" w:eastAsia="Times New Roman" w:hAnsi="Times New Roman"/>
          <w:sz w:val="22"/>
          <w:szCs w:val="22"/>
        </w:rPr>
        <w:t xml:space="preserve">[76]</w:t>
      </w:r>
      <w:r>
        <w:rPr>
          <w:rFonts w:ascii="Times New Roman" w:cs="Times New Roman" w:eastAsia="Times New Roman" w:hAnsi="Times New Roman"/>
          <w:sz w:val="22"/>
          <w:szCs w:val="22"/>
        </w:rPr>
        <w:t xml:space="preserve">. Imidazo[2,1-b]thiazoles were evaluated as antioxidants in lipid peroxidation, ABTS and FRAP assays and docked into human peroxiredoxin 5 </w:t>
      </w:r>
      <w:r>
        <w:rPr>
          <w:rFonts w:ascii="Times New Roman" w:cs="Times New Roman" w:eastAsia="Times New Roman" w:hAnsi="Times New Roman"/>
          <w:sz w:val="22"/>
          <w:szCs w:val="22"/>
        </w:rPr>
        <w:t xml:space="preserve">[115]</w:t>
      </w:r>
      <w:r>
        <w:rPr>
          <w:rFonts w:ascii="Times New Roman" w:cs="Times New Roman" w:eastAsia="Times New Roman" w:hAnsi="Times New Roman"/>
          <w:sz w:val="22"/>
          <w:szCs w:val="22"/>
        </w:rPr>
        <w:t xml:space="preserve">. N-substituted 2-butyl-4-chloroimidazoles inhibited angiotensin-converting enzyme with an IC50 of 1.31 µM for the best compound, supported by MD, DFT and crystallographic analysis </w:t>
      </w:r>
      <w:r>
        <w:rPr>
          <w:rFonts w:ascii="Times New Roman" w:cs="Times New Roman" w:eastAsia="Times New Roman" w:hAnsi="Times New Roman"/>
          <w:sz w:val="22"/>
          <w:szCs w:val="22"/>
        </w:rPr>
        <w:t xml:space="preserve">[71]</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The SARS-CoV-2 main protease deserves a separate comment. Two recent imidazole studies describe synthesis, DFT, docking against the protease and 100 ns MD for a tetrasubstituted imidazole; both present the antiviral potential as predicted, and neither reports an antiviral assay in the abstract </w:t>
      </w:r>
      <w:r>
        <w:rPr>
          <w:rFonts w:ascii="Times New Roman" w:cs="Times New Roman" w:eastAsia="Times New Roman" w:hAnsi="Times New Roman"/>
          <w:sz w:val="22"/>
          <w:szCs w:val="22"/>
        </w:rPr>
        <w:t xml:space="preserve">[72,73]</w:t>
      </w:r>
      <w:r>
        <w:rPr>
          <w:rFonts w:ascii="Times New Roman" w:cs="Times New Roman" w:eastAsia="Times New Roman" w:hAnsi="Times New Roman"/>
          <w:sz w:val="22"/>
          <w:szCs w:val="22"/>
        </w:rPr>
        <w:t xml:space="preserve">. One of them also reports predicted neurotoxicity, respiratory toxicity and blood–brain-barrier penetration alongside favourable predictions for hepatotoxicity and mutagenicity </w:t>
      </w:r>
      <w:r>
        <w:rPr>
          <w:rFonts w:ascii="Times New Roman" w:cs="Times New Roman" w:eastAsia="Times New Roman" w:hAnsi="Times New Roman"/>
          <w:sz w:val="22"/>
          <w:szCs w:val="22"/>
        </w:rPr>
        <w:t xml:space="preserve">[73]</w:t>
      </w:r>
      <w:r>
        <w:rPr>
          <w:rFonts w:ascii="Times New Roman" w:cs="Times New Roman" w:eastAsia="Times New Roman" w:hAnsi="Times New Roman"/>
          <w:sz w:val="22"/>
          <w:szCs w:val="22"/>
        </w:rPr>
        <w:t xml:space="preserve">. Both highlight non-linear optical properties, which are of materials interest and not of therapeutic relevance. These are in silico hypotheses and are best read as such.</w:t>
      </w:r>
    </w:p>
    <w:p>
      <w:pPr>
        <w:pStyle w:val="Heading2"/>
        <w:keepNext/>
      </w:pPr>
      <w:r>
        <w:rPr>
          <w:rFonts w:ascii="Arial" w:cs="Arial" w:eastAsia="Arial" w:hAnsi="Arial"/>
        </w:rPr>
        <w:t xml:space="preserve">6.5 How potent are the leads?</w:t>
      </w:r>
    </w:p>
    <w:p>
      <w:pPr>
        <w:spacing w:after="120" w:before="0" w:line="276"/>
        <w:jc w:val="left"/>
      </w:pPr>
      <w:r>
        <w:rPr>
          <w:rFonts w:ascii="Times New Roman" w:cs="Times New Roman" w:eastAsia="Times New Roman" w:hAnsi="Times New Roman"/>
          <w:sz w:val="22"/>
          <w:szCs w:val="22"/>
        </w:rPr>
        <w:t xml:space="preserve">A selection of the best results favours the best cases, so we sorted the comparisons that the abstracts make explicit. Leads that the authors report as stronger than the reference compound in the same assay include the EGFR benzimidazole 10i </w:t>
      </w:r>
      <w:r>
        <w:rPr>
          <w:rFonts w:ascii="Times New Roman" w:cs="Times New Roman" w:eastAsia="Times New Roman" w:hAnsi="Times New Roman"/>
          <w:sz w:val="22"/>
          <w:szCs w:val="22"/>
        </w:rPr>
        <w:t xml:space="preserve">[59]</w:t>
      </w:r>
      <w:r>
        <w:rPr>
          <w:rFonts w:ascii="Times New Roman" w:cs="Times New Roman" w:eastAsia="Times New Roman" w:hAnsi="Times New Roman"/>
          <w:sz w:val="22"/>
          <w:szCs w:val="22"/>
        </w:rPr>
        <w:t xml:space="preserve">, the imidazo[1,2-a]quinoxaline JRC-6 in MCF-7 cells </w:t>
      </w:r>
      <w:r>
        <w:rPr>
          <w:rFonts w:ascii="Times New Roman" w:cs="Times New Roman" w:eastAsia="Times New Roman" w:hAnsi="Times New Roman"/>
          <w:sz w:val="22"/>
          <w:szCs w:val="22"/>
        </w:rPr>
        <w:t xml:space="preserve">[53]</w:t>
      </w:r>
      <w:r>
        <w:rPr>
          <w:rFonts w:ascii="Times New Roman" w:cs="Times New Roman" w:eastAsia="Times New Roman" w:hAnsi="Times New Roman"/>
          <w:sz w:val="22"/>
          <w:szCs w:val="22"/>
        </w:rPr>
        <w:t xml:space="preserve">, the imidazole–oxadiazole against A549 cells </w:t>
      </w: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the eugenol imidazole against </w:t>
      </w:r>
      <w:r>
        <w:rPr>
          <w:rFonts w:ascii="Times New Roman" w:cs="Times New Roman" w:eastAsia="Times New Roman" w:hAnsi="Times New Roman"/>
          <w:i/>
          <w:iCs/>
          <w:sz w:val="22"/>
          <w:szCs w:val="22"/>
        </w:rPr>
        <w:t xml:space="preserve">C. albicans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[61]</w:t>
      </w:r>
      <w:r>
        <w:rPr>
          <w:rFonts w:ascii="Times New Roman" w:cs="Times New Roman" w:eastAsia="Times New Roman" w:hAnsi="Times New Roman"/>
          <w:sz w:val="22"/>
          <w:szCs w:val="22"/>
        </w:rPr>
        <w:t xml:space="preserve">, the </w:t>
      </w:r>
      <w:r>
        <w:rPr>
          <w:rFonts w:ascii="Times New Roman" w:cs="Times New Roman" w:eastAsia="Times New Roman" w:hAnsi="Times New Roman"/>
          <w:i/>
          <w:iCs/>
          <w:sz w:val="22"/>
          <w:szCs w:val="22"/>
        </w:rPr>
        <w:t xml:space="preserve">C. glabrata</w:t>
      </w:r>
      <w:r>
        <w:rPr>
          <w:rFonts w:ascii="Times New Roman" w:cs="Times New Roman" w:eastAsia="Times New Roman" w:hAnsi="Times New Roman"/>
          <w:sz w:val="22"/>
          <w:szCs w:val="22"/>
        </w:rPr>
        <w:t xml:space="preserve"> trisubstituted imidazoles </w:t>
      </w:r>
      <w:r>
        <w:rPr>
          <w:rFonts w:ascii="Times New Roman" w:cs="Times New Roman" w:eastAsia="Times New Roman" w:hAnsi="Times New Roman"/>
          <w:sz w:val="22"/>
          <w:szCs w:val="22"/>
        </w:rPr>
        <w:t xml:space="preserve">[93]</w:t>
      </w:r>
      <w:r>
        <w:rPr>
          <w:rFonts w:ascii="Times New Roman" w:cs="Times New Roman" w:eastAsia="Times New Roman" w:hAnsi="Times New Roman"/>
          <w:sz w:val="22"/>
          <w:szCs w:val="22"/>
        </w:rPr>
        <w:t xml:space="preserve">, the benzimidazole CYP51 inhibitor 4e </w:t>
      </w:r>
      <w:r>
        <w:rPr>
          <w:rFonts w:ascii="Times New Roman" w:cs="Times New Roman" w:eastAsia="Times New Roman" w:hAnsi="Times New Roman"/>
          <w:sz w:val="22"/>
          <w:szCs w:val="22"/>
        </w:rPr>
        <w:t xml:space="preserve">[103]</w:t>
      </w:r>
      <w:r>
        <w:rPr>
          <w:rFonts w:ascii="Times New Roman" w:cs="Times New Roman" w:eastAsia="Times New Roman" w:hAnsi="Times New Roman"/>
          <w:sz w:val="22"/>
          <w:szCs w:val="22"/>
        </w:rPr>
        <w:t xml:space="preserve">, the imidazole–thiadiazole amylase inhibitors </w:t>
      </w:r>
      <w:r>
        <w:rPr>
          <w:rFonts w:ascii="Times New Roman" w:cs="Times New Roman" w:eastAsia="Times New Roman" w:hAnsi="Times New Roman"/>
          <w:sz w:val="22"/>
          <w:szCs w:val="22"/>
        </w:rPr>
        <w:t xml:space="preserve">[48]</w:t>
      </w:r>
      <w:r>
        <w:rPr>
          <w:rFonts w:ascii="Times New Roman" w:cs="Times New Roman" w:eastAsia="Times New Roman" w:hAnsi="Times New Roman"/>
          <w:sz w:val="22"/>
          <w:szCs w:val="22"/>
        </w:rPr>
        <w:t xml:space="preserve"> and the hydrazone cholinesterase inhibitor </w:t>
      </w:r>
      <w:r>
        <w:rPr>
          <w:rFonts w:ascii="Times New Roman" w:cs="Times New Roman" w:eastAsia="Times New Roman" w:hAnsi="Times New Roman"/>
          <w:sz w:val="22"/>
          <w:szCs w:val="22"/>
        </w:rPr>
        <w:t xml:space="preserve">[67]</w:t>
      </w:r>
      <w:r>
        <w:rPr>
          <w:rFonts w:ascii="Times New Roman" w:cs="Times New Roman" w:eastAsia="Times New Roman" w:hAnsi="Times New Roman"/>
          <w:sz w:val="22"/>
          <w:szCs w:val="22"/>
        </w:rPr>
        <w:t xml:space="preserve">. A slightly stronger result is the indolinone–imidazothiazole in MDA-MB-231 cells (8.35 against 11.50 µM) </w:t>
      </w:r>
      <w:r>
        <w:rPr>
          <w:rFonts w:ascii="Times New Roman" w:cs="Times New Roman" w:eastAsia="Times New Roman" w:hAnsi="Times New Roman"/>
          <w:sz w:val="22"/>
          <w:szCs w:val="22"/>
        </w:rPr>
        <w:t xml:space="preserve">[52]</w:t>
      </w:r>
      <w:r>
        <w:rPr>
          <w:rFonts w:ascii="Times New Roman" w:cs="Times New Roman" w:eastAsia="Times New Roman" w:hAnsi="Times New Roman"/>
          <w:sz w:val="22"/>
          <w:szCs w:val="22"/>
        </w:rPr>
        <w:t xml:space="preserve">, and the amylase inhibitors near acarbose are numerically a little weaker (21.5 and 18.65 µM against 18.9 and 14.21 µM) although their authors call them comparable </w:t>
      </w:r>
      <w:r>
        <w:rPr>
          <w:rFonts w:ascii="Times New Roman" w:cs="Times New Roman" w:eastAsia="Times New Roman" w:hAnsi="Times New Roman"/>
          <w:sz w:val="22"/>
          <w:szCs w:val="22"/>
        </w:rPr>
        <w:t xml:space="preserve">[66,99]</w:t>
      </w:r>
      <w:r>
        <w:rPr>
          <w:rFonts w:ascii="Times New Roman" w:cs="Times New Roman" w:eastAsia="Times New Roman" w:hAnsi="Times New Roman"/>
          <w:sz w:val="22"/>
          <w:szCs w:val="22"/>
        </w:rPr>
        <w:t xml:space="preserve">. Leads that are weaker than the reference include the imidazothiazole–thiazolidinone against EGFR (18.35 against 6.12 µM) </w:t>
      </w:r>
      <w:r>
        <w:rPr>
          <w:rFonts w:ascii="Times New Roman" w:cs="Times New Roman" w:eastAsia="Times New Roman" w:hAnsi="Times New Roman"/>
          <w:sz w:val="22"/>
          <w:szCs w:val="22"/>
        </w:rPr>
        <w:t xml:space="preserve">[100]</w:t>
      </w:r>
      <w:r>
        <w:rPr>
          <w:rFonts w:ascii="Times New Roman" w:cs="Times New Roman" w:eastAsia="Times New Roman" w:hAnsi="Times New Roman"/>
          <w:sz w:val="22"/>
          <w:szCs w:val="22"/>
        </w:rPr>
        <w:t xml:space="preserve">, the benzimidazole–pyridine–sulfonate against CYP51 (4.2 against 0.6 µM) </w:t>
      </w:r>
      <w:r>
        <w:rPr>
          <w:rFonts w:ascii="Times New Roman" w:cs="Times New Roman" w:eastAsia="Times New Roman" w:hAnsi="Times New Roman"/>
          <w:sz w:val="22"/>
          <w:szCs w:val="22"/>
        </w:rPr>
        <w:t xml:space="preserve">[97]</w:t>
      </w:r>
      <w:r>
        <w:rPr>
          <w:rFonts w:ascii="Times New Roman" w:cs="Times New Roman" w:eastAsia="Times New Roman" w:hAnsi="Times New Roman"/>
          <w:sz w:val="22"/>
          <w:szCs w:val="22"/>
        </w:rPr>
        <w:t xml:space="preserve">, the benzimidazole–triazole against EGFR (0.086 against 0.052 µM) </w:t>
      </w: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the arXiv-deposited pyrazolines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and the quinoline–imidazoles </w:t>
      </w:r>
      <w:r>
        <w:rPr>
          <w:rFonts w:ascii="Times New Roman" w:cs="Times New Roman" w:eastAsia="Times New Roman" w:hAnsi="Times New Roman"/>
          <w:sz w:val="22"/>
          <w:szCs w:val="22"/>
        </w:rPr>
        <w:t xml:space="preserve">[114]</w:t>
      </w:r>
      <w:r>
        <w:rPr>
          <w:rFonts w:ascii="Times New Roman" w:cs="Times New Roman" w:eastAsia="Times New Roman" w:hAnsi="Times New Roman"/>
          <w:sz w:val="22"/>
          <w:szCs w:val="22"/>
        </w:rPr>
        <w:t xml:space="preserve">. Some authors say so directly </w:t>
      </w:r>
      <w:r>
        <w:rPr>
          <w:rFonts w:ascii="Times New Roman" w:cs="Times New Roman" w:eastAsia="Times New Roman" w:hAnsi="Times New Roman"/>
          <w:sz w:val="22"/>
          <w:szCs w:val="22"/>
        </w:rPr>
        <w:t xml:space="preserve">[18,100,114]</w:t>
      </w:r>
      <w:r>
        <w:rPr>
          <w:rFonts w:ascii="Times New Roman" w:cs="Times New Roman" w:eastAsia="Times New Roman" w:hAnsi="Times New Roman"/>
          <w:sz w:val="22"/>
          <w:szCs w:val="22"/>
        </w:rPr>
        <w:t xml:space="preserve">. Others report modest values, such as MIC values of 0.14 to 0.59 mM or cytotoxicity IC50 values of 33.52 to 35.81 µM, and still describe the series as promising </w:t>
      </w:r>
      <w:r>
        <w:rPr>
          <w:rFonts w:ascii="Times New Roman" w:cs="Times New Roman" w:eastAsia="Times New Roman" w:hAnsi="Times New Roman"/>
          <w:sz w:val="22"/>
          <w:szCs w:val="22"/>
        </w:rPr>
        <w:t xml:space="preserve">[41,101]</w:t>
      </w:r>
      <w:r>
        <w:rPr>
          <w:rFonts w:ascii="Times New Roman" w:cs="Times New Roman" w:eastAsia="Times New Roman" w:hAnsi="Times New Roman"/>
          <w:sz w:val="22"/>
          <w:szCs w:val="22"/>
        </w:rPr>
        <w:t xml:space="preserve">; values in this range are modest by lead-optimisation standards, and the framing of such series would be more informative if it said so.</w:t>
      </w:r>
    </w:p>
    <w:p>
      <w:pPr>
        <w:spacing w:after="120" w:before="0" w:line="276"/>
        <w:jc w:val="left"/>
      </w:pPr>
      <w:r>
        <w:rPr>
          <w:rFonts w:ascii="Times New Roman" w:cs="Times New Roman" w:eastAsia="Times New Roman" w:hAnsi="Times New Roman"/>
          <w:sz w:val="22"/>
          <w:szCs w:val="22"/>
        </w:rPr>
        <w:t xml:space="preserve">Two cautions apply to every comparison above. First, the reference compounds themselves do not give the same value from paper to paper. Acarbose gave α-amylase IC50 values of 14.21, 14.8 and 18.9 µM in three studies </w:t>
      </w:r>
      <w:r>
        <w:rPr>
          <w:rFonts w:ascii="Times New Roman" w:cs="Times New Roman" w:eastAsia="Times New Roman" w:hAnsi="Times New Roman"/>
          <w:sz w:val="22"/>
          <w:szCs w:val="22"/>
        </w:rPr>
        <w:t xml:space="preserve">[48,66,99]</w:t>
      </w:r>
      <w:r>
        <w:rPr>
          <w:rFonts w:ascii="Times New Roman" w:cs="Times New Roman" w:eastAsia="Times New Roman" w:hAnsi="Times New Roman"/>
          <w:sz w:val="22"/>
          <w:szCs w:val="22"/>
        </w:rPr>
        <w:t xml:space="preserve">. Donepezil gave an AChE IC50 of 7.30 µM in one paper and 39.2 µM in another, and a BChE IC50 of 7.50 against 44.2 µM </w:t>
      </w:r>
      <w:r>
        <w:rPr>
          <w:rFonts w:ascii="Times New Roman" w:cs="Times New Roman" w:eastAsia="Times New Roman" w:hAnsi="Times New Roman"/>
          <w:sz w:val="22"/>
          <w:szCs w:val="22"/>
        </w:rPr>
        <w:t xml:space="preserve">[48,67]</w:t>
      </w:r>
      <w:r>
        <w:rPr>
          <w:rFonts w:ascii="Times New Roman" w:cs="Times New Roman" w:eastAsia="Times New Roman" w:hAnsi="Times New Roman"/>
          <w:sz w:val="22"/>
          <w:szCs w:val="22"/>
        </w:rPr>
        <w:t xml:space="preserve">, a spread of five to six times. Fluconazole's CYP51 IC50 was reported in µg/mL in one paper and in µM in another </w:t>
      </w:r>
      <w:r>
        <w:rPr>
          <w:rFonts w:ascii="Times New Roman" w:cs="Times New Roman" w:eastAsia="Times New Roman" w:hAnsi="Times New Roman"/>
          <w:sz w:val="22"/>
          <w:szCs w:val="22"/>
        </w:rPr>
        <w:t xml:space="preserve">[97,103]</w:t>
      </w:r>
      <w:r>
        <w:rPr>
          <w:rFonts w:ascii="Times New Roman" w:cs="Times New Roman" w:eastAsia="Times New Roman" w:hAnsi="Times New Roman"/>
          <w:sz w:val="22"/>
          <w:szCs w:val="22"/>
        </w:rPr>
        <w:t xml:space="preserve">. Erlotinib is the sharpest example. If "3.09-fold" and "13.29-fold" in one abstract denote ratios of IC50 values, the erlotinib values implied are roughly 13 nM and 76 nM </w:t>
      </w:r>
      <w:r>
        <w:rPr>
          <w:rFonts w:ascii="Times New Roman" w:cs="Times New Roman" w:eastAsia="Times New Roman" w:hAnsi="Times New Roman"/>
          <w:sz w:val="22"/>
          <w:szCs w:val="22"/>
        </w:rPr>
        <w:t xml:space="preserve">[59]</w:t>
      </w:r>
      <w:r>
        <w:rPr>
          <w:rFonts w:ascii="Times New Roman" w:cs="Times New Roman" w:eastAsia="Times New Roman" w:hAnsi="Times New Roman"/>
          <w:sz w:val="22"/>
          <w:szCs w:val="22"/>
        </w:rPr>
        <w:t xml:space="preserve">, while another paper reports 6.12 µM for erlotinib against EGFR kinase </w:t>
      </w:r>
      <w:r>
        <w:rPr>
          <w:rFonts w:ascii="Times New Roman" w:cs="Times New Roman" w:eastAsia="Times New Roman" w:hAnsi="Times New Roman"/>
          <w:sz w:val="22"/>
          <w:szCs w:val="22"/>
        </w:rPr>
        <w:t xml:space="preserve">[100]</w:t>
      </w:r>
      <w:r>
        <w:rPr>
          <w:rFonts w:ascii="Times New Roman" w:cs="Times New Roman" w:eastAsia="Times New Roman" w:hAnsi="Times New Roman"/>
          <w:sz w:val="22"/>
          <w:szCs w:val="22"/>
        </w:rPr>
        <w:t xml:space="preserve">, a difference of roughly 80 to 450 times, which probably reflects different assay formats. Units compound the problem: antifungal potencies are reported in µM </w:t>
      </w:r>
      <w:r>
        <w:rPr>
          <w:rFonts w:ascii="Times New Roman" w:cs="Times New Roman" w:eastAsia="Times New Roman" w:hAnsi="Times New Roman"/>
          <w:sz w:val="22"/>
          <w:szCs w:val="22"/>
        </w:rPr>
        <w:t xml:space="preserve">[61]</w:t>
      </w:r>
      <w:r>
        <w:rPr>
          <w:rFonts w:ascii="Times New Roman" w:cs="Times New Roman" w:eastAsia="Times New Roman" w:hAnsi="Times New Roman"/>
          <w:sz w:val="22"/>
          <w:szCs w:val="22"/>
        </w:rPr>
        <w:t xml:space="preserve">, µg/mL </w:t>
      </w:r>
      <w:r>
        <w:rPr>
          <w:rFonts w:ascii="Times New Roman" w:cs="Times New Roman" w:eastAsia="Times New Roman" w:hAnsi="Times New Roman"/>
          <w:sz w:val="22"/>
          <w:szCs w:val="22"/>
        </w:rPr>
        <w:t xml:space="preserve">[93]</w:t>
      </w:r>
      <w:r>
        <w:rPr>
          <w:rFonts w:ascii="Times New Roman" w:cs="Times New Roman" w:eastAsia="Times New Roman" w:hAnsi="Times New Roman"/>
          <w:sz w:val="22"/>
          <w:szCs w:val="22"/>
        </w:rPr>
        <w:t xml:space="preserve">, mM </w:t>
      </w:r>
      <w:r>
        <w:rPr>
          <w:rFonts w:ascii="Times New Roman" w:cs="Times New Roman" w:eastAsia="Times New Roman" w:hAnsi="Times New Roman"/>
          <w:sz w:val="22"/>
          <w:szCs w:val="22"/>
        </w:rPr>
        <w:t xml:space="preserve">[101]</w:t>
      </w:r>
      <w:r>
        <w:rPr>
          <w:rFonts w:ascii="Times New Roman" w:cs="Times New Roman" w:eastAsia="Times New Roman" w:hAnsi="Times New Roman"/>
          <w:sz w:val="22"/>
          <w:szCs w:val="22"/>
        </w:rPr>
        <w:t xml:space="preserve"> and even mg/mL </w:t>
      </w:r>
      <w:r>
        <w:rPr>
          <w:rFonts w:ascii="Times New Roman" w:cs="Times New Roman" w:eastAsia="Times New Roman" w:hAnsi="Times New Roman"/>
          <w:sz w:val="22"/>
          <w:szCs w:val="22"/>
        </w:rPr>
        <w:t xml:space="preserve">[62]</w:t>
      </w:r>
      <w:r>
        <w:rPr>
          <w:rFonts w:ascii="Times New Roman" w:cs="Times New Roman" w:eastAsia="Times New Roman" w:hAnsi="Times New Roman"/>
          <w:sz w:val="22"/>
          <w:szCs w:val="22"/>
        </w:rPr>
        <w:t xml:space="preserve">, and enzyme IC50 values in µM or µg/mL </w:t>
      </w:r>
      <w:r>
        <w:rPr>
          <w:rFonts w:ascii="Times New Roman" w:cs="Times New Roman" w:eastAsia="Times New Roman" w:hAnsi="Times New Roman"/>
          <w:sz w:val="22"/>
          <w:szCs w:val="22"/>
        </w:rPr>
        <w:t xml:space="preserve">[48,56]</w:t>
      </w:r>
      <w:r>
        <w:rPr>
          <w:rFonts w:ascii="Times New Roman" w:cs="Times New Roman" w:eastAsia="Times New Roman" w:hAnsi="Times New Roman"/>
          <w:sz w:val="22"/>
          <w:szCs w:val="22"/>
        </w:rPr>
        <w:t xml:space="preserve">, so a conversion by molecular weight is needed before two papers can even be placed on one axis. Cross-paper comparison of potencies is therefore unsafe, and only the within-paper comparison with a reference is informative. Second, the enzyme result and the cell result can point in different directions, as in the EGFR and CYP51 examples above </w:t>
      </w:r>
      <w:r>
        <w:rPr>
          <w:rFonts w:ascii="Times New Roman" w:cs="Times New Roman" w:eastAsia="Times New Roman" w:hAnsi="Times New Roman"/>
          <w:sz w:val="22"/>
          <w:szCs w:val="22"/>
        </w:rPr>
        <w:t xml:space="preserve">[58,97]</w:t>
      </w:r>
      <w:r>
        <w:rPr>
          <w:rFonts w:ascii="Times New Roman" w:cs="Times New Roman" w:eastAsia="Times New Roman" w:hAnsi="Times New Roman"/>
          <w:sz w:val="22"/>
          <w:szCs w:val="22"/>
        </w:rPr>
        <w:t xml:space="preserve">. Individual series can beat a reference drug, often by a wide margin, but the proportion that do is not known from this sample, and a substantial share are weaker than the standard they are compared with.</w:t>
      </w:r>
    </w:p>
    <w:p>
      <w:pPr>
        <w:pStyle w:val="Heading1"/>
        <w:keepNext/>
      </w:pPr>
      <w:r>
        <w:rPr>
          <w:rFonts w:ascii="Arial" w:cs="Arial" w:eastAsia="Arial" w:hAnsi="Arial"/>
        </w:rPr>
        <w:t xml:space="preserve">7. The in silico toolkit and how far it can be trusted</w:t>
      </w:r>
    </w:p>
    <w:p>
      <w:pPr>
        <w:spacing w:after="120" w:before="0" w:line="276"/>
        <w:jc w:val="left"/>
      </w:pPr>
      <w:r>
        <w:rPr>
          <w:rFonts w:ascii="Times New Roman" w:cs="Times New Roman" w:eastAsia="Times New Roman" w:hAnsi="Times New Roman"/>
          <w:sz w:val="22"/>
          <w:szCs w:val="22"/>
        </w:rPr>
        <w:t xml:space="preserve">Almost every recent primary study in the retrieved set combines several computational steps: a target and library selection, docking, MD with or without an end-point free-energy calculation, DFT, ADMET prediction and sometimes QSAR. General reviews of computer-aided drug design, molecular modelling and MD cover the methods in depth </w:t>
      </w:r>
      <w:r>
        <w:rPr>
          <w:rFonts w:ascii="Times New Roman" w:cs="Times New Roman" w:eastAsia="Times New Roman" w:hAnsi="Times New Roman"/>
          <w:sz w:val="22"/>
          <w:szCs w:val="22"/>
        </w:rPr>
        <w:t xml:space="preserve">[116–119]</w:t>
      </w:r>
      <w:r>
        <w:rPr>
          <w:rFonts w:ascii="Times New Roman" w:cs="Times New Roman" w:eastAsia="Times New Roman" w:hAnsi="Times New Roman"/>
          <w:sz w:val="22"/>
          <w:szCs w:val="22"/>
        </w:rPr>
        <w:t xml:space="preserve">. This section describes how each step is typically used for imidazole-derived molecules and what independent evidence says about its reliability. Much of that evidence comes from benchmarks on other chemotypes and targets. It transfers to imidazoles by analogy and has not been tested on imidazole-specific sets, a limitation we return to in Section 11.</w:t>
      </w:r>
    </w:p>
    <w:p>
      <w:pPr>
        <w:pStyle w:val="Heading2"/>
        <w:keepNext/>
      </w:pPr>
      <w:r>
        <w:rPr>
          <w:rFonts w:ascii="Arial" w:cs="Arial" w:eastAsia="Arial" w:hAnsi="Arial"/>
        </w:rPr>
        <w:t xml:space="preserve">7.1 Molecular docking</w:t>
      </w:r>
    </w:p>
    <w:p>
      <w:pPr>
        <w:spacing w:after="120" w:before="0" w:line="276"/>
        <w:jc w:val="left"/>
      </w:pPr>
      <w:r>
        <w:rPr>
          <w:rFonts w:ascii="Times New Roman" w:cs="Times New Roman" w:eastAsia="Times New Roman" w:hAnsi="Times New Roman"/>
          <w:i/>
          <w:iCs/>
          <w:sz w:val="22"/>
          <w:szCs w:val="22"/>
        </w:rPr>
        <w:t xml:space="preserve">Practice.</w:t>
      </w:r>
      <w:r>
        <w:rPr>
          <w:rFonts w:ascii="Times New Roman" w:cs="Times New Roman" w:eastAsia="Times New Roman" w:hAnsi="Times New Roman"/>
          <w:sz w:val="22"/>
          <w:szCs w:val="22"/>
        </w:rPr>
        <w:t xml:space="preserve"> Docking is used to prioritise compounds before synthesis or to rationalise activity afterwards, and 51 of the 56 abstracts we screened mention it. The same targets and structures recur: EGFR kinase entries 6LUD and 6V5N </w:t>
      </w:r>
      <w:r>
        <w:rPr>
          <w:rFonts w:ascii="Times New Roman" w:cs="Times New Roman" w:eastAsia="Times New Roman" w:hAnsi="Times New Roman"/>
          <w:sz w:val="22"/>
          <w:szCs w:val="22"/>
        </w:rPr>
        <w:t xml:space="preserve">[40,96]</w:t>
      </w:r>
      <w:r>
        <w:rPr>
          <w:rFonts w:ascii="Times New Roman" w:cs="Times New Roman" w:eastAsia="Times New Roman" w:hAnsi="Times New Roman"/>
          <w:sz w:val="22"/>
          <w:szCs w:val="22"/>
        </w:rPr>
        <w:t xml:space="preserve">, VEGFR-2 entries 4AGD and 4ASD </w:t>
      </w:r>
      <w:r>
        <w:rPr>
          <w:rFonts w:ascii="Times New Roman" w:cs="Times New Roman" w:eastAsia="Times New Roman" w:hAnsi="Times New Roman"/>
          <w:sz w:val="22"/>
          <w:szCs w:val="22"/>
        </w:rPr>
        <w:t xml:space="preserve">[46,52]</w:t>
      </w:r>
      <w:r>
        <w:rPr>
          <w:rFonts w:ascii="Times New Roman" w:cs="Times New Roman" w:eastAsia="Times New Roman" w:hAnsi="Times New Roman"/>
          <w:sz w:val="22"/>
          <w:szCs w:val="22"/>
        </w:rPr>
        <w:t xml:space="preserve">, fungal CYP51 entries 5V5Z and 5TZ1 </w:t>
      </w:r>
      <w:r>
        <w:rPr>
          <w:rFonts w:ascii="Times New Roman" w:cs="Times New Roman" w:eastAsia="Times New Roman" w:hAnsi="Times New Roman"/>
          <w:sz w:val="22"/>
          <w:szCs w:val="22"/>
        </w:rPr>
        <w:t xml:space="preserve">[51,105]</w:t>
      </w:r>
      <w:r>
        <w:rPr>
          <w:rFonts w:ascii="Times New Roman" w:cs="Times New Roman" w:eastAsia="Times New Roman" w:hAnsi="Times New Roman"/>
          <w:sz w:val="22"/>
          <w:szCs w:val="22"/>
        </w:rPr>
        <w:t xml:space="preserve">, glucosamine-6-phosphate synthase entries 2VF5 and 1MOQ </w:t>
      </w:r>
      <w:r>
        <w:rPr>
          <w:rFonts w:ascii="Times New Roman" w:cs="Times New Roman" w:eastAsia="Times New Roman" w:hAnsi="Times New Roman"/>
          <w:sz w:val="22"/>
          <w:szCs w:val="22"/>
        </w:rPr>
        <w:t xml:space="preserve">[92,120]</w:t>
      </w:r>
      <w:r>
        <w:rPr>
          <w:rFonts w:ascii="Times New Roman" w:cs="Times New Roman" w:eastAsia="Times New Roman" w:hAnsi="Times New Roman"/>
          <w:sz w:val="22"/>
          <w:szCs w:val="22"/>
        </w:rPr>
        <w:t xml:space="preserve">, E. coli FabH 1HNJ </w:t>
      </w:r>
      <w:r>
        <w:rPr>
          <w:rFonts w:ascii="Times New Roman" w:cs="Times New Roman" w:eastAsia="Times New Roman" w:hAnsi="Times New Roman"/>
          <w:sz w:val="22"/>
          <w:szCs w:val="22"/>
        </w:rPr>
        <w:t xml:space="preserve">[65]</w:t>
      </w:r>
      <w:r>
        <w:rPr>
          <w:rFonts w:ascii="Times New Roman" w:cs="Times New Roman" w:eastAsia="Times New Roman" w:hAnsi="Times New Roman"/>
          <w:sz w:val="22"/>
          <w:szCs w:val="22"/>
        </w:rPr>
        <w:t xml:space="preserve">, aldose reductase 4JIR </w:t>
      </w:r>
      <w:r>
        <w:rPr>
          <w:rFonts w:ascii="Times New Roman" w:cs="Times New Roman" w:eastAsia="Times New Roman" w:hAnsi="Times New Roman"/>
          <w:sz w:val="22"/>
          <w:szCs w:val="22"/>
        </w:rPr>
        <w:t xml:space="preserve">[55]</w:t>
      </w:r>
      <w:r>
        <w:rPr>
          <w:rFonts w:ascii="Times New Roman" w:cs="Times New Roman" w:eastAsia="Times New Roman" w:hAnsi="Times New Roman"/>
          <w:sz w:val="22"/>
          <w:szCs w:val="22"/>
        </w:rPr>
        <w:t xml:space="preserve"> and the SARS-CoV-2 main protease entries 6WCF, 6Y84 and 6LU7 </w:t>
      </w:r>
      <w:r>
        <w:rPr>
          <w:rFonts w:ascii="Times New Roman" w:cs="Times New Roman" w:eastAsia="Times New Roman" w:hAnsi="Times New Roman"/>
          <w:sz w:val="22"/>
          <w:szCs w:val="22"/>
        </w:rPr>
        <w:t xml:space="preserve">[72,73]</w:t>
      </w:r>
      <w:r>
        <w:rPr>
          <w:rFonts w:ascii="Times New Roman" w:cs="Times New Roman" w:eastAsia="Times New Roman" w:hAnsi="Times New Roman"/>
          <w:sz w:val="22"/>
          <w:szCs w:val="22"/>
        </w:rPr>
        <w:t xml:space="preserve">. Programs named in the abstracts include AutoDock Vina, Schrödinger Glide (including its XP mode) and MolDock scoring </w:t>
      </w:r>
      <w:r>
        <w:rPr>
          <w:rFonts w:ascii="Times New Roman" w:cs="Times New Roman" w:eastAsia="Times New Roman" w:hAnsi="Times New Roman"/>
          <w:sz w:val="22"/>
          <w:szCs w:val="22"/>
        </w:rPr>
        <w:t xml:space="preserve">[51,92,94,120]</w:t>
      </w:r>
      <w:r>
        <w:rPr>
          <w:rFonts w:ascii="Times New Roman" w:cs="Times New Roman" w:eastAsia="Times New Roman" w:hAnsi="Times New Roman"/>
          <w:sz w:val="22"/>
          <w:szCs w:val="22"/>
        </w:rPr>
        <w:t xml:space="preserve">. Redocking of a co-crystallised ligand is the usual check on a protocol, and one recent study reports an RMSD of 1.12 Å with osimertinib in EGFR </w:t>
      </w: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It is the only one of the 56 abstracts that gives a redocking RMSD, although several state that the docked pose resembles that of a co-crystallised ligand </w:t>
      </w:r>
      <w:r>
        <w:rPr>
          <w:rFonts w:ascii="Times New Roman" w:cs="Times New Roman" w:eastAsia="Times New Roman" w:hAnsi="Times New Roman"/>
          <w:sz w:val="22"/>
          <w:szCs w:val="22"/>
        </w:rPr>
        <w:t xml:space="preserve">[45,52,103]</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Reported scores are not comparable across papers. Values quoted in the abstracts range from about −5.5 kcal/mol for imidazo-isoxazoles </w:t>
      </w:r>
      <w:r>
        <w:rPr>
          <w:rFonts w:ascii="Times New Roman" w:cs="Times New Roman" w:eastAsia="Times New Roman" w:hAnsi="Times New Roman"/>
          <w:sz w:val="22"/>
          <w:szCs w:val="22"/>
        </w:rPr>
        <w:t xml:space="preserve">[49]</w:t>
      </w:r>
      <w:r>
        <w:rPr>
          <w:rFonts w:ascii="Times New Roman" w:cs="Times New Roman" w:eastAsia="Times New Roman" w:hAnsi="Times New Roman"/>
          <w:sz w:val="22"/>
          <w:szCs w:val="22"/>
        </w:rPr>
        <w:t xml:space="preserve"> through −7.2 to −8.8 </w:t>
      </w:r>
      <w:r>
        <w:rPr>
          <w:rFonts w:ascii="Times New Roman" w:cs="Times New Roman" w:eastAsia="Times New Roman" w:hAnsi="Times New Roman"/>
          <w:sz w:val="22"/>
          <w:szCs w:val="22"/>
        </w:rPr>
        <w:t xml:space="preserve">[66]</w:t>
      </w:r>
      <w:r>
        <w:rPr>
          <w:rFonts w:ascii="Times New Roman" w:cs="Times New Roman" w:eastAsia="Times New Roman" w:hAnsi="Times New Roman"/>
          <w:sz w:val="22"/>
          <w:szCs w:val="22"/>
        </w:rPr>
        <w:t xml:space="preserve">, −9.4 </w:t>
      </w: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−9.7 </w:t>
      </w:r>
      <w:r>
        <w:rPr>
          <w:rFonts w:ascii="Times New Roman" w:cs="Times New Roman" w:eastAsia="Times New Roman" w:hAnsi="Times New Roman"/>
          <w:sz w:val="22"/>
          <w:szCs w:val="22"/>
        </w:rPr>
        <w:t xml:space="preserve">[73]</w:t>
      </w:r>
      <w:r>
        <w:rPr>
          <w:rFonts w:ascii="Times New Roman" w:cs="Times New Roman" w:eastAsia="Times New Roman" w:hAnsi="Times New Roman"/>
          <w:sz w:val="22"/>
          <w:szCs w:val="22"/>
        </w:rPr>
        <w:t xml:space="preserve"> and −10 to −11.1 </w:t>
      </w:r>
      <w:r>
        <w:rPr>
          <w:rFonts w:ascii="Times New Roman" w:cs="Times New Roman" w:eastAsia="Times New Roman" w:hAnsi="Times New Roman"/>
          <w:sz w:val="22"/>
          <w:szCs w:val="22"/>
        </w:rPr>
        <w:t xml:space="preserve">[114]</w:t>
      </w:r>
      <w:r>
        <w:rPr>
          <w:rFonts w:ascii="Times New Roman" w:cs="Times New Roman" w:eastAsia="Times New Roman" w:hAnsi="Times New Roman"/>
          <w:sz w:val="22"/>
          <w:szCs w:val="22"/>
        </w:rPr>
        <w:t xml:space="preserve">, to −52.13 and −38.63 kcal/mol for imidazolones in two other targets </w:t>
      </w:r>
      <w:r>
        <w:rPr>
          <w:rFonts w:ascii="Times New Roman" w:cs="Times New Roman" w:eastAsia="Times New Roman" w:hAnsi="Times New Roman"/>
          <w:sz w:val="22"/>
          <w:szCs w:val="22"/>
        </w:rPr>
        <w:t xml:space="preserve">[95]</w:t>
      </w:r>
      <w:r>
        <w:rPr>
          <w:rFonts w:ascii="Times New Roman" w:cs="Times New Roman" w:eastAsia="Times New Roman" w:hAnsi="Times New Roman"/>
          <w:sz w:val="22"/>
          <w:szCs w:val="22"/>
        </w:rPr>
        <w:t xml:space="preserve">. These numbers come from different programs and scoring functions that may report different quantities, so a score has meaning only within one protocol.</w:t>
      </w:r>
    </w:p>
    <w:p>
      <w:pPr>
        <w:spacing w:after="120" w:before="0" w:line="276"/>
        <w:jc w:val="left"/>
      </w:pPr>
      <w:r>
        <w:rPr>
          <w:rFonts w:ascii="Times New Roman" w:cs="Times New Roman" w:eastAsia="Times New Roman" w:hAnsi="Times New Roman"/>
          <w:i/>
          <w:iCs/>
          <w:sz w:val="22"/>
          <w:szCs w:val="22"/>
        </w:rPr>
        <w:t xml:space="preserve">Evidence on reliability.</w:t>
      </w:r>
      <w:r>
        <w:rPr>
          <w:rFonts w:ascii="Times New Roman" w:cs="Times New Roman" w:eastAsia="Times New Roman" w:hAnsi="Times New Roman"/>
          <w:sz w:val="22"/>
          <w:szCs w:val="22"/>
        </w:rPr>
        <w:t xml:space="preserve"> Reviews agree that pose prediction is satisfactory but binding-affinity prediction is still difficult for scoring functions of every type, whether physics-based, empirical, knowledge-based or machine-learning-based </w:t>
      </w:r>
      <w:r>
        <w:rPr>
          <w:rFonts w:ascii="Times New Roman" w:cs="Times New Roman" w:eastAsia="Times New Roman" w:hAnsi="Times New Roman"/>
          <w:sz w:val="22"/>
          <w:szCs w:val="22"/>
        </w:rPr>
        <w:t xml:space="preserve">[14,15]</w:t>
      </w:r>
      <w:r>
        <w:rPr>
          <w:rFonts w:ascii="Times New Roman" w:cs="Times New Roman" w:eastAsia="Times New Roman" w:hAnsi="Times New Roman"/>
          <w:sz w:val="22"/>
          <w:szCs w:val="22"/>
        </w:rPr>
        <w:t xml:space="preserve">. Several benchmarks make the point concrete:</w:t>
      </w:r>
    </w:p>
    <w:p>
      <w:pPr>
        <w:pStyle w:val="ListParagraph"/>
        <w:numPr>
          <w:ilvl w:val="0"/>
          <w:numId w:val="2"/>
        </w:numPr>
        <w:spacing w:after="70" w:line="270"/>
      </w:pPr>
      <w:r>
        <w:rPr>
          <w:rFonts w:ascii="Times New Roman" w:cs="Times New Roman" w:eastAsia="Times New Roman" w:hAnsi="Times New Roman"/>
          <w:sz w:val="22"/>
          <w:szCs w:val="22"/>
        </w:rPr>
        <w:t xml:space="preserve">On LIT-PCBA, which covers about three million data points for 15 targets, rescoring docking poses with simple interaction fingerprints or graphs outperformed several machine-learning and deep-learning scoring functions in most cases, and deep-learning models predicted affinities within a narrow range centred on the training mean </w:t>
      </w:r>
      <w:r>
        <w:rPr>
          <w:rFonts w:ascii="Times New Roman" w:cs="Times New Roman" w:eastAsia="Times New Roman" w:hAnsi="Times New Roman"/>
          <w:sz w:val="22"/>
          <w:szCs w:val="22"/>
        </w:rPr>
        <w:t xml:space="preserve">[121]</w:t>
      </w:r>
      <w:r>
        <w:rPr>
          <w:rFonts w:ascii="Times New Roman" w:cs="Times New Roman" w:eastAsia="Times New Roman" w:hAnsi="Times New Roman"/>
          <w:sz w:val="22"/>
          <w:szCs w:val="22"/>
        </w:rPr>
        <w:t xml:space="preserve">.</w:t>
      </w:r>
    </w:p>
    <w:p>
      <w:pPr>
        <w:pStyle w:val="ListParagraph"/>
        <w:numPr>
          <w:ilvl w:val="0"/>
          <w:numId w:val="2"/>
        </w:numPr>
        <w:spacing w:after="70" w:line="270"/>
      </w:pPr>
      <w:r>
        <w:rPr>
          <w:rFonts w:ascii="Times New Roman" w:cs="Times New Roman" w:eastAsia="Times New Roman" w:hAnsi="Times New Roman"/>
          <w:sz w:val="22"/>
          <w:szCs w:val="22"/>
        </w:rPr>
        <w:t xml:space="preserve">On 70 kinase–7-azaindole complexes, success rates (RMSD below 2 Å) varied by program. GNINA 1.0 reached 85.29% under rigid docking, DOCK 6 79.71% (falling to 61.19% with flexible receptors), AutoDock Vina 62.69% and 60.66%, and AutoDock4 under 50%. Accuracy also varied with inhibitor class </w:t>
      </w:r>
      <w:r>
        <w:rPr>
          <w:rFonts w:ascii="Times New Roman" w:cs="Times New Roman" w:eastAsia="Times New Roman" w:hAnsi="Times New Roman"/>
          <w:sz w:val="22"/>
          <w:szCs w:val="22"/>
        </w:rPr>
        <w:t xml:space="preserve">[122]</w:t>
      </w:r>
      <w:r>
        <w:rPr>
          <w:rFonts w:ascii="Times New Roman" w:cs="Times New Roman" w:eastAsia="Times New Roman" w:hAnsi="Times New Roman"/>
          <w:sz w:val="22"/>
          <w:szCs w:val="22"/>
        </w:rPr>
        <w:t xml:space="preserve">.</w:t>
      </w:r>
    </w:p>
    <w:p>
      <w:pPr>
        <w:pStyle w:val="ListParagraph"/>
        <w:numPr>
          <w:ilvl w:val="0"/>
          <w:numId w:val="2"/>
        </w:numPr>
        <w:spacing w:after="70" w:line="270"/>
      </w:pPr>
      <w:r>
        <w:rPr>
          <w:rFonts w:ascii="Times New Roman" w:cs="Times New Roman" w:eastAsia="Times New Roman" w:hAnsi="Times New Roman"/>
          <w:sz w:val="22"/>
          <w:szCs w:val="22"/>
        </w:rPr>
        <w:t xml:space="preserve">No single program is preferable overall, which motivates consensus docking, in which the ranks or scores of each molecule from several programs are averaged </w:t>
      </w:r>
      <w:r>
        <w:rPr>
          <w:rFonts w:ascii="Times New Roman" w:cs="Times New Roman" w:eastAsia="Times New Roman" w:hAnsi="Times New Roman"/>
          <w:sz w:val="22"/>
          <w:szCs w:val="22"/>
        </w:rPr>
        <w:t xml:space="preserve">[123]</w:t>
      </w:r>
      <w:r>
        <w:rPr>
          <w:rFonts w:ascii="Times New Roman" w:cs="Times New Roman" w:eastAsia="Times New Roman" w:hAnsi="Times New Roman"/>
          <w:sz w:val="22"/>
          <w:szCs w:val="22"/>
        </w:rPr>
        <w:t xml:space="preserve">. In a protocol comparison on urease, MM-GBSA rescoring and ensemble docking ranked compounds best, although MM-GBSA showed larger errors in absolute energies, and increasing the number of poses generally reduced predictive accuracy </w:t>
      </w:r>
      <w:r>
        <w:rPr>
          <w:rFonts w:ascii="Times New Roman" w:cs="Times New Roman" w:eastAsia="Times New Roman" w:hAnsi="Times New Roman"/>
          <w:sz w:val="22"/>
          <w:szCs w:val="22"/>
        </w:rPr>
        <w:t xml:space="preserve">[124]</w:t>
      </w:r>
      <w:r>
        <w:rPr>
          <w:rFonts w:ascii="Times New Roman" w:cs="Times New Roman" w:eastAsia="Times New Roman" w:hAnsi="Times New Roman"/>
          <w:sz w:val="22"/>
          <w:szCs w:val="22"/>
        </w:rPr>
        <w:t xml:space="preserve">.</w:t>
      </w:r>
    </w:p>
    <w:p>
      <w:pPr>
        <w:pStyle w:val="ListParagraph"/>
        <w:numPr>
          <w:ilvl w:val="0"/>
          <w:numId w:val="2"/>
        </w:numPr>
        <w:spacing w:after="70" w:line="270"/>
      </w:pPr>
      <w:r>
        <w:rPr>
          <w:rFonts w:ascii="Times New Roman" w:cs="Times New Roman" w:eastAsia="Times New Roman" w:hAnsi="Times New Roman"/>
          <w:sz w:val="22"/>
          <w:szCs w:val="22"/>
        </w:rPr>
        <w:t xml:space="preserve">Analysis of three large docking campaigns, in which 2,682 ligands had been synthesised and tested, found hit rates that plateau and then drop at the most favourable scores, which the authors attribute to docking artifacts. They estimate that a 0.1 gain in the correlation between score and affinity would justify a ten-fold increase in computing cost per molecule </w:t>
      </w: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w:t>
      </w:r>
    </w:p>
    <w:p>
      <w:pPr>
        <w:spacing w:after="60"/>
      </w:pPr>
    </w:p>
    <w:p>
      <w:pPr>
        <w:spacing w:after="120" w:before="0" w:line="276"/>
        <w:jc w:val="left"/>
      </w:pPr>
      <w:r>
        <w:rPr>
          <w:rFonts w:ascii="Times New Roman" w:cs="Times New Roman" w:eastAsia="Times New Roman" w:hAnsi="Times New Roman"/>
          <w:sz w:val="22"/>
          <w:szCs w:val="22"/>
        </w:rPr>
        <w:t xml:space="preserve">Preprints extend this picture, with the caveat that they are not yet peer reviewed. A benchmark of 15 open-source tools on 853 antiviral compounds across 16 crystal structures reported correlations with measured affinity of −0.063 for Vina-GPU, 0.007 for GNINA with Vina scoring only, 0.047 to 0.085 for AutoDock-GPU, 0.302 for GNINA with its neural-network scoring and 0.316 for Boltz-2; a fine-tuned sequence-based model reached 0.701 </w:t>
      </w: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Machine-learning scoring functions evaluated on strictly unseen protein targets averaged Pearson r of 0.47 to 0.50, against about 0.81 on the standard CASF benchmark, and one function fell to 0.047 on one target </w:t>
      </w: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A large-scale comparison of the Boltz-2 co-folding model with ensemble free-energy simulations on two targets found weak to moderate global correlations, none among the top 100 compounds, and described the model as lacking the energetic resolution needed for lead identification </w:t>
      </w: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In a docking-based molecular-optimisation benchmark, 55.7% of 1,335 top-scoring generated molecules passed all PoseBusters physical-plausibility checks, compared with 77.3% for known ligands redocked with the same software </w:t>
      </w: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None of these tests was designed around imidazole-focused datasets. Their common message is that a docking score is a hypothesis generator and not a potency estimate. A review of the limits of computer-aided design adds that models rest on assumptions and approximations, depend on good structures for the target, and remain constrained by the need for experimental validation </w:t>
      </w:r>
      <w:r>
        <w:rPr>
          <w:rFonts w:ascii="Times New Roman" w:cs="Times New Roman" w:eastAsia="Times New Roman" w:hAnsi="Times New Roman"/>
          <w:sz w:val="22"/>
          <w:szCs w:val="22"/>
        </w:rPr>
        <w:t xml:space="preserve">[125]</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i/>
          <w:iCs/>
          <w:sz w:val="22"/>
          <w:szCs w:val="22"/>
        </w:rPr>
        <w:t xml:space="preserve">Imidazole-specific preparation.</w:t>
      </w:r>
      <w:r>
        <w:rPr>
          <w:rFonts w:ascii="Times New Roman" w:cs="Times New Roman" w:eastAsia="Times New Roman" w:hAnsi="Times New Roman"/>
          <w:sz w:val="22"/>
          <w:szCs w:val="22"/>
        </w:rPr>
        <w:t xml:space="preserve"> Unsubstituted imidazoles are amphoteric and exist as two equivalent tautomers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and protonation and tautomer errors are a recognised source of failure in docking and virtual screening </w:t>
      </w:r>
      <w:r>
        <w:rPr>
          <w:rFonts w:ascii="Times New Roman" w:cs="Times New Roman" w:eastAsia="Times New Roman" w:hAnsi="Times New Roman"/>
          <w:sz w:val="22"/>
          <w:szCs w:val="22"/>
        </w:rPr>
        <w:t xml:space="preserve">[117]</w:t>
      </w:r>
      <w:r>
        <w:rPr>
          <w:rFonts w:ascii="Times New Roman" w:cs="Times New Roman" w:eastAsia="Times New Roman" w:hAnsi="Times New Roman"/>
          <w:sz w:val="22"/>
          <w:szCs w:val="22"/>
        </w:rPr>
        <w:t xml:space="preserve">. Whether the imidazole is modelled neutral, protonated or as a particular tautomer should be stated, because it changes the hydrogen-bond pattern and, for heme enzymes, the coordinating nitrogen.</w:t>
      </w:r>
    </w:p>
    <w:p>
      <w:pPr>
        <w:pStyle w:val="Heading2"/>
        <w:keepNext/>
      </w:pPr>
      <w:r>
        <w:rPr>
          <w:rFonts w:ascii="Arial" w:cs="Arial" w:eastAsia="Arial" w:hAnsi="Arial"/>
        </w:rPr>
        <w:t xml:space="preserve">7.2 Molecular dynamics and end-point free energies</w:t>
      </w:r>
    </w:p>
    <w:p>
      <w:pPr>
        <w:spacing w:after="120" w:before="0" w:line="276"/>
        <w:jc w:val="left"/>
      </w:pPr>
      <w:r>
        <w:rPr>
          <w:rFonts w:ascii="Times New Roman" w:cs="Times New Roman" w:eastAsia="Times New Roman" w:hAnsi="Times New Roman"/>
          <w:i/>
          <w:iCs/>
          <w:sz w:val="22"/>
          <w:szCs w:val="22"/>
        </w:rPr>
        <w:t xml:space="preserve">Practice.</w:t>
      </w:r>
      <w:r>
        <w:rPr>
          <w:rFonts w:ascii="Times New Roman" w:cs="Times New Roman" w:eastAsia="Times New Roman" w:hAnsi="Times New Roman"/>
          <w:sz w:val="22"/>
          <w:szCs w:val="22"/>
        </w:rPr>
        <w:t xml:space="preserve"> MD appears in 23 of the 56 abstracts. Runs of 100 ns are typical (seven abstracts), with 200 ns in one </w:t>
      </w:r>
      <w:r>
        <w:rPr>
          <w:rFonts w:ascii="Times New Roman" w:cs="Times New Roman" w:eastAsia="Times New Roman" w:hAnsi="Times New Roman"/>
          <w:sz w:val="22"/>
          <w:szCs w:val="22"/>
        </w:rPr>
        <w:t xml:space="preserve">[46,49,56,66,72,73,104,107]</w:t>
      </w:r>
      <w:r>
        <w:rPr>
          <w:rFonts w:ascii="Times New Roman" w:cs="Times New Roman" w:eastAsia="Times New Roman" w:hAnsi="Times New Roman"/>
          <w:sz w:val="22"/>
          <w:szCs w:val="22"/>
        </w:rPr>
        <w:t xml:space="preserve">. They usually cover the single best docking pose of one or a few compounds, report RMSD, RMSF and hydrogen-bond persistence, and conclude that the complex is stable. In the retrieved abstracts a stable trajectory is presented as supporting activity, as in a 100 ns Desmond run of an α-amylase complex with RMSD near 1.8 Å </w:t>
      </w:r>
      <w:r>
        <w:rPr>
          <w:rFonts w:ascii="Times New Roman" w:cs="Times New Roman" w:eastAsia="Times New Roman" w:hAnsi="Times New Roman"/>
          <w:sz w:val="22"/>
          <w:szCs w:val="22"/>
        </w:rPr>
        <w:t xml:space="preserve">[66]</w:t>
      </w:r>
      <w:r>
        <w:rPr>
          <w:rFonts w:ascii="Times New Roman" w:cs="Times New Roman" w:eastAsia="Times New Roman" w:hAnsi="Times New Roman"/>
          <w:sz w:val="22"/>
          <w:szCs w:val="22"/>
        </w:rPr>
        <w:t xml:space="preserve">. More demanding protocols are less common: umbrella sampling and steered MD were used to compute absolute binding free energies for 18 imidazo[1,5-a]pyridines against EGFR, with comparison to erlotinib and osimertinib </w:t>
      </w:r>
      <w:r>
        <w:rPr>
          <w:rFonts w:ascii="Times New Roman" w:cs="Times New Roman" w:eastAsia="Times New Roman" w:hAnsi="Times New Roman"/>
          <w:sz w:val="22"/>
          <w:szCs w:val="22"/>
        </w:rPr>
        <w:t xml:space="preserve">[54]</w:t>
      </w:r>
      <w:r>
        <w:rPr>
          <w:rFonts w:ascii="Times New Roman" w:cs="Times New Roman" w:eastAsia="Times New Roman" w:hAnsi="Times New Roman"/>
          <w:sz w:val="22"/>
          <w:szCs w:val="22"/>
        </w:rPr>
        <w:t xml:space="preserve">, and MM/PBSA or MM/GBSA was applied in an imidazole antifungal study, in an EGFR imidazothiazole study and in a QSAR-designed set </w:t>
      </w:r>
      <w:r>
        <w:rPr>
          <w:rFonts w:ascii="Times New Roman" w:cs="Times New Roman" w:eastAsia="Times New Roman" w:hAnsi="Times New Roman"/>
          <w:sz w:val="22"/>
          <w:szCs w:val="22"/>
        </w:rPr>
        <w:t xml:space="preserve">[79,94,100]</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A review of MD in drug discovery describes uses from target validation to the evaluation of binding energetics and kinetics in lead optimisation, and it lists drug-metabolising cytochrome P450 enzymes among its examples of membrane-embedded targets </w:t>
      </w:r>
      <w:r>
        <w:rPr>
          <w:rFonts w:ascii="Times New Roman" w:cs="Times New Roman" w:eastAsia="Times New Roman" w:hAnsi="Times New Roman"/>
          <w:sz w:val="22"/>
          <w:szCs w:val="22"/>
        </w:rPr>
        <w:t xml:space="preserve">[118]</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i/>
          <w:iCs/>
          <w:sz w:val="22"/>
          <w:szCs w:val="22"/>
        </w:rPr>
        <w:t xml:space="preserve">Evidence on reliability.</w:t>
      </w:r>
      <w:r>
        <w:rPr>
          <w:rFonts w:ascii="Times New Roman" w:cs="Times New Roman" w:eastAsia="Times New Roman" w:hAnsi="Times New Roman"/>
          <w:sz w:val="22"/>
          <w:szCs w:val="22"/>
        </w:rPr>
        <w:t xml:space="preserve"> MM/PBSA and MM/GBSA are popular because they are more accurate than most docking scoring functions and cheaper than alchemical methods </w:t>
      </w:r>
      <w:r>
        <w:rPr>
          <w:rFonts w:ascii="Times New Roman" w:cs="Times New Roman" w:eastAsia="Times New Roman" w:hAnsi="Times New Roman"/>
          <w:sz w:val="22"/>
          <w:szCs w:val="22"/>
        </w:rPr>
        <w:t xml:space="preserve">[126,127]</w:t>
      </w:r>
      <w:r>
        <w:rPr>
          <w:rFonts w:ascii="Times New Roman" w:cs="Times New Roman" w:eastAsia="Times New Roman" w:hAnsi="Times New Roman"/>
          <w:sz w:val="22"/>
          <w:szCs w:val="22"/>
        </w:rPr>
        <w:t xml:space="preserve">. They do not reproduce absolute free energies, but they can separate better from worse ligands. In ten EGFR wild-type and mutant complexes, MM/GBSA over the last 50 ns of a 100 ns trajectory without the entropic term reproduced the affinity trend with a Pearson coefficient of 0.779 (R² 0.606), whereas short simulations worked better for differences between wild type and mutants </w:t>
      </w:r>
      <w:r>
        <w:rPr>
          <w:rFonts w:ascii="Times New Roman" w:cs="Times New Roman" w:eastAsia="Times New Roman" w:hAnsi="Times New Roman"/>
          <w:sz w:val="22"/>
          <w:szCs w:val="22"/>
        </w:rPr>
        <w:t xml:space="preserve">[128]</w:t>
      </w:r>
      <w:r>
        <w:rPr>
          <w:rFonts w:ascii="Times New Roman" w:cs="Times New Roman" w:eastAsia="Times New Roman" w:hAnsi="Times New Roman"/>
          <w:sz w:val="22"/>
          <w:szCs w:val="22"/>
        </w:rPr>
        <w:t xml:space="preserve">. For carbonic anhydrase inhibitors, MM/GBSA with quantum-derived atomic charges reached R² of 0.77 on 32 compounds, against 0.64 for fast docking with a zinc-aware force field, and the docked poses deviated from crystal structures </w:t>
      </w:r>
      <w:r>
        <w:rPr>
          <w:rFonts w:ascii="Times New Roman" w:cs="Times New Roman" w:eastAsia="Times New Roman" w:hAnsi="Times New Roman"/>
          <w:sz w:val="22"/>
          <w:szCs w:val="22"/>
        </w:rPr>
        <w:t xml:space="preserve">[129]</w:t>
      </w:r>
      <w:r>
        <w:rPr>
          <w:rFonts w:ascii="Times New Roman" w:cs="Times New Roman" w:eastAsia="Times New Roman" w:hAnsi="Times New Roman"/>
          <w:sz w:val="22"/>
          <w:szCs w:val="22"/>
        </w:rPr>
        <w:t xml:space="preserve">. Rescoring docking poses with MM/GBSA improved enrichment on three benchmark sets </w:t>
      </w:r>
      <w:r>
        <w:rPr>
          <w:rFonts w:ascii="Times New Roman" w:cs="Times New Roman" w:eastAsia="Times New Roman" w:hAnsi="Times New Roman"/>
          <w:sz w:val="22"/>
          <w:szCs w:val="22"/>
        </w:rPr>
        <w:t xml:space="preserve">[130]</w:t>
      </w:r>
      <w:r>
        <w:rPr>
          <w:rFonts w:ascii="Times New Roman" w:cs="Times New Roman" w:eastAsia="Times New Roman" w:hAnsi="Times New Roman"/>
          <w:sz w:val="22"/>
          <w:szCs w:val="22"/>
        </w:rPr>
        <w:t xml:space="preserve">. Rigorous free-energy perturbation can approach the reproducibility of experimental measurements when structures are carefully prepared, and the same study shows that experimental reproducibility itself varies widely </w:t>
      </w:r>
      <w:r>
        <w:rPr>
          <w:rFonts w:ascii="Times New Roman" w:cs="Times New Roman" w:eastAsia="Times New Roman" w:hAnsi="Times New Roman"/>
          <w:sz w:val="22"/>
          <w:szCs w:val="22"/>
        </w:rPr>
        <w:t xml:space="preserve">[131]</w:t>
      </w:r>
      <w:r>
        <w:rPr>
          <w:rFonts w:ascii="Times New Roman" w:cs="Times New Roman" w:eastAsia="Times New Roman" w:hAnsi="Times New Roman"/>
          <w:sz w:val="22"/>
          <w:szCs w:val="22"/>
        </w:rPr>
        <w:t xml:space="preserve">. The practical reading for imidazole papers is that MD shows whether a pose survives, not how potent the compound is. Replicates, ensembles and a check against known affinities for the same target would turn a stability plot into evidence </w:t>
      </w:r>
      <w:r>
        <w:rPr>
          <w:rFonts w:ascii="Times New Roman" w:cs="Times New Roman" w:eastAsia="Times New Roman" w:hAnsi="Times New Roman"/>
          <w:sz w:val="22"/>
          <w:szCs w:val="22"/>
        </w:rPr>
        <w:t xml:space="preserve">[126,128]</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7.3 DFT and frontier-orbital analysis</w:t>
      </w:r>
    </w:p>
    <w:p>
      <w:pPr>
        <w:spacing w:after="120" w:before="0" w:line="276"/>
        <w:jc w:val="left"/>
      </w:pPr>
      <w:r>
        <w:rPr>
          <w:rFonts w:ascii="Times New Roman" w:cs="Times New Roman" w:eastAsia="Times New Roman" w:hAnsi="Times New Roman"/>
          <w:sz w:val="22"/>
          <w:szCs w:val="22"/>
        </w:rPr>
        <w:t xml:space="preserve">DFT appears in 11 of the 56 abstracts. It is used to report HOMO–LUMO gaps, electrostatic potential maps and reactivity descriptors, sometimes for non-linear optical properties as well </w:t>
      </w:r>
      <w:r>
        <w:rPr>
          <w:rFonts w:ascii="Times New Roman" w:cs="Times New Roman" w:eastAsia="Times New Roman" w:hAnsi="Times New Roman"/>
          <w:sz w:val="22"/>
          <w:szCs w:val="22"/>
        </w:rPr>
        <w:t xml:space="preserve">[52,72,73,96]</w:t>
      </w:r>
      <w:r>
        <w:rPr>
          <w:rFonts w:ascii="Times New Roman" w:cs="Times New Roman" w:eastAsia="Times New Roman" w:hAnsi="Times New Roman"/>
          <w:sz w:val="22"/>
          <w:szCs w:val="22"/>
        </w:rPr>
        <w:t xml:space="preserve">. Several antimicrobial and anticancer papers link a smaller gap to higher reactivity and higher activity. For benzimidazole–thiadiazole hybrids, compound 5h had the smallest gap (3.432 eV in one paper and 3.417 eV in another) and the highest antibacterial activity </w:t>
      </w:r>
      <w:r>
        <w:rPr>
          <w:rFonts w:ascii="Times New Roman" w:cs="Times New Roman" w:eastAsia="Times New Roman" w:hAnsi="Times New Roman"/>
          <w:sz w:val="22"/>
          <w:szCs w:val="22"/>
        </w:rPr>
        <w:t xml:space="preserve">[104,105]</w:t>
      </w:r>
      <w:r>
        <w:rPr>
          <w:rFonts w:ascii="Times New Roman" w:cs="Times New Roman" w:eastAsia="Times New Roman" w:hAnsi="Times New Roman"/>
          <w:sz w:val="22"/>
          <w:szCs w:val="22"/>
        </w:rPr>
        <w:t xml:space="preserve">; a vanillyl–imidazolone had the smallest gap (3.15 eV) among its series </w:t>
      </w:r>
      <w:r>
        <w:rPr>
          <w:rFonts w:ascii="Times New Roman" w:cs="Times New Roman" w:eastAsia="Times New Roman" w:hAnsi="Times New Roman"/>
          <w:sz w:val="22"/>
          <w:szCs w:val="22"/>
        </w:rPr>
        <w:t xml:space="preserve">[64]</w:t>
      </w:r>
      <w:r>
        <w:rPr>
          <w:rFonts w:ascii="Times New Roman" w:cs="Times New Roman" w:eastAsia="Times New Roman" w:hAnsi="Times New Roman"/>
          <w:sz w:val="22"/>
          <w:szCs w:val="22"/>
        </w:rPr>
        <w:t xml:space="preserve">; and the imidazol-2-one with the best quantum-chemical features was the most active </w:t>
      </w:r>
      <w:r>
        <w:rPr>
          <w:rFonts w:ascii="Times New Roman" w:cs="Times New Roman" w:eastAsia="Times New Roman" w:hAnsi="Times New Roman"/>
          <w:sz w:val="22"/>
          <w:szCs w:val="22"/>
        </w:rPr>
        <w:t xml:space="preserve">[70]</w:t>
      </w:r>
      <w:r>
        <w:rPr>
          <w:rFonts w:ascii="Times New Roman" w:cs="Times New Roman" w:eastAsia="Times New Roman" w:hAnsi="Times New Roman"/>
          <w:sz w:val="22"/>
          <w:szCs w:val="22"/>
        </w:rPr>
        <w:t xml:space="preserve">. A second imidazole study shows why the inference is fragile: the compound with the largest gap (2.9546 eV) was the most stable, while a different compound showed the highest predicted and observed biological potential </w:t>
      </w:r>
      <w:r>
        <w:rPr>
          <w:rFonts w:ascii="Times New Roman" w:cs="Times New Roman" w:eastAsia="Times New Roman" w:hAnsi="Times New Roman"/>
          <w:sz w:val="22"/>
          <w:szCs w:val="22"/>
        </w:rPr>
        <w:t xml:space="preserve">[94]</w:t>
      </w:r>
      <w:r>
        <w:rPr>
          <w:rFonts w:ascii="Times New Roman" w:cs="Times New Roman" w:eastAsia="Times New Roman" w:hAnsi="Times New Roman"/>
          <w:sz w:val="22"/>
          <w:szCs w:val="22"/>
        </w:rPr>
        <w:t xml:space="preserve">. In the abstracts we read, agreement between gap and activity is described qualitatively, over a handful of compounds, without a correlation coefficient. The gaps quoted for the most reactive compounds (3.11 to 3.43 eV) lie within about 0.3 eV of each other, and they depend on functional, basis set and solvent model, so they cannot be compared between papers </w:t>
      </w:r>
      <w:r>
        <w:rPr>
          <w:rFonts w:ascii="Times New Roman" w:cs="Times New Roman" w:eastAsia="Times New Roman" w:hAnsi="Times New Roman"/>
          <w:sz w:val="22"/>
          <w:szCs w:val="22"/>
        </w:rPr>
        <w:t xml:space="preserve">[64,73,104]</w:t>
      </w:r>
      <w:r>
        <w:rPr>
          <w:rFonts w:ascii="Times New Roman" w:cs="Times New Roman" w:eastAsia="Times New Roman" w:hAnsi="Times New Roman"/>
          <w:sz w:val="22"/>
          <w:szCs w:val="22"/>
        </w:rPr>
        <w:t xml:space="preserve">. Where DFT has been tested more convincingly is as an input to other methods: among the charge schemes compared for MM/GBSA ranking of carbonic anhydrase inhibitors, DFT-derived electrostatic-potential charges gave the strongest correlation with experiment </w:t>
      </w:r>
      <w:r>
        <w:rPr>
          <w:rFonts w:ascii="Times New Roman" w:cs="Times New Roman" w:eastAsia="Times New Roman" w:hAnsi="Times New Roman"/>
          <w:sz w:val="22"/>
          <w:szCs w:val="22"/>
        </w:rPr>
        <w:t xml:space="preserve">[129]</w:t>
      </w:r>
      <w:r>
        <w:rPr>
          <w:rFonts w:ascii="Times New Roman" w:cs="Times New Roman" w:eastAsia="Times New Roman" w:hAnsi="Times New Roman"/>
          <w:sz w:val="22"/>
          <w:szCs w:val="22"/>
        </w:rPr>
        <w:t xml:space="preserve">. The survey of computer-aided design papers found DFT to be the least used of the computational techniques it examined </w:t>
      </w: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7.4 ADMET and drug-likeness prediction</w:t>
      </w:r>
    </w:p>
    <w:p>
      <w:pPr>
        <w:spacing w:after="120" w:before="0" w:line="276"/>
        <w:jc w:val="left"/>
      </w:pPr>
      <w:r>
        <w:rPr>
          <w:rFonts w:ascii="Times New Roman" w:cs="Times New Roman" w:eastAsia="Times New Roman" w:hAnsi="Times New Roman"/>
          <w:sz w:val="22"/>
          <w:szCs w:val="22"/>
        </w:rPr>
        <w:t xml:space="preserve">SwissADME and ADMETlab are the standard tools, supported by Lipinski-type rules. SwissADME offers fast predictive models for physicochemical properties, pharmacokinetics and drug-likeness, including the BOILED-Egg and the Bioavailability Radar </w:t>
      </w:r>
      <w:r>
        <w:rPr>
          <w:rFonts w:ascii="Times New Roman" w:cs="Times New Roman" w:eastAsia="Times New Roman" w:hAnsi="Times New Roman"/>
          <w:sz w:val="22"/>
          <w:szCs w:val="22"/>
        </w:rPr>
        <w:t xml:space="preserve">[132]</w:t>
      </w:r>
      <w:r>
        <w:rPr>
          <w:rFonts w:ascii="Times New Roman" w:cs="Times New Roman" w:eastAsia="Times New Roman" w:hAnsi="Times New Roman"/>
          <w:sz w:val="22"/>
          <w:szCs w:val="22"/>
        </w:rPr>
        <w:t xml:space="preserve">. ADMETlab 2.0 offers 17 physicochemical properties, 13 medicinal-chemistry properties, 23 ADME endpoints, 27 toxicity endpoints and 8 toxicophore rule sets covering 751 substructures, built with a multi-task graph attention framework </w:t>
      </w:r>
      <w:r>
        <w:rPr>
          <w:rFonts w:ascii="Times New Roman" w:cs="Times New Roman" w:eastAsia="Times New Roman" w:hAnsi="Times New Roman"/>
          <w:sz w:val="22"/>
          <w:szCs w:val="22"/>
        </w:rPr>
        <w:t xml:space="preserve">[133]</w:t>
      </w:r>
      <w:r>
        <w:rPr>
          <w:rFonts w:ascii="Times New Roman" w:cs="Times New Roman" w:eastAsia="Times New Roman" w:hAnsi="Times New Roman"/>
          <w:sz w:val="22"/>
          <w:szCs w:val="22"/>
        </w:rPr>
        <w:t xml:space="preserve">. Reviews catalogue the available servers, drug-likeness toolboxes and open-access tools </w:t>
      </w:r>
      <w:r>
        <w:rPr>
          <w:rFonts w:ascii="Times New Roman" w:cs="Times New Roman" w:eastAsia="Times New Roman" w:hAnsi="Times New Roman"/>
          <w:sz w:val="22"/>
          <w:szCs w:val="22"/>
        </w:rPr>
        <w:t xml:space="preserve">[134–136]</w:t>
      </w:r>
      <w:r>
        <w:rPr>
          <w:rFonts w:ascii="Times New Roman" w:cs="Times New Roman" w:eastAsia="Times New Roman" w:hAnsi="Times New Roman"/>
          <w:sz w:val="22"/>
          <w:szCs w:val="22"/>
        </w:rPr>
        <w:t xml:space="preserve">. At least 25 of the 56 abstracts report in silico ADME or drug-likeness results, and the studies using both SwissADME and ADMETlab 3.0 typically report acceptable drug-likeness for most compounds </w:t>
      </w:r>
      <w:r>
        <w:rPr>
          <w:rFonts w:ascii="Times New Roman" w:cs="Times New Roman" w:eastAsia="Times New Roman" w:hAnsi="Times New Roman"/>
          <w:sz w:val="22"/>
          <w:szCs w:val="22"/>
        </w:rPr>
        <w:t xml:space="preserve">[66]</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Independent assessments recommend caution. An evaluation of 18 free ADMET web servers against 24 approved tyrosine kinase inhibitors found that they predict the relevant parameters "more or less accurately" </w:t>
      </w:r>
      <w:r>
        <w:rPr>
          <w:rFonts w:ascii="Times New Roman" w:cs="Times New Roman" w:eastAsia="Times New Roman" w:hAnsi="Times New Roman"/>
          <w:sz w:val="22"/>
          <w:szCs w:val="22"/>
        </w:rPr>
        <w:t xml:space="preserve">[137]</w:t>
      </w:r>
      <w:r>
        <w:rPr>
          <w:rFonts w:ascii="Times New Roman" w:cs="Times New Roman" w:eastAsia="Times New Roman" w:hAnsi="Times New Roman"/>
          <w:sz w:val="22"/>
          <w:szCs w:val="22"/>
        </w:rPr>
        <w:t xml:space="preserve">. ADMET properties account for nearly half of late-stage clinical attrition, and AI-based models support multi-endpoint screening, but their performance is limited by training-data bias, narrow applicability domains and reduced interpretability, and a recent review calls them complements to experiment and not substitutes </w:t>
      </w: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A comparison of SwissADME and FAF-Drugs4 with regulatory and curated data for 14 approved anticancer drugs found good agreement for broad descriptor-driven properties, partial agreement where clinical behaviour depends on factors outside the descriptors, and toxicity outputs that worked as early warning signals </w:t>
      </w:r>
      <w:r>
        <w:rPr>
          <w:rFonts w:ascii="Times New Roman" w:cs="Times New Roman" w:eastAsia="Times New Roman" w:hAnsi="Times New Roman"/>
          <w:sz w:val="22"/>
          <w:szCs w:val="22"/>
        </w:rPr>
        <w:t xml:space="preserve">[138]</w:t>
      </w:r>
      <w:r>
        <w:rPr>
          <w:rFonts w:ascii="Times New Roman" w:cs="Times New Roman" w:eastAsia="Times New Roman" w:hAnsi="Times New Roman"/>
          <w:sz w:val="22"/>
          <w:szCs w:val="22"/>
        </w:rPr>
        <w:t xml:space="preserve">. Tool choice matters for CYP predictions in particular. In a comparison of four tools on 52 prescribed drugs, two (ADMET Predictor and CYPlebrity) performed best </w:t>
      </w:r>
      <w:r>
        <w:rPr>
          <w:rFonts w:ascii="Times New Roman" w:cs="Times New Roman" w:eastAsia="Times New Roman" w:hAnsi="Times New Roman"/>
          <w:sz w:val="22"/>
          <w:szCs w:val="22"/>
        </w:rPr>
        <w:t xml:space="preserve">[139]</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Preprints sharpen the concern. A study of six public ADMET tasks introduced a split that holds out the structurally sparsest and most physicochemically remote scaffolds. It inflated error by a median of 87.0% (mean 130.3%) relative to a matched scaffold split, and for blood–brain-barrier permeability a perceptron's ranking inverted (AUROC 0.409 against 0.879). With a graph neural network the mean inflation was 82.8%, and the ranking inversion disappeared </w:t>
      </w: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Another report found poor translation from in silico to in vitro to in vivo ADME predictions (products of predictive accuracy and correlation of 0.05 to 0.45) and 63% false negatives for Lipinski's rule of five in predicting oral absorption. That report also advocates a competing software package, so its comparisons should be read with that in mind </w:t>
      </w:r>
      <w:r>
        <w:rPr>
          <w:rFonts w:ascii="Times New Roman" w:cs="Times New Roman" w:eastAsia="Times New Roman" w:hAnsi="Times New Roman"/>
          <w:sz w:val="22"/>
          <w:szCs w:val="22"/>
        </w:rPr>
        <w:t xml:space="preserve">[140]</w:t>
      </w:r>
      <w:r>
        <w:rPr>
          <w:rFonts w:ascii="Times New Roman" w:cs="Times New Roman" w:eastAsia="Times New Roman" w:hAnsi="Times New Roman"/>
          <w:sz w:val="22"/>
          <w:szCs w:val="22"/>
        </w:rPr>
        <w:t xml:space="preserve">. For a new imidazole series, the practical consequence is that a favourable SwissADME panel is a weak argument, and an unfavourable one (high lipophilicity, low solubility, predicted CYP inhibition) deserves attention. One recent imidazole paper reported exactly such flags for its three compounds: high lipophilicity, low solubility, predicted CYP2C19 inhibition for all and CYP3A4 and P-glycoprotein substrate liability for the lead </w:t>
      </w:r>
      <w:r>
        <w:rPr>
          <w:rFonts w:ascii="Times New Roman" w:cs="Times New Roman" w:eastAsia="Times New Roman" w:hAnsi="Times New Roman"/>
          <w:sz w:val="22"/>
          <w:szCs w:val="22"/>
        </w:rPr>
        <w:t xml:space="preserve">[94]</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7.5 QSAR and machine learning</w:t>
      </w:r>
    </w:p>
    <w:p>
      <w:pPr>
        <w:spacing w:after="120" w:before="0" w:line="276"/>
        <w:jc w:val="left"/>
      </w:pPr>
      <w:r>
        <w:rPr>
          <w:rFonts w:ascii="Times New Roman" w:cs="Times New Roman" w:eastAsia="Times New Roman" w:hAnsi="Times New Roman"/>
          <w:sz w:val="22"/>
          <w:szCs w:val="22"/>
        </w:rPr>
        <w:t xml:space="preserve">QSAR and machine learning are used both to choose compounds and to screen libraries. Their reliability depends on the training set. Models trained on 24 imidazoles (Q² 0.66 and 0.75, R² 0.98 and 0.99, with Y-randomisation and external validation) or on 32 benzimidazo-pyrimidines are internally consistent but narrow </w:t>
      </w:r>
      <w:r>
        <w:rPr>
          <w:rFonts w:ascii="Times New Roman" w:cs="Times New Roman" w:eastAsia="Times New Roman" w:hAnsi="Times New Roman"/>
          <w:sz w:val="22"/>
          <w:szCs w:val="22"/>
        </w:rPr>
        <w:t xml:space="preserve">[77,79]</w:t>
      </w:r>
      <w:r>
        <w:rPr>
          <w:rFonts w:ascii="Times New Roman" w:cs="Times New Roman" w:eastAsia="Times New Roman" w:hAnsi="Times New Roman"/>
          <w:sz w:val="22"/>
          <w:szCs w:val="22"/>
        </w:rPr>
        <w:t xml:space="preserve">. The latter study tested its applicability domain and used replicated MD runs </w:t>
      </w:r>
      <w:r>
        <w:rPr>
          <w:rFonts w:ascii="Times New Roman" w:cs="Times New Roman" w:eastAsia="Times New Roman" w:hAnsi="Times New Roman"/>
          <w:sz w:val="22"/>
          <w:szCs w:val="22"/>
        </w:rPr>
        <w:t xml:space="preserve">[79]</w:t>
      </w:r>
      <w:r>
        <w:rPr>
          <w:rFonts w:ascii="Times New Roman" w:cs="Times New Roman" w:eastAsia="Times New Roman" w:hAnsi="Times New Roman"/>
          <w:sz w:val="22"/>
          <w:szCs w:val="22"/>
        </w:rPr>
        <w:t xml:space="preserve">. A comparison of QSAR and Q-RASAR on 193 benzimidazoles found that the read-across variants predicted better and more stably </w:t>
      </w:r>
      <w:r>
        <w:rPr>
          <w:rFonts w:ascii="Times New Roman" w:cs="Times New Roman" w:eastAsia="Times New Roman" w:hAnsi="Times New Roman"/>
          <w:sz w:val="22"/>
          <w:szCs w:val="22"/>
        </w:rPr>
        <w:t xml:space="preserve">[78]</w:t>
      </w:r>
      <w:r>
        <w:rPr>
          <w:rFonts w:ascii="Times New Roman" w:cs="Times New Roman" w:eastAsia="Times New Roman" w:hAnsi="Times New Roman"/>
          <w:sz w:val="22"/>
          <w:szCs w:val="22"/>
        </w:rPr>
        <w:t xml:space="preserve">. Larger studies use thousands of ChEMBL compounds and report mean absolute errors near 0.02 for neural-network and random-forest models of benzimidazole antipsychotic activity </w:t>
      </w:r>
      <w:r>
        <w:rPr>
          <w:rFonts w:ascii="Times New Roman" w:cs="Times New Roman" w:eastAsia="Times New Roman" w:hAnsi="Times New Roman"/>
          <w:sz w:val="22"/>
          <w:szCs w:val="22"/>
        </w:rPr>
        <w:t xml:space="preserve">[76]</w:t>
      </w:r>
      <w:r>
        <w:rPr>
          <w:rFonts w:ascii="Times New Roman" w:cs="Times New Roman" w:eastAsia="Times New Roman" w:hAnsi="Times New Roman"/>
          <w:sz w:val="22"/>
          <w:szCs w:val="22"/>
        </w:rPr>
        <w:t xml:space="preserve">. External validation in a nitroimidazole classification study (Matthews correlation coefficients 0.583 to 0.849) was followed by synthesis of predicted hits </w:t>
      </w: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A machine-learning surrogate for docking scores in a non-imidazole target class (monoamine oxidase) ran about 1,000 times faster than docking, but the 24 compounds selected by the workflow and synthesised were weak MAO-A inhibitors </w:t>
      </w:r>
      <w:r>
        <w:rPr>
          <w:rFonts w:ascii="Times New Roman" w:cs="Times New Roman" w:eastAsia="Times New Roman" w:hAnsi="Times New Roman"/>
          <w:sz w:val="22"/>
          <w:szCs w:val="22"/>
        </w:rPr>
        <w:t xml:space="preserve">[141]</w:t>
      </w:r>
      <w:r>
        <w:rPr>
          <w:rFonts w:ascii="Times New Roman" w:cs="Times New Roman" w:eastAsia="Times New Roman" w:hAnsi="Times New Roman"/>
          <w:sz w:val="22"/>
          <w:szCs w:val="22"/>
        </w:rPr>
        <w:t xml:space="preserve">. General reviews describe experimentally validated generative design and the challenges of deploying it </w:t>
      </w:r>
      <w:r>
        <w:rPr>
          <w:rFonts w:ascii="Times New Roman" w:cs="Times New Roman" w:eastAsia="Times New Roman" w:hAnsi="Times New Roman"/>
          <w:sz w:val="22"/>
          <w:szCs w:val="22"/>
        </w:rPr>
        <w:t xml:space="preserve">[81]</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7.6 What each step can and cannot support</w:t>
      </w:r>
    </w:p>
    <w:p>
      <w:pPr>
        <w:spacing w:after="120" w:before="0" w:line="276"/>
        <w:jc w:val="left"/>
      </w:pPr>
      <w:r>
        <w:rPr>
          <w:rFonts w:ascii="Times New Roman" w:cs="Times New Roman" w:eastAsia="Times New Roman" w:hAnsi="Times New Roman"/>
          <w:sz w:val="22"/>
          <w:szCs w:val="22"/>
        </w:rPr>
        <w:t xml:space="preserve">Putting the evidence together, each step supports a limited claim. Docking supports a hypothesis about a binding pose and, with consensus or rescoring, a coarse enrichment of likely binders; it does not support a statement about potency. MD supports a statement that a pose persists under a given force field, and with replicated runs and end-point free energies it can rank congeneric compounds, but a single stable trajectory is not evidence of activity. DFT supports a description of electronic structure and, as an input to charges, a better free-energy estimate; its gap values do not rank biological activity across a series. ADMET servers support triage and flag liabilities, but they degrade outside their training chemistry, and an agreeable panel is not a pharmacokinetic result. QSAR and machine-learning models support prioritisation within the chemistry they were trained on. The claim that a compound is a promising lead needs a measurement, and the best evidence for any in silico step is that its prediction was tested and came out right or wrong. These limits are properties of the methods and apply equally to studies of other scaffolds; what is specific to imidazoles is the added uncertainty from tautomerism and from heme binding.</w:t>
      </w:r>
    </w:p>
    <w:p>
      <w:pPr>
        <w:pStyle w:val="Heading1"/>
        <w:keepNext/>
      </w:pPr>
      <w:r>
        <w:rPr>
          <w:rFonts w:ascii="Arial" w:cs="Arial" w:eastAsia="Arial" w:hAnsi="Arial"/>
        </w:rPr>
        <w:t xml:space="preserve">8. Where the evidence outruns the claims</w:t>
      </w:r>
    </w:p>
    <w:p>
      <w:pPr>
        <w:pStyle w:val="Heading2"/>
        <w:keepNext/>
      </w:pPr>
      <w:r>
        <w:rPr>
          <w:rFonts w:ascii="Arial" w:cs="Arial" w:eastAsia="Arial" w:hAnsi="Arial"/>
        </w:rPr>
        <w:t xml:space="preserve">8.1 Predictions presented as activity</w:t>
      </w:r>
    </w:p>
    <w:p>
      <w:pPr>
        <w:spacing w:after="120" w:before="0" w:line="276"/>
        <w:jc w:val="left"/>
      </w:pPr>
      <w:r>
        <w:rPr>
          <w:rFonts w:ascii="Times New Roman" w:cs="Times New Roman" w:eastAsia="Times New Roman" w:hAnsi="Times New Roman"/>
          <w:sz w:val="22"/>
          <w:szCs w:val="22"/>
        </w:rPr>
        <w:t xml:space="preserve">The most visible problem is the reading of docking outcomes as inhibition. A review of glucosamine-6-phosphate synthase inhibitors notes that many heterocyclic and polycyclic compounds with antimicrobial activity have been presented as putative inhibitors of the enzyme on the basis of docking alone, that the selective inhibitors of the enzyme show relatively low antimicrobial activity because they penetrate microbial membranes poorly, and that the docked compounds could be promising leads only if their selective toxicity is confirmed </w:t>
      </w:r>
      <w:r>
        <w:rPr>
          <w:rFonts w:ascii="Times New Roman" w:cs="Times New Roman" w:eastAsia="Times New Roman" w:hAnsi="Times New Roman"/>
          <w:sz w:val="22"/>
          <w:szCs w:val="22"/>
        </w:rPr>
        <w:t xml:space="preserve">[63]</w:t>
      </w:r>
      <w:r>
        <w:rPr>
          <w:rFonts w:ascii="Times New Roman" w:cs="Times New Roman" w:eastAsia="Times New Roman" w:hAnsi="Times New Roman"/>
          <w:sz w:val="22"/>
          <w:szCs w:val="22"/>
        </w:rPr>
        <w:t xml:space="preserve">. The pattern is old. A 2013 study concluded from docking that six pyrazole-bearing imidazoles "may be considered as good inhibitor of GlcN-6-P synthase" </w:t>
      </w:r>
      <w:r>
        <w:rPr>
          <w:rFonts w:ascii="Times New Roman" w:cs="Times New Roman" w:eastAsia="Times New Roman" w:hAnsi="Times New Roman"/>
          <w:sz w:val="22"/>
          <w:szCs w:val="22"/>
        </w:rPr>
        <w:t xml:space="preserve">[62]</w:t>
      </w:r>
      <w:r>
        <w:rPr>
          <w:rFonts w:ascii="Times New Roman" w:cs="Times New Roman" w:eastAsia="Times New Roman" w:hAnsi="Times New Roman"/>
          <w:sz w:val="22"/>
          <w:szCs w:val="22"/>
        </w:rPr>
        <w:t xml:space="preserve">, and recent papers continue it, from a tartaric-acid-catalysed imidazole synthesis docked against 2VF5 </w:t>
      </w:r>
      <w:r>
        <w:rPr>
          <w:rFonts w:ascii="Times New Roman" w:cs="Times New Roman" w:eastAsia="Times New Roman" w:hAnsi="Times New Roman"/>
          <w:sz w:val="22"/>
          <w:szCs w:val="22"/>
        </w:rPr>
        <w:t xml:space="preserve">[92]</w:t>
      </w:r>
      <w:r>
        <w:rPr>
          <w:rFonts w:ascii="Times New Roman" w:cs="Times New Roman" w:eastAsia="Times New Roman" w:hAnsi="Times New Roman"/>
          <w:sz w:val="22"/>
          <w:szCs w:val="22"/>
        </w:rPr>
        <w:t xml:space="preserve"> to a benzimidazole study that stops at docking and SwissADME with no synthesis or assay </w:t>
      </w:r>
      <w:r>
        <w:rPr>
          <w:rFonts w:ascii="Times New Roman" w:cs="Times New Roman" w:eastAsia="Times New Roman" w:hAnsi="Times New Roman"/>
          <w:sz w:val="22"/>
          <w:szCs w:val="22"/>
        </w:rPr>
        <w:t xml:space="preserve">[120]</w:t>
      </w:r>
      <w:r>
        <w:rPr>
          <w:rFonts w:ascii="Times New Roman" w:cs="Times New Roman" w:eastAsia="Times New Roman" w:hAnsi="Times New Roman"/>
          <w:sz w:val="22"/>
          <w:szCs w:val="22"/>
        </w:rPr>
        <w:t xml:space="preserve">. The SARS-CoV-2 imidazole studies in Section 6.4 are of the same type. More generally, a survey of computer-aided drug design papers found experimental follow-up in only 36.5% </w:t>
      </w: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A review of modelling in drug discovery observes that hardly any marketed drug was discovered primarily through computational modelling </w:t>
      </w:r>
      <w:r>
        <w:rPr>
          <w:rFonts w:ascii="Times New Roman" w:cs="Times New Roman" w:eastAsia="Times New Roman" w:hAnsi="Times New Roman"/>
          <w:sz w:val="22"/>
          <w:szCs w:val="22"/>
        </w:rPr>
        <w:t xml:space="preserve">[119]</w:t>
      </w:r>
      <w:r>
        <w:rPr>
          <w:rFonts w:ascii="Times New Roman" w:cs="Times New Roman" w:eastAsia="Times New Roman" w:hAnsi="Times New Roman"/>
          <w:sz w:val="22"/>
          <w:szCs w:val="22"/>
        </w:rPr>
        <w:t xml:space="preserve">, and another review concludes that computer-aided design remains constrained by the need for experimental validation </w:t>
      </w:r>
      <w:r>
        <w:rPr>
          <w:rFonts w:ascii="Times New Roman" w:cs="Times New Roman" w:eastAsia="Times New Roman" w:hAnsi="Times New Roman"/>
          <w:sz w:val="22"/>
          <w:szCs w:val="22"/>
        </w:rPr>
        <w:t xml:space="preserve">[125]</w:t>
      </w:r>
      <w:r>
        <w:rPr>
          <w:rFonts w:ascii="Times New Roman" w:cs="Times New Roman" w:eastAsia="Times New Roman" w:hAnsi="Times New Roman"/>
          <w:sz w:val="22"/>
          <w:szCs w:val="22"/>
        </w:rPr>
        <w:t xml:space="preserve">. Recent reviews of docking and simulation list protein flexibility, ADMET accuracy and the persistent gap between in silico predictions and experimental results as the main limitations </w:t>
      </w:r>
      <w:r>
        <w:rPr>
          <w:rFonts w:ascii="Times New Roman" w:cs="Times New Roman" w:eastAsia="Times New Roman" w:hAnsi="Times New Roman"/>
          <w:sz w:val="22"/>
          <w:szCs w:val="22"/>
        </w:rPr>
        <w:t xml:space="preserve">[142]</w:t>
      </w:r>
      <w:r>
        <w:rPr>
          <w:rFonts w:ascii="Times New Roman" w:cs="Times New Roman" w:eastAsia="Times New Roman" w:hAnsi="Times New Roman"/>
          <w:sz w:val="22"/>
          <w:szCs w:val="22"/>
        </w:rPr>
        <w:t xml:space="preserve">.</w:t>
      </w:r>
    </w:p>
    <w:p>
      <w:pPr>
        <w:pStyle w:val="Heading2"/>
        <w:keepNext/>
      </w:pPr>
      <w:r>
        <w:rPr>
          <w:rFonts w:ascii="Arial" w:cs="Arial" w:eastAsia="Arial" w:hAnsi="Arial"/>
        </w:rPr>
        <w:t xml:space="preserve">8.2 What the abstract screen shows</w:t>
      </w:r>
    </w:p>
    <w:p>
      <w:pPr>
        <w:spacing w:after="120" w:before="0" w:line="276"/>
        <w:jc w:val="left"/>
      </w:pPr>
      <w:r>
        <w:rPr>
          <w:rFonts w:ascii="Times New Roman" w:cs="Times New Roman" w:eastAsia="Times New Roman" w:hAnsi="Times New Roman"/>
          <w:sz w:val="22"/>
          <w:szCs w:val="22"/>
        </w:rPr>
        <w:t xml:space="preserve">The screen of 56 primary studies puts numbers on the pattern (Section 2 gives the method; the figures are lower bounds). Docking is almost universal: 51 of 56 abstracts report it. MD appears in 23 (41%), DFT in 11 (20%), and in silico ADME or drug-likeness predictions in at least 25. The test of whether docking is connected to experiment is whether the docked target was also measured. We classified each of the 51 docking studies by whether the abstract reports an enzyme or target-level assay for the protein that was docked. It does so in 25 (49%). The proportion differs by field: 12 of 21 anticancer studies, 11 of 14 studies of antidiabetic, neuroactive and other activities, 2 of 14 antimicrobial and antifungal studies, and none of the two synthesis papers with docking. In the antimicrobial group, most studies dock CYP51, penicillin-binding protein 2a, FabH or glucosamine-6-phosphate synthase and then report an MIC or an inhibition zone for the whole organism. Two of them add a pathway-level assay of ergosterol content or ergosterol supplementation </w:t>
      </w:r>
      <w:r>
        <w:rPr>
          <w:rFonts w:ascii="Times New Roman" w:cs="Times New Roman" w:eastAsia="Times New Roman" w:hAnsi="Times New Roman"/>
          <w:sz w:val="22"/>
          <w:szCs w:val="22"/>
        </w:rPr>
        <w:t xml:space="preserve">[61,98]</w:t>
      </w:r>
      <w:r>
        <w:rPr>
          <w:rFonts w:ascii="Times New Roman" w:cs="Times New Roman" w:eastAsia="Times New Roman" w:hAnsi="Times New Roman"/>
          <w:sz w:val="22"/>
          <w:szCs w:val="22"/>
        </w:rPr>
        <w:t xml:space="preserve">, which is informative but does not show that the docked enzyme was the target. Only two antifungal studies measured CYP51 directly </w:t>
      </w:r>
      <w:r>
        <w:rPr>
          <w:rFonts w:ascii="Times New Roman" w:cs="Times New Roman" w:eastAsia="Times New Roman" w:hAnsi="Times New Roman"/>
          <w:sz w:val="22"/>
          <w:szCs w:val="22"/>
        </w:rPr>
        <w:t xml:space="preserve">[97,103]</w:t>
      </w:r>
      <w:r>
        <w:rPr>
          <w:rFonts w:ascii="Times New Roman" w:cs="Times New Roman" w:eastAsia="Times New Roman" w:hAnsi="Times New Roman"/>
          <w:sz w:val="22"/>
          <w:szCs w:val="22"/>
        </w:rPr>
        <w:t xml:space="preserve">, and in one of them the enzyme IC50 was weaker than fluconazole's while the cell MIC was better than amphotericin B's.</w:t>
      </w:r>
    </w:p>
    <w:p>
      <w:pPr>
        <w:spacing w:after="120" w:before="0" w:line="276"/>
        <w:jc w:val="left"/>
      </w:pPr>
      <w:r>
        <w:rPr>
          <w:rFonts w:ascii="Times New Roman" w:cs="Times New Roman" w:eastAsia="Times New Roman" w:hAnsi="Times New Roman"/>
          <w:sz w:val="22"/>
          <w:szCs w:val="22"/>
        </w:rPr>
        <w:t xml:space="preserve">Other evidence elements are scarcer still. Normal-cell or hemolysis controls are reported in 13 of the 56 abstracts. In vivo work is reported in two, one an anti-inflammatory carrageenan model with organ histology </w:t>
      </w:r>
      <w:r>
        <w:rPr>
          <w:rFonts w:ascii="Times New Roman" w:cs="Times New Roman" w:eastAsia="Times New Roman" w:hAnsi="Times New Roman"/>
          <w:sz w:val="22"/>
          <w:szCs w:val="22"/>
        </w:rPr>
        <w:t xml:space="preserve">[100]</w:t>
      </w:r>
      <w:r>
        <w:rPr>
          <w:rFonts w:ascii="Times New Roman" w:cs="Times New Roman" w:eastAsia="Times New Roman" w:hAnsi="Times New Roman"/>
          <w:sz w:val="22"/>
          <w:szCs w:val="22"/>
        </w:rPr>
        <w:t xml:space="preserve"> and one a rodent behavioural study </w:t>
      </w:r>
      <w:r>
        <w:rPr>
          <w:rFonts w:ascii="Times New Roman" w:cs="Times New Roman" w:eastAsia="Times New Roman" w:hAnsi="Times New Roman"/>
          <w:sz w:val="22"/>
          <w:szCs w:val="22"/>
        </w:rPr>
        <w:t xml:space="preserve">[76]</w:t>
      </w:r>
      <w:r>
        <w:rPr>
          <w:rFonts w:ascii="Times New Roman" w:cs="Times New Roman" w:eastAsia="Times New Roman" w:hAnsi="Times New Roman"/>
          <w:sz w:val="22"/>
          <w:szCs w:val="22"/>
        </w:rPr>
        <w:t xml:space="preserve">. Single-crystal X-ray structures of the products appear in four. A redocking RMSD is given in one. An experimental assay against any human cytochrome P450 is reported in none (Section 9).</w:t>
      </w:r>
    </w:p>
    <w:p>
      <w:pPr>
        <w:pStyle w:val="Heading2"/>
        <w:keepNext/>
      </w:pPr>
      <w:r>
        <w:rPr>
          <w:rFonts w:ascii="Arial" w:cs="Arial" w:eastAsia="Arial" w:hAnsi="Arial"/>
        </w:rPr>
        <w:t xml:space="preserve">8.3 Weak results and missing in vivo data</w:t>
      </w:r>
    </w:p>
    <w:p>
      <w:pPr>
        <w:spacing w:after="120" w:before="0" w:line="276"/>
        <w:jc w:val="left"/>
      </w:pPr>
      <w:r>
        <w:rPr>
          <w:rFonts w:ascii="Times New Roman" w:cs="Times New Roman" w:eastAsia="Times New Roman" w:hAnsi="Times New Roman"/>
          <w:sz w:val="22"/>
          <w:szCs w:val="22"/>
        </w:rPr>
        <w:t xml:space="preserve">Section 6.5 shows that several series are weaker than the reference compounds, and that some authors say so while others frame modest values as promising. The systematic review of imidazo[1,2-a]pyridines identifies the common gap: in vitro potency against several targets, but little in vivo validation, pharmacokinetic work or ADME/toxicity optimisation </w:t>
      </w: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Exceptions exist. One imidazothiazole–thiazolidinone series was tested in a carrageenan paw-oedema model, where the best compound inhibited oedema by 84.94% against 84.57% for diclofenac, with normal cardiac and hepatic histology and low ulcerogenic potential </w:t>
      </w:r>
      <w:r>
        <w:rPr>
          <w:rFonts w:ascii="Times New Roman" w:cs="Times New Roman" w:eastAsia="Times New Roman" w:hAnsi="Times New Roman"/>
          <w:sz w:val="22"/>
          <w:szCs w:val="22"/>
        </w:rPr>
        <w:t xml:space="preserve">[100]</w:t>
      </w:r>
      <w:r>
        <w:rPr>
          <w:rFonts w:ascii="Times New Roman" w:cs="Times New Roman" w:eastAsia="Times New Roman" w:hAnsi="Times New Roman"/>
          <w:sz w:val="22"/>
          <w:szCs w:val="22"/>
        </w:rPr>
        <w:t xml:space="preserve">. A benzimidazole lead was tested in rat and mouse behavioural models </w:t>
      </w:r>
      <w:r>
        <w:rPr>
          <w:rFonts w:ascii="Times New Roman" w:cs="Times New Roman" w:eastAsia="Times New Roman" w:hAnsi="Times New Roman"/>
          <w:sz w:val="22"/>
          <w:szCs w:val="22"/>
        </w:rPr>
        <w:t xml:space="preserve">[76]</w:t>
      </w:r>
      <w:r>
        <w:rPr>
          <w:rFonts w:ascii="Times New Roman" w:cs="Times New Roman" w:eastAsia="Times New Roman" w:hAnsi="Times New Roman"/>
          <w:sz w:val="22"/>
          <w:szCs w:val="22"/>
        </w:rPr>
        <w:t xml:space="preserve">. Antitubercular imidazothiazoles have been reported with pharmacokinetic and tolerability data in preclinical settings </w:t>
      </w: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These studies show that in vivo work is possible at the same scale as the in silico effort.</w:t>
      </w:r>
    </w:p>
    <w:p>
      <w:pPr>
        <w:pStyle w:val="Heading2"/>
        <w:keepNext/>
      </w:pPr>
      <w:r>
        <w:rPr>
          <w:rFonts w:ascii="Arial" w:cs="Arial" w:eastAsia="Arial" w:hAnsi="Arial"/>
        </w:rPr>
        <w:t xml:space="preserve">8.4 Concentration of scaffolds and targets</w:t>
      </w:r>
    </w:p>
    <w:p>
      <w:pPr>
        <w:spacing w:after="120" w:before="0" w:line="276"/>
        <w:jc w:val="left"/>
      </w:pPr>
      <w:r>
        <w:rPr>
          <w:rFonts w:ascii="Times New Roman" w:cs="Times New Roman" w:eastAsia="Times New Roman" w:hAnsi="Times New Roman"/>
          <w:sz w:val="22"/>
          <w:szCs w:val="22"/>
        </w:rPr>
        <w:t xml:space="preserve">The retrieved primary studies concentrate on a few scaffold–target pairs: benzimidazole and imidazo-fused kinase inhibitors, CYP51 antifungals, glucosamine-6-phosphate synthase antibacterials and α-amylase or α-glucosidase inhibitors. Where an abstract names a crystal structure, it is usually one per target, and the same entries recur across papers (Section 7.1). The systematic review of imidazo[1,2-a]pyridines makes a related point about chemistry, that exploration is concentrated on conventional substitution patterns and would benefit from bioisosteric and fragment-based approaches </w:t>
      </w: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We cannot say from this sample how much novelty is lost to this concentration, but it limits the information gained from each additional docking study against the same structure.</w:t>
      </w:r>
    </w:p>
    <w:p>
      <w:pPr>
        <w:pStyle w:val="Heading2"/>
        <w:keepNext/>
      </w:pPr>
      <w:r>
        <w:rPr>
          <w:rFonts w:ascii="Arial" w:cs="Arial" w:eastAsia="Arial" w:hAnsi="Arial"/>
        </w:rPr>
        <w:t xml:space="preserve">8.5 What stronger evidence looks like in the retrieved set</w:t>
      </w:r>
    </w:p>
    <w:p>
      <w:pPr>
        <w:spacing w:after="120" w:before="0" w:line="276"/>
        <w:jc w:val="left"/>
      </w:pPr>
      <w:r>
        <w:rPr>
          <w:rFonts w:ascii="Times New Roman" w:cs="Times New Roman" w:eastAsia="Times New Roman" w:hAnsi="Times New Roman"/>
          <w:sz w:val="22"/>
          <w:szCs w:val="22"/>
        </w:rPr>
        <w:t xml:space="preserve">No single paper does everything, but the retrieved set contains good examples of each element. An antifungal benzimidazole series combined MIC values, a sterol quantitation assay, direct CYP51 inhibition measured against fluconazole, docking compared with the co-crystallised ligand, toxicity tests in red blood cells and kidney cells, and predicted ADME properties </w:t>
      </w:r>
      <w:r>
        <w:rPr>
          <w:rFonts w:ascii="Times New Roman" w:cs="Times New Roman" w:eastAsia="Times New Roman" w:hAnsi="Times New Roman"/>
          <w:sz w:val="22"/>
          <w:szCs w:val="22"/>
        </w:rPr>
        <w:t xml:space="preserve">[103]</w:t>
      </w:r>
      <w:r>
        <w:rPr>
          <w:rFonts w:ascii="Times New Roman" w:cs="Times New Roman" w:eastAsia="Times New Roman" w:hAnsi="Times New Roman"/>
          <w:sz w:val="22"/>
          <w:szCs w:val="22"/>
        </w:rPr>
        <w:t xml:space="preserve">. A benzimidazole sulfonate series tested its mechanism with ROS accumulation and ergosterol supplementation instead of relying on docking </w:t>
      </w:r>
      <w:r>
        <w:rPr>
          <w:rFonts w:ascii="Times New Roman" w:cs="Times New Roman" w:eastAsia="Times New Roman" w:hAnsi="Times New Roman"/>
          <w:sz w:val="22"/>
          <w:szCs w:val="22"/>
        </w:rPr>
        <w:t xml:space="preserve">[98]</w:t>
      </w:r>
      <w:r>
        <w:rPr>
          <w:rFonts w:ascii="Times New Roman" w:cs="Times New Roman" w:eastAsia="Times New Roman" w:hAnsi="Times New Roman"/>
          <w:sz w:val="22"/>
          <w:szCs w:val="22"/>
        </w:rPr>
        <w:t xml:space="preserve">. A piperazine-linked oxadiazole series tied its cytotoxicity to G2/M arrest and to lower CDK1, CDK2 and cyclin B1, and used a normal kidney line as control </w:t>
      </w: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The imidazothiazole–thiazolidinone series added in vivo anti-inflammatory data and tissue histology </w:t>
      </w:r>
      <w:r>
        <w:rPr>
          <w:rFonts w:ascii="Times New Roman" w:cs="Times New Roman" w:eastAsia="Times New Roman" w:hAnsi="Times New Roman"/>
          <w:sz w:val="22"/>
          <w:szCs w:val="22"/>
        </w:rPr>
        <w:t xml:space="preserve">[100]</w:t>
      </w:r>
      <w:r>
        <w:rPr>
          <w:rFonts w:ascii="Times New Roman" w:cs="Times New Roman" w:eastAsia="Times New Roman" w:hAnsi="Times New Roman"/>
          <w:sz w:val="22"/>
          <w:szCs w:val="22"/>
        </w:rPr>
        <w:t xml:space="preserve">. A QSAR study stated its applicability domain, replicated its MD runs, computed MM/GBSA energies and flagged a CYP3A4 risk </w:t>
      </w:r>
      <w:r>
        <w:rPr>
          <w:rFonts w:ascii="Times New Roman" w:cs="Times New Roman" w:eastAsia="Times New Roman" w:hAnsi="Times New Roman"/>
          <w:sz w:val="22"/>
          <w:szCs w:val="22"/>
        </w:rPr>
        <w:t xml:space="preserve">[79]</w:t>
      </w:r>
      <w:r>
        <w:rPr>
          <w:rFonts w:ascii="Times New Roman" w:cs="Times New Roman" w:eastAsia="Times New Roman" w:hAnsi="Times New Roman"/>
          <w:sz w:val="22"/>
          <w:szCs w:val="22"/>
        </w:rPr>
        <w:t xml:space="preserve">, and the nitroimidazole programme went from external validation to synthesis and assay </w:t>
      </w: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Each of these does one or two things well, and the combination of all of them in one imidazole study would be an unusually complete piece of evidence. The checklist in Section 10 asks for less than that.</w:t>
      </w:r>
    </w:p>
    <w:p>
      <w:pPr>
        <w:pStyle w:val="Heading1"/>
        <w:keepNext/>
      </w:pPr>
      <w:r>
        <w:rPr>
          <w:rFonts w:ascii="Arial" w:cs="Arial" w:eastAsia="Arial" w:hAnsi="Arial"/>
        </w:rPr>
        <w:t xml:space="preserve">9. Imidazole-specific liabilities: heme coordination and cytochrome P450 inhibition</w:t>
      </w:r>
    </w:p>
    <w:p>
      <w:pPr>
        <w:spacing w:after="120" w:before="0" w:line="276"/>
        <w:jc w:val="left"/>
      </w:pPr>
      <w:r>
        <w:rPr>
          <w:rFonts w:ascii="Times New Roman" w:cs="Times New Roman" w:eastAsia="Times New Roman" w:hAnsi="Times New Roman"/>
          <w:sz w:val="22"/>
          <w:szCs w:val="22"/>
        </w:rPr>
        <w:t xml:space="preserve">The imidazole ring has a liability that its in silico workflows seldom address. The unsubstituted pyridine-type nitrogen coordinates the heme iron of cytochrome P450 enzymes, which is the basis of CYP51 inhibition in fungi and also the reason imidazole drugs inhibit human CYPs. In the classic study, five imidazole antifungals (clotrimazole, miconazole, sulconazole, tioconazole and ketoconazole) were tested against eight major human P450 enzymes with isoform-selective probe reactions. All inhibited the enzymes non-selectively. Ketoconazole seemed the most selective for CYP3A4 but also inhibited CYP2C9, and high-affinity inhibition constants were seen for CYP3A4 (0.02 to 0.03 µM for clotrimazole, miconazole and tioconazole), CYP2C19 (0.008 µM for sulconazole), CYP2C9 (0.01 µM for sulconazole) and CYP2B6 (0.04 to 0.05 µM for sulconazole and miconazole). The authors concluded that the class is likely to cause significant drug–drug interactions </w:t>
      </w:r>
      <w:r>
        <w:rPr>
          <w:rFonts w:ascii="Times New Roman" w:cs="Times New Roman" w:eastAsia="Times New Roman" w:hAnsi="Times New Roman"/>
          <w:sz w:val="22"/>
          <w:szCs w:val="22"/>
        </w:rPr>
        <w:t xml:space="preserve">[143]</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Later work shows how general the effect is. Thirteen azoles were tested against adult CYP3A4 and neonatal CYP3A7, and all the imidazole-containing azoles bound both enzymes by coordination to the heme iron, with IC50 values from 180 nM for clotrimazole to the millimolar range for imidazole itself. CYP3A4 was consistently inhibited more strongly than CYP3A7, by 1.5-fold for clotrimazole (the least selective) and 12-fold for econazole. Triazoles behaved more variably, and spectral evidence of binding was weak or absent for them </w:t>
      </w:r>
      <w:r>
        <w:rPr>
          <w:rFonts w:ascii="Times New Roman" w:cs="Times New Roman" w:eastAsia="Times New Roman" w:hAnsi="Times New Roman"/>
          <w:sz w:val="22"/>
          <w:szCs w:val="22"/>
        </w:rPr>
        <w:t xml:space="preserve">[144]</w:t>
      </w:r>
      <w:r>
        <w:rPr>
          <w:rFonts w:ascii="Times New Roman" w:cs="Times New Roman" w:eastAsia="Times New Roman" w:hAnsi="Times New Roman"/>
          <w:sz w:val="22"/>
          <w:szCs w:val="22"/>
        </w:rPr>
        <w:t xml:space="preserve">. Antifungal azoles also bind tightly to CYP46A1, a brain cholesterol-metabolising enzyme: crystal structures with voriconazole, clotrimazole and posaconazole (2.5 Å) show coordination of the iron and submicromolar dissociation constants, and the authors concluded that developing CYP51-specific antifungals will continue to be a challenge </w:t>
      </w:r>
      <w:r>
        <w:rPr>
          <w:rFonts w:ascii="Times New Roman" w:cs="Times New Roman" w:eastAsia="Times New Roman" w:hAnsi="Times New Roman"/>
          <w:sz w:val="22"/>
          <w:szCs w:val="22"/>
        </w:rPr>
        <w:t xml:space="preserve">[145]</w:t>
      </w:r>
      <w:r>
        <w:rPr>
          <w:rFonts w:ascii="Times New Roman" w:cs="Times New Roman" w:eastAsia="Times New Roman" w:hAnsi="Times New Roman"/>
          <w:sz w:val="22"/>
          <w:szCs w:val="22"/>
        </w:rPr>
        <w:t xml:space="preserve">. In the first structure of human CYP8B1, obtained with S-tioconazole, azole inhibitors, which the authors describe as tending to be poorly selective P450 inhibitors, coordinated the heme iron, and miconazole, econazole and tioconazole bound with submicromolar dissociation constants </w:t>
      </w:r>
      <w:r>
        <w:rPr>
          <w:rFonts w:ascii="Times New Roman" w:cs="Times New Roman" w:eastAsia="Times New Roman" w:hAnsi="Times New Roman"/>
          <w:sz w:val="22"/>
          <w:szCs w:val="22"/>
        </w:rPr>
        <w:t xml:space="preserve">[146]</w:t>
      </w:r>
      <w:r>
        <w:rPr>
          <w:rFonts w:ascii="Times New Roman" w:cs="Times New Roman" w:eastAsia="Times New Roman" w:hAnsi="Times New Roman"/>
          <w:sz w:val="22"/>
          <w:szCs w:val="22"/>
        </w:rPr>
        <w:t xml:space="preserve">. Fluconazole adopts a conformation in CYP3A4 that differs from the one in the target CYP51 enzymes, with water-mediated contacts, which may explain its cross-reactivity </w:t>
      </w:r>
      <w:r>
        <w:rPr>
          <w:rFonts w:ascii="Times New Roman" w:cs="Times New Roman" w:eastAsia="Times New Roman" w:hAnsi="Times New Roman"/>
          <w:sz w:val="22"/>
          <w:szCs w:val="22"/>
        </w:rPr>
        <w:t xml:space="preserve">[147]</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Three findings bear on hybrid design. Replacing imidazole by a 1,2,3-triazole, the product of click chemistry, lowered heme affinity in a model system, partly through an unfavourable entropy term, and in a CYP3A4 ligand the triazole interacted through a bridging water instead of displacing it; the same study warns that optical spectra alone can mislead about how a ligand sits in the enzyme </w:t>
      </w:r>
      <w:r>
        <w:rPr>
          <w:rFonts w:ascii="Times New Roman" w:cs="Times New Roman" w:eastAsia="Times New Roman" w:hAnsi="Times New Roman"/>
          <w:sz w:val="22"/>
          <w:szCs w:val="22"/>
        </w:rPr>
        <w:t xml:space="preserve">[148]</w:t>
      </w:r>
      <w:r>
        <w:rPr>
          <w:rFonts w:ascii="Times New Roman" w:cs="Times New Roman" w:eastAsia="Times New Roman" w:hAnsi="Times New Roman"/>
          <w:sz w:val="22"/>
          <w:szCs w:val="22"/>
        </w:rPr>
        <w:t xml:space="preserve">. A bacterial P450 bound an imidazolyl benzoic acid by coordination to the ferric iron, bound the triazolyl analogue with a ten-fold lower affinity and without displacing the water ligand, and oxidised the imidazole compound with opening of the ring, showing that the ring can be a substrate as well as an inhibitor </w:t>
      </w:r>
      <w:r>
        <w:rPr>
          <w:rFonts w:ascii="Times New Roman" w:cs="Times New Roman" w:eastAsia="Times New Roman" w:hAnsi="Times New Roman"/>
          <w:sz w:val="22"/>
          <w:szCs w:val="22"/>
        </w:rPr>
        <w:t xml:space="preserve">[149]</w:t>
      </w:r>
      <w:r>
        <w:rPr>
          <w:rFonts w:ascii="Times New Roman" w:cs="Times New Roman" w:eastAsia="Times New Roman" w:hAnsi="Times New Roman"/>
          <w:sz w:val="22"/>
          <w:szCs w:val="22"/>
        </w:rPr>
        <w:t xml:space="preserve">. And reviews of azole antifungals note that tetrazoles have lower basicity and reduced inhibition of human CYP450 enzymes in preclinical work, although their clinical advantage still needs validation </w:t>
      </w:r>
      <w:r>
        <w:rPr>
          <w:rFonts w:ascii="Times New Roman" w:cs="Times New Roman" w:eastAsia="Times New Roman" w:hAnsi="Times New Roman"/>
          <w:sz w:val="22"/>
          <w:szCs w:val="22"/>
        </w:rPr>
        <w:t xml:space="preserve">[5,113]</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Against this background, the primary imidazole literature is silent. Ten of the 15 antimicrobial and antifungal studies in our screen docked, modelled or assayed CYP51 </w:t>
      </w:r>
      <w:r>
        <w:rPr>
          <w:rFonts w:ascii="Times New Roman" w:cs="Times New Roman" w:eastAsia="Times New Roman" w:hAnsi="Times New Roman"/>
          <w:sz w:val="22"/>
          <w:szCs w:val="22"/>
        </w:rPr>
        <w:t xml:space="preserve">[51,61,64,97,98,103–107]</w:t>
      </w:r>
      <w:r>
        <w:rPr>
          <w:rFonts w:ascii="Times New Roman" w:cs="Times New Roman" w:eastAsia="Times New Roman" w:hAnsi="Times New Roman"/>
          <w:sz w:val="22"/>
          <w:szCs w:val="22"/>
        </w:rPr>
        <w:t xml:space="preserve">, and none of the 56 abstracts reports an experimental assay against a human P450. Some do raise the issue in silico. ADMET servers flag CYP inhibition when asked, as in one study that predicted CYP2C19 inhibition for all its compounds and CYP3A4 and P-glycoprotein substrate liability for the lead </w:t>
      </w:r>
      <w:r>
        <w:rPr>
          <w:rFonts w:ascii="Times New Roman" w:cs="Times New Roman" w:eastAsia="Times New Roman" w:hAnsi="Times New Roman"/>
          <w:sz w:val="22"/>
          <w:szCs w:val="22"/>
        </w:rPr>
        <w:t xml:space="preserve">[94]</w:t>
      </w:r>
      <w:r>
        <w:rPr>
          <w:rFonts w:ascii="Times New Roman" w:cs="Times New Roman" w:eastAsia="Times New Roman" w:hAnsi="Times New Roman"/>
          <w:sz w:val="22"/>
          <w:szCs w:val="22"/>
        </w:rPr>
        <w:t xml:space="preserve">, and as in a QSAR study that identified a possible CYP3A4 risk </w:t>
      </w:r>
      <w:r>
        <w:rPr>
          <w:rFonts w:ascii="Times New Roman" w:cs="Times New Roman" w:eastAsia="Times New Roman" w:hAnsi="Times New Roman"/>
          <w:sz w:val="22"/>
          <w:szCs w:val="22"/>
        </w:rPr>
        <w:t xml:space="preserve">[79]</w:t>
      </w:r>
      <w:r>
        <w:rPr>
          <w:rFonts w:ascii="Times New Roman" w:cs="Times New Roman" w:eastAsia="Times New Roman" w:hAnsi="Times New Roman"/>
          <w:sz w:val="22"/>
          <w:szCs w:val="22"/>
        </w:rPr>
        <w:t xml:space="preserve">; tool choice matters for such predictions </w:t>
      </w:r>
      <w:r>
        <w:rPr>
          <w:rFonts w:ascii="Times New Roman" w:cs="Times New Roman" w:eastAsia="Times New Roman" w:hAnsi="Times New Roman"/>
          <w:sz w:val="22"/>
          <w:szCs w:val="22"/>
        </w:rPr>
        <w:t xml:space="preserve">[139]</w:t>
      </w:r>
      <w:r>
        <w:rPr>
          <w:rFonts w:ascii="Times New Roman" w:cs="Times New Roman" w:eastAsia="Times New Roman" w:hAnsi="Times New Roman"/>
          <w:sz w:val="22"/>
          <w:szCs w:val="22"/>
        </w:rPr>
        <w:t xml:space="preserve">. Kinase-directed designs use the ring as a hinge binder </w:t>
      </w: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but nothing in the retrieved abstracts shows that such compounds avoid heme binding, because they were not tested. Experimental counter-screens are practical. Heme-coordinating inhibitors give a characteristic type II spectral shift, whereas substrates give a type I shift </w:t>
      </w:r>
      <w:r>
        <w:rPr>
          <w:rFonts w:ascii="Times New Roman" w:cs="Times New Roman" w:eastAsia="Times New Roman" w:hAnsi="Times New Roman"/>
          <w:sz w:val="22"/>
          <w:szCs w:val="22"/>
        </w:rPr>
        <w:t xml:space="preserve">[147,150]</w:t>
      </w:r>
      <w:r>
        <w:rPr>
          <w:rFonts w:ascii="Times New Roman" w:cs="Times New Roman" w:eastAsia="Times New Roman" w:hAnsi="Times New Roman"/>
          <w:sz w:val="22"/>
          <w:szCs w:val="22"/>
        </w:rPr>
        <w:t xml:space="preserve">. A 384-well spectral binding assay raised throughput 50-fold and was used to screen about 100 imidazole-containing compounds against CYP2A6, CYP2D6 and CYP8B1, where each enzyme bound a different subset with different dissociation constants </w:t>
      </w:r>
      <w:r>
        <w:rPr>
          <w:rFonts w:ascii="Times New Roman" w:cs="Times New Roman" w:eastAsia="Times New Roman" w:hAnsi="Times New Roman"/>
          <w:sz w:val="22"/>
          <w:szCs w:val="22"/>
        </w:rPr>
        <w:t xml:space="preserve">[150]</w:t>
      </w:r>
      <w:r>
        <w:rPr>
          <w:rFonts w:ascii="Times New Roman" w:cs="Times New Roman" w:eastAsia="Times New Roman" w:hAnsi="Times New Roman"/>
          <w:sz w:val="22"/>
          <w:szCs w:val="22"/>
        </w:rPr>
        <w:t xml:space="preserve">. For a new imidazole series, a small panel of human CYP binding or inhibition assays would be a modest addition to the work already done, and it would turn a liability that is currently implicit into a measured property.</w:t>
      </w:r>
    </w:p>
    <w:p>
      <w:pPr>
        <w:pStyle w:val="Heading1"/>
        <w:keepNext/>
      </w:pPr>
      <w:r>
        <w:rPr>
          <w:rFonts w:ascii="Arial" w:cs="Arial" w:eastAsia="Arial" w:hAnsi="Arial"/>
        </w:rPr>
        <w:t xml:space="preserve">10. A minimum reporting standard for in silico–guided imidazole studies</w:t>
      </w:r>
    </w:p>
    <w:p>
      <w:pPr>
        <w:spacing w:after="120" w:before="0" w:line="276"/>
        <w:jc w:val="left"/>
      </w:pPr>
      <w:r>
        <w:rPr>
          <w:rFonts w:ascii="Times New Roman" w:cs="Times New Roman" w:eastAsia="Times New Roman" w:hAnsi="Times New Roman"/>
          <w:sz w:val="22"/>
          <w:szCs w:val="22"/>
        </w:rPr>
        <w:t xml:space="preserve">The evidence above can be turned into a checklist. It is our synthesis and not a published guideline, each item is tied to the study or studies that motivate it, and most items cost little relative to the synthesis and assay work already done.</w:t>
      </w:r>
    </w:p>
    <w:p>
      <w:pPr>
        <w:pStyle w:val="ListParagraph"/>
        <w:numPr>
          <w:ilvl w:val="0"/>
          <w:numId w:val="3"/>
        </w:numPr>
        <w:spacing w:after="90" w:line="270"/>
      </w:pPr>
      <w:r>
        <w:rPr>
          <w:rFonts w:ascii="Times New Roman" w:cs="Times New Roman" w:eastAsia="Times New Roman" w:hAnsi="Times New Roman"/>
          <w:b/>
          <w:bCs/>
          <w:sz w:val="22"/>
          <w:szCs w:val="22"/>
        </w:rPr>
        <w:t xml:space="preserve">Ligand preparation.</w:t>
      </w:r>
      <w:r>
        <w:rPr>
          <w:rFonts w:ascii="Times New Roman" w:cs="Times New Roman" w:eastAsia="Times New Roman" w:hAnsi="Times New Roman"/>
          <w:sz w:val="22"/>
          <w:szCs w:val="22"/>
        </w:rPr>
        <w:t xml:space="preserve"> State the tautomer and protonation state of the imidazole at assay pH, and the software and force field used. Amphoterism and tautomerism change the hydrogen-bond pattern, and protonation errors are a recognised cause of failure in virtual screening </w:t>
      </w:r>
      <w:r>
        <w:rPr>
          <w:rFonts w:ascii="Times New Roman" w:cs="Times New Roman" w:eastAsia="Times New Roman" w:hAnsi="Times New Roman"/>
          <w:sz w:val="22"/>
          <w:szCs w:val="22"/>
        </w:rPr>
        <w:t xml:space="preserve">[1,117]</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Docking validation.</w:t>
      </w:r>
      <w:r>
        <w:rPr>
          <w:rFonts w:ascii="Times New Roman" w:cs="Times New Roman" w:eastAsia="Times New Roman" w:hAnsi="Times New Roman"/>
          <w:sz w:val="22"/>
          <w:szCs w:val="22"/>
        </w:rPr>
        <w:t xml:space="preserve"> Report the redocking RMSD for the co-crystallised ligand, use more than one program or scoring function where possible, and add enrichment with known actives and decoys where available. Pose success is program-dependent and no program is best overall </w:t>
      </w:r>
      <w:r>
        <w:rPr>
          <w:rFonts w:ascii="Times New Roman" w:cs="Times New Roman" w:eastAsia="Times New Roman" w:hAnsi="Times New Roman"/>
          <w:sz w:val="22"/>
          <w:szCs w:val="22"/>
        </w:rPr>
        <w:t xml:space="preserve">[40,122,123]</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Interpretation of scores.</w:t>
      </w:r>
      <w:r>
        <w:rPr>
          <w:rFonts w:ascii="Times New Roman" w:cs="Times New Roman" w:eastAsia="Times New Roman" w:hAnsi="Times New Roman"/>
          <w:sz w:val="22"/>
          <w:szCs w:val="22"/>
        </w:rPr>
        <w:t xml:space="preserve"> State that docking scores are hypotheses, do not compare scores between programs or papers, and do not rank potency by score alone </w:t>
      </w:r>
      <w:r>
        <w:rPr>
          <w:rFonts w:ascii="Times New Roman" w:cs="Times New Roman" w:eastAsia="Times New Roman" w:hAnsi="Times New Roman"/>
          <w:sz w:val="22"/>
          <w:szCs w:val="22"/>
        </w:rPr>
        <w:t xml:space="preserve">[16,22,23,121]</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Target-level evidence.</w:t>
      </w:r>
      <w:r>
        <w:rPr>
          <w:rFonts w:ascii="Times New Roman" w:cs="Times New Roman" w:eastAsia="Times New Roman" w:hAnsi="Times New Roman"/>
          <w:sz w:val="22"/>
          <w:szCs w:val="22"/>
        </w:rPr>
        <w:t xml:space="preserve"> If a mechanism is claimed, measure the docked target, and say when the assay measured the whole cell or organism instead. A docked enzyme is not an inhibited enzyme </w:t>
      </w:r>
      <w:r>
        <w:rPr>
          <w:rFonts w:ascii="Times New Roman" w:cs="Times New Roman" w:eastAsia="Times New Roman" w:hAnsi="Times New Roman"/>
          <w:sz w:val="22"/>
          <w:szCs w:val="22"/>
        </w:rPr>
        <w:t xml:space="preserve">[63,97,103]</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MD and free energy.</w:t>
      </w:r>
      <w:r>
        <w:rPr>
          <w:rFonts w:ascii="Times New Roman" w:cs="Times New Roman" w:eastAsia="Times New Roman" w:hAnsi="Times New Roman"/>
          <w:sz w:val="22"/>
          <w:szCs w:val="22"/>
        </w:rPr>
        <w:t xml:space="preserve"> Report trajectory length and number of replicates, state the entropy treatment of any end-point ΔG, and compare with measured affinities for known ligands of the same target. A stable trajectory shows that a pose persists </w:t>
      </w:r>
      <w:r>
        <w:rPr>
          <w:rFonts w:ascii="Times New Roman" w:cs="Times New Roman" w:eastAsia="Times New Roman" w:hAnsi="Times New Roman"/>
          <w:sz w:val="22"/>
          <w:szCs w:val="22"/>
        </w:rPr>
        <w:t xml:space="preserve">[20,126,128,129]</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DFT.</w:t>
      </w:r>
      <w:r>
        <w:rPr>
          <w:rFonts w:ascii="Times New Roman" w:cs="Times New Roman" w:eastAsia="Times New Roman" w:hAnsi="Times New Roman"/>
          <w:sz w:val="22"/>
          <w:szCs w:val="22"/>
        </w:rPr>
        <w:t xml:space="preserve"> Present descriptors as descriptive unless they are correlated with measured activity across the series, and report the functional, basis set and solvent model </w:t>
      </w:r>
      <w:r>
        <w:rPr>
          <w:rFonts w:ascii="Times New Roman" w:cs="Times New Roman" w:eastAsia="Times New Roman" w:hAnsi="Times New Roman"/>
          <w:sz w:val="22"/>
          <w:szCs w:val="22"/>
        </w:rPr>
        <w:t xml:space="preserve">[94,104,129]</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ADMET.</w:t>
      </w:r>
      <w:r>
        <w:rPr>
          <w:rFonts w:ascii="Times New Roman" w:cs="Times New Roman" w:eastAsia="Times New Roman" w:hAnsi="Times New Roman"/>
          <w:sz w:val="22"/>
          <w:szCs w:val="22"/>
        </w:rPr>
        <w:t xml:space="preserve"> Use at least two tools, state the applicability domain, and mention CYP, hERG and solubility flags explicitly </w:t>
      </w:r>
      <w:r>
        <w:rPr>
          <w:rFonts w:ascii="Times New Roman" w:cs="Times New Roman" w:eastAsia="Times New Roman" w:hAnsi="Times New Roman"/>
          <w:sz w:val="22"/>
          <w:szCs w:val="22"/>
        </w:rPr>
        <w:t xml:space="preserve">[17,21,137,139]</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Selectivity.</w:t>
      </w:r>
      <w:r>
        <w:rPr>
          <w:rFonts w:ascii="Times New Roman" w:cs="Times New Roman" w:eastAsia="Times New Roman" w:hAnsi="Times New Roman"/>
          <w:sz w:val="22"/>
          <w:szCs w:val="22"/>
        </w:rPr>
        <w:t xml:space="preserve"> Counter-screen against human CYP isoforms and against normal cells, and dock against the main off-target where a structure exists </w:t>
      </w:r>
      <w:r>
        <w:rPr>
          <w:rFonts w:ascii="Times New Roman" w:cs="Times New Roman" w:eastAsia="Times New Roman" w:hAnsi="Times New Roman"/>
          <w:sz w:val="22"/>
          <w:szCs w:val="22"/>
        </w:rPr>
        <w:t xml:space="preserve">[69,143–145,150]</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Assay reporting.</w:t>
      </w:r>
      <w:r>
        <w:rPr>
          <w:rFonts w:ascii="Times New Roman" w:cs="Times New Roman" w:eastAsia="Times New Roman" w:hAnsi="Times New Roman"/>
          <w:sz w:val="22"/>
          <w:szCs w:val="22"/>
        </w:rPr>
        <w:t xml:space="preserve"> Run the reference compound in the same assay with the same units, give replicates or dispersion, say plainly when a series is weaker than the reference, and distinguish enzyme potency from cell potency </w:t>
      </w:r>
      <w:r>
        <w:rPr>
          <w:rFonts w:ascii="Times New Roman" w:cs="Times New Roman" w:eastAsia="Times New Roman" w:hAnsi="Times New Roman"/>
          <w:sz w:val="22"/>
          <w:szCs w:val="22"/>
        </w:rPr>
        <w:t xml:space="preserve">[18,48,58,67,99,114]</w:t>
      </w:r>
      <w:r>
        <w:rPr>
          <w:rFonts w:ascii="Times New Roman" w:cs="Times New Roman" w:eastAsia="Times New Roman" w:hAnsi="Times New Roman"/>
          <w:sz w:val="22"/>
          <w:szCs w:val="22"/>
        </w:rPr>
        <w:t xml:space="preserve">.</w:t>
      </w:r>
    </w:p>
    <w:p>
      <w:pPr>
        <w:pStyle w:val="ListParagraph"/>
        <w:numPr>
          <w:ilvl w:val="0"/>
          <w:numId w:val="3"/>
        </w:numPr>
        <w:spacing w:after="90" w:line="270"/>
      </w:pPr>
      <w:r>
        <w:rPr>
          <w:rFonts w:ascii="Times New Roman" w:cs="Times New Roman" w:eastAsia="Times New Roman" w:hAnsi="Times New Roman"/>
          <w:b/>
          <w:bCs/>
          <w:sz w:val="22"/>
          <w:szCs w:val="22"/>
        </w:rPr>
        <w:t xml:space="preserve">Data and claim discipline.</w:t>
      </w:r>
      <w:r>
        <w:rPr>
          <w:rFonts w:ascii="Times New Roman" w:cs="Times New Roman" w:eastAsia="Times New Roman" w:hAnsi="Times New Roman"/>
          <w:sz w:val="22"/>
          <w:szCs w:val="22"/>
        </w:rPr>
        <w:t xml:space="preserve"> Deposit SMILES, PDB identifiers, grid definitions and parameters. Label outputs obtained by docking or ADMET prediction as predictions, give external validation and applicability domains for QSAR models, and report quantitative green-chemistry metrics when a synthesis is called green </w:t>
      </w:r>
      <w:r>
        <w:rPr>
          <w:rFonts w:ascii="Times New Roman" w:cs="Times New Roman" w:eastAsia="Times New Roman" w:hAnsi="Times New Roman"/>
          <w:sz w:val="22"/>
          <w:szCs w:val="22"/>
        </w:rPr>
        <w:t xml:space="preserve">[10,32,77,79]</w:t>
      </w:r>
      <w:r>
        <w:rPr>
          <w:rFonts w:ascii="Times New Roman" w:cs="Times New Roman" w:eastAsia="Times New Roman" w:hAnsi="Times New Roman"/>
          <w:sz w:val="22"/>
          <w:szCs w:val="22"/>
        </w:rPr>
        <w:t xml:space="preserve">.</w:t>
      </w:r>
    </w:p>
    <w:p>
      <w:pPr>
        <w:spacing w:after="60"/>
      </w:pPr>
    </w:p>
    <w:p>
      <w:pPr>
        <w:spacing w:after="120" w:before="0" w:line="276"/>
        <w:jc w:val="left"/>
      </w:pPr>
      <w:r>
        <w:rPr>
          <w:rFonts w:ascii="Times New Roman" w:cs="Times New Roman" w:eastAsia="Times New Roman" w:hAnsi="Times New Roman"/>
          <w:sz w:val="22"/>
          <w:szCs w:val="22"/>
        </w:rPr>
        <w:t xml:space="preserve">The items differ in cost. Items 1 to 3 and 10 cost only text and a repository. Items 5 to 7 cost computing time. Items 4, 8 and 9 need a small number of additional assays, such as a human CYP binding panel and a normal-cell line, which most laboratories that already run an MTT or MIC assay can add. None requires new methodology.</w:t>
      </w:r>
    </w:p>
    <w:p>
      <w:pPr>
        <w:spacing w:after="120" w:before="0" w:line="276"/>
        <w:jc w:val="left"/>
      </w:pPr>
      <w:r>
        <w:rPr>
          <w:rFonts w:ascii="Times New Roman" w:cs="Times New Roman" w:eastAsia="Times New Roman" w:hAnsi="Times New Roman"/>
          <w:sz w:val="22"/>
          <w:szCs w:val="22"/>
        </w:rPr>
        <w:t xml:space="preserve">A simple evidence ladder can guide wording. A compound that has been docked is predicted to bind. One whose complex stays stable in replicated MD is predicted to bind persistently. One that inhibits the docked enzyme in a purified assay is an enzyme inhibitor. One that also kills target cells at a concentration below its toxicity to normal cells has selective cellular activity. One that has been counter-screened against human CYPs and tested in an animal model has the beginnings of a lead profile. Some abstracts in the screen describe compounds in the vocabulary of the upper rungs on evidence from the lower ones: the title of one of the SARS-CoV-2 papers names antiviral activity, while its abstract reports docking, MD and in silico predictions </w:t>
      </w:r>
      <w:r>
        <w:rPr>
          <w:rFonts w:ascii="Times New Roman" w:cs="Times New Roman" w:eastAsia="Times New Roman" w:hAnsi="Times New Roman"/>
          <w:sz w:val="22"/>
          <w:szCs w:val="22"/>
        </w:rPr>
        <w:t xml:space="preserve">[72]</w:t>
      </w:r>
      <w:r>
        <w:rPr>
          <w:rFonts w:ascii="Times New Roman" w:cs="Times New Roman" w:eastAsia="Times New Roman" w:hAnsi="Times New Roman"/>
          <w:sz w:val="22"/>
          <w:szCs w:val="22"/>
        </w:rPr>
        <w:t xml:space="preserve">.</w:t>
      </w:r>
    </w:p>
    <w:p>
      <w:pPr>
        <w:spacing w:after="120" w:before="0" w:line="276"/>
        <w:jc w:val="left"/>
      </w:pPr>
      <w:r>
        <w:rPr>
          <w:rFonts w:ascii="Times New Roman" w:cs="Times New Roman" w:eastAsia="Times New Roman" w:hAnsi="Times New Roman"/>
          <w:sz w:val="22"/>
          <w:szCs w:val="22"/>
        </w:rPr>
        <w:t xml:space="preserve">As an illustration, take the imidazothiazole–thiazolidinone EGFR study. From its abstract alone, it measures the docked target (EGFR kinase, with erlotinib as the reference, items 4 and 9), tests a normal cell line (HEK293, part of item 8), includes MM-GBSA energies (part of item 5) and adds in vivo data </w:t>
      </w:r>
      <w:r>
        <w:rPr>
          <w:rFonts w:ascii="Times New Roman" w:cs="Times New Roman" w:eastAsia="Times New Roman" w:hAnsi="Times New Roman"/>
          <w:sz w:val="22"/>
          <w:szCs w:val="22"/>
        </w:rPr>
        <w:t xml:space="preserve">[100]</w:t>
      </w:r>
      <w:r>
        <w:rPr>
          <w:rFonts w:ascii="Times New Roman" w:cs="Times New Roman" w:eastAsia="Times New Roman" w:hAnsi="Times New Roman"/>
          <w:sz w:val="22"/>
          <w:szCs w:val="22"/>
        </w:rPr>
        <w:t xml:space="preserve">. The abstract does not say how the ligands were prepared, whether the docking was validated by redocking, whether the MD was replicated, or whether any human CYP counter-screen was run, so items 1, 2, 5 (replicates), 7 and the CYP part of item 8 cannot be judged from it. Full texts may well satisfy more items than the abstract shows. The point of the example is that the checklist describes a reachable standard and not an ideal.</w:t>
      </w:r>
    </w:p>
    <w:p>
      <w:pPr>
        <w:pStyle w:val="Heading1"/>
        <w:keepNext/>
      </w:pPr>
      <w:r>
        <w:rPr>
          <w:rFonts w:ascii="Arial" w:cs="Arial" w:eastAsia="Arial" w:hAnsi="Arial"/>
        </w:rPr>
        <w:t xml:space="preserve">11. Future directions</w:t>
      </w:r>
    </w:p>
    <w:p>
      <w:pPr>
        <w:spacing w:after="120" w:before="0" w:line="276"/>
        <w:jc w:val="left"/>
      </w:pPr>
      <w:r>
        <w:rPr>
          <w:rFonts w:ascii="Times New Roman" w:cs="Times New Roman" w:eastAsia="Times New Roman" w:hAnsi="Times New Roman"/>
          <w:sz w:val="22"/>
          <w:szCs w:val="22"/>
        </w:rPr>
        <w:t xml:space="preserve">Seven developments would most improve the field.</w:t>
      </w:r>
    </w:p>
    <w:p>
      <w:pPr>
        <w:pStyle w:val="ListParagraph"/>
        <w:numPr>
          <w:ilvl w:val="0"/>
          <w:numId w:val="4"/>
        </w:numPr>
        <w:spacing w:after="90" w:line="270"/>
      </w:pPr>
      <w:r>
        <w:rPr>
          <w:rFonts w:ascii="Times New Roman" w:cs="Times New Roman" w:eastAsia="Times New Roman" w:hAnsi="Times New Roman"/>
          <w:b/>
          <w:bCs/>
          <w:sz w:val="22"/>
          <w:szCs w:val="22"/>
        </w:rPr>
        <w:t xml:space="preserve">Prospective, closed-loop studies.</w:t>
      </w:r>
      <w:r>
        <w:rPr>
          <w:rFonts w:ascii="Times New Roman" w:cs="Times New Roman" w:eastAsia="Times New Roman" w:hAnsi="Times New Roman"/>
          <w:sz w:val="22"/>
          <w:szCs w:val="22"/>
        </w:rPr>
        <w:t xml:space="preserve"> The nitroimidazole, imidazopyridine and benzimidazole studies that moved from model to synthesis to assay report modest but real potencies </w:t>
      </w:r>
      <w:r>
        <w:rPr>
          <w:rFonts w:ascii="Times New Roman" w:cs="Times New Roman" w:eastAsia="Times New Roman" w:hAnsi="Times New Roman"/>
          <w:sz w:val="22"/>
          <w:szCs w:val="22"/>
        </w:rPr>
        <w:t xml:space="preserve">[32,75,76]</w:t>
      </w:r>
      <w:r>
        <w:rPr>
          <w:rFonts w:ascii="Times New Roman" w:cs="Times New Roman" w:eastAsia="Times New Roman" w:hAnsi="Times New Roman"/>
          <w:sz w:val="22"/>
          <w:szCs w:val="22"/>
        </w:rPr>
        <w:t xml:space="preserve">. More of this style, including negative results, would show how well the computational steps rank compounds in practice.</w:t>
      </w:r>
    </w:p>
    <w:p>
      <w:pPr>
        <w:pStyle w:val="ListParagraph"/>
        <w:numPr>
          <w:ilvl w:val="0"/>
          <w:numId w:val="4"/>
        </w:numPr>
        <w:spacing w:after="90" w:line="270"/>
      </w:pPr>
      <w:r>
        <w:rPr>
          <w:rFonts w:ascii="Times New Roman" w:cs="Times New Roman" w:eastAsia="Times New Roman" w:hAnsi="Times New Roman"/>
          <w:b/>
          <w:bCs/>
          <w:sz w:val="22"/>
          <w:szCs w:val="22"/>
        </w:rPr>
        <w:t xml:space="preserve">Imidazole-specific benchmarks and structural-frontier splits.</w:t>
      </w:r>
      <w:r>
        <w:rPr>
          <w:rFonts w:ascii="Times New Roman" w:cs="Times New Roman" w:eastAsia="Times New Roman" w:hAnsi="Times New Roman"/>
          <w:sz w:val="22"/>
          <w:szCs w:val="22"/>
        </w:rPr>
        <w:t xml:space="preserve"> Reliability evidence reviewed here comes from kinases, proteases and general ADMET sets. A public benchmark of imidazole and fused-imidazole ligands, including heme-binding targets, with scaffold and structural-frontier splits, would allow direct testing </w:t>
      </w:r>
      <w:r>
        <w:rPr>
          <w:rFonts w:ascii="Times New Roman" w:cs="Times New Roman" w:eastAsia="Times New Roman" w:hAnsi="Times New Roman"/>
          <w:sz w:val="22"/>
          <w:szCs w:val="22"/>
        </w:rPr>
        <w:t xml:space="preserve">[21,22]</w:t>
      </w:r>
      <w:r>
        <w:rPr>
          <w:rFonts w:ascii="Times New Roman" w:cs="Times New Roman" w:eastAsia="Times New Roman" w:hAnsi="Times New Roman"/>
          <w:sz w:val="22"/>
          <w:szCs w:val="22"/>
        </w:rPr>
        <w:t xml:space="preserve">.</w:t>
      </w:r>
    </w:p>
    <w:p>
      <w:pPr>
        <w:pStyle w:val="ListParagraph"/>
        <w:numPr>
          <w:ilvl w:val="0"/>
          <w:numId w:val="4"/>
        </w:numPr>
        <w:spacing w:after="90" w:line="270"/>
      </w:pPr>
      <w:r>
        <w:rPr>
          <w:rFonts w:ascii="Times New Roman" w:cs="Times New Roman" w:eastAsia="Times New Roman" w:hAnsi="Times New Roman"/>
          <w:b/>
          <w:bCs/>
          <w:sz w:val="22"/>
          <w:szCs w:val="22"/>
        </w:rPr>
        <w:t xml:space="preserve">Physics-based refinement for lead optimisation.</w:t>
      </w:r>
      <w:r>
        <w:rPr>
          <w:rFonts w:ascii="Times New Roman" w:cs="Times New Roman" w:eastAsia="Times New Roman" w:hAnsi="Times New Roman"/>
          <w:sz w:val="22"/>
          <w:szCs w:val="22"/>
        </w:rPr>
        <w:t xml:space="preserve"> Independent preprints find that current co-folding and machine-learning scoring lack the resolution to rank near-identical analogues, while ensemble free-energy methods and careful rescoring help </w:t>
      </w:r>
      <w:r>
        <w:rPr>
          <w:rFonts w:ascii="Times New Roman" w:cs="Times New Roman" w:eastAsia="Times New Roman" w:hAnsi="Times New Roman"/>
          <w:sz w:val="22"/>
          <w:szCs w:val="22"/>
        </w:rPr>
        <w:t xml:space="preserve">[20,23,128,131]</w:t>
      </w:r>
      <w:r>
        <w:rPr>
          <w:rFonts w:ascii="Times New Roman" w:cs="Times New Roman" w:eastAsia="Times New Roman" w:hAnsi="Times New Roman"/>
          <w:sz w:val="22"/>
          <w:szCs w:val="22"/>
        </w:rPr>
        <w:t xml:space="preserve">.</w:t>
      </w:r>
    </w:p>
    <w:p>
      <w:pPr>
        <w:pStyle w:val="ListParagraph"/>
        <w:numPr>
          <w:ilvl w:val="0"/>
          <w:numId w:val="4"/>
        </w:numPr>
        <w:spacing w:after="90" w:line="270"/>
      </w:pPr>
      <w:r>
        <w:rPr>
          <w:rFonts w:ascii="Times New Roman" w:cs="Times New Roman" w:eastAsia="Times New Roman" w:hAnsi="Times New Roman"/>
          <w:b/>
          <w:bCs/>
          <w:sz w:val="22"/>
          <w:szCs w:val="22"/>
        </w:rPr>
        <w:t xml:space="preserve">Selectivity-aware design.</w:t>
      </w:r>
      <w:r>
        <w:rPr>
          <w:rFonts w:ascii="Times New Roman" w:cs="Times New Roman" w:eastAsia="Times New Roman" w:hAnsi="Times New Roman"/>
          <w:sz w:val="22"/>
          <w:szCs w:val="22"/>
        </w:rPr>
        <w:t xml:space="preserve"> Counter-screening against human CYPs, high-throughput binding assays and the use of heme-binding alternatives such as triazoles or tetrazoles address the central imidazole-specific liability </w:t>
      </w:r>
      <w:r>
        <w:rPr>
          <w:rFonts w:ascii="Times New Roman" w:cs="Times New Roman" w:eastAsia="Times New Roman" w:hAnsi="Times New Roman"/>
          <w:sz w:val="22"/>
          <w:szCs w:val="22"/>
        </w:rPr>
        <w:t xml:space="preserve">[5,148,150]</w:t>
      </w:r>
      <w:r>
        <w:rPr>
          <w:rFonts w:ascii="Times New Roman" w:cs="Times New Roman" w:eastAsia="Times New Roman" w:hAnsi="Times New Roman"/>
          <w:sz w:val="22"/>
          <w:szCs w:val="22"/>
        </w:rPr>
        <w:t xml:space="preserve">.</w:t>
      </w:r>
    </w:p>
    <w:p>
      <w:pPr>
        <w:pStyle w:val="ListParagraph"/>
        <w:numPr>
          <w:ilvl w:val="0"/>
          <w:numId w:val="4"/>
        </w:numPr>
        <w:spacing w:after="90" w:line="270"/>
      </w:pPr>
      <w:r>
        <w:rPr>
          <w:rFonts w:ascii="Times New Roman" w:cs="Times New Roman" w:eastAsia="Times New Roman" w:hAnsi="Times New Roman"/>
          <w:b/>
          <w:bCs/>
          <w:sz w:val="22"/>
          <w:szCs w:val="22"/>
        </w:rPr>
        <w:t xml:space="preserve">Broader chemistry and in vivo follow-up.</w:t>
      </w:r>
      <w:r>
        <w:rPr>
          <w:rFonts w:ascii="Times New Roman" w:cs="Times New Roman" w:eastAsia="Times New Roman" w:hAnsi="Times New Roman"/>
          <w:sz w:val="22"/>
          <w:szCs w:val="22"/>
        </w:rPr>
        <w:t xml:space="preserve"> Bioisosteric and fragment-based approaches, and pharmacokinetic and in vivo work, are the gaps that the scaffold reviews name </w:t>
      </w:r>
      <w:r>
        <w:rPr>
          <w:rFonts w:ascii="Times New Roman" w:cs="Times New Roman" w:eastAsia="Times New Roman" w:hAnsi="Times New Roman"/>
          <w:sz w:val="22"/>
          <w:szCs w:val="22"/>
        </w:rPr>
        <w:t xml:space="preserve">[29,38]</w:t>
      </w:r>
      <w:r>
        <w:rPr>
          <w:rFonts w:ascii="Times New Roman" w:cs="Times New Roman" w:eastAsia="Times New Roman" w:hAnsi="Times New Roman"/>
          <w:sz w:val="22"/>
          <w:szCs w:val="22"/>
        </w:rPr>
        <w:t xml:space="preserve">.</w:t>
      </w:r>
    </w:p>
    <w:p>
      <w:pPr>
        <w:pStyle w:val="ListParagraph"/>
        <w:numPr>
          <w:ilvl w:val="0"/>
          <w:numId w:val="4"/>
        </w:numPr>
        <w:spacing w:after="90" w:line="270"/>
      </w:pPr>
      <w:r>
        <w:rPr>
          <w:rFonts w:ascii="Times New Roman" w:cs="Times New Roman" w:eastAsia="Times New Roman" w:hAnsi="Times New Roman"/>
          <w:b/>
          <w:bCs/>
          <w:sz w:val="22"/>
          <w:szCs w:val="22"/>
        </w:rPr>
        <w:t xml:space="preserve">Resistance, One Health and sustainability.</w:t>
      </w:r>
      <w:r>
        <w:rPr>
          <w:rFonts w:ascii="Times New Roman" w:cs="Times New Roman" w:eastAsia="Times New Roman" w:hAnsi="Times New Roman"/>
          <w:sz w:val="22"/>
          <w:szCs w:val="22"/>
        </w:rPr>
        <w:t xml:space="preserve"> Azole resistance is rising across clinical and agricultural settings, so antifungal design has to anticipate CYP51 mutations, efflux and biofilms, and quantitative green-chemistry metrics and scale-up data would make environmental claims comparable </w:t>
      </w:r>
      <w:r>
        <w:rPr>
          <w:rFonts w:ascii="Times New Roman" w:cs="Times New Roman" w:eastAsia="Times New Roman" w:hAnsi="Times New Roman"/>
          <w:sz w:val="22"/>
          <w:szCs w:val="22"/>
        </w:rPr>
        <w:t xml:space="preserve">[10,102,108,109,112]</w:t>
      </w:r>
      <w:r>
        <w:rPr>
          <w:rFonts w:ascii="Times New Roman" w:cs="Times New Roman" w:eastAsia="Times New Roman" w:hAnsi="Times New Roman"/>
          <w:sz w:val="22"/>
          <w:szCs w:val="22"/>
        </w:rPr>
        <w:t xml:space="preserve">.</w:t>
      </w:r>
    </w:p>
    <w:p>
      <w:pPr>
        <w:pStyle w:val="ListParagraph"/>
        <w:numPr>
          <w:ilvl w:val="0"/>
          <w:numId w:val="4"/>
        </w:numPr>
        <w:spacing w:after="90" w:line="270"/>
      </w:pPr>
      <w:r>
        <w:rPr>
          <w:rFonts w:ascii="Times New Roman" w:cs="Times New Roman" w:eastAsia="Times New Roman" w:hAnsi="Times New Roman"/>
          <w:b/>
          <w:bCs/>
          <w:sz w:val="22"/>
          <w:szCs w:val="22"/>
        </w:rPr>
        <w:t xml:space="preserve">Data sharing.</w:t>
      </w:r>
      <w:r>
        <w:rPr>
          <w:rFonts w:ascii="Times New Roman" w:cs="Times New Roman" w:eastAsia="Times New Roman" w:hAnsi="Times New Roman"/>
          <w:sz w:val="22"/>
          <w:szCs w:val="22"/>
        </w:rPr>
        <w:t xml:space="preserve"> Standardised library preparation, FAIR data principles and prospective benchmarking protocols are named by recent reviews as ways to reduce dataset bias and reproducibility problems in docking and virtual screening </w:t>
      </w:r>
      <w:r>
        <w:rPr>
          <w:rFonts w:ascii="Times New Roman" w:cs="Times New Roman" w:eastAsia="Times New Roman" w:hAnsi="Times New Roman"/>
          <w:sz w:val="22"/>
          <w:szCs w:val="22"/>
        </w:rPr>
        <w:t xml:space="preserve">[117]</w:t>
      </w:r>
      <w:r>
        <w:rPr>
          <w:rFonts w:ascii="Times New Roman" w:cs="Times New Roman" w:eastAsia="Times New Roman" w:hAnsi="Times New Roman"/>
          <w:sz w:val="22"/>
          <w:szCs w:val="22"/>
        </w:rPr>
        <w:t xml:space="preserve">. Depositing structures, protocols and trajectories with each paper would let others test the predictions.</w:t>
      </w:r>
    </w:p>
    <w:p>
      <w:pPr>
        <w:spacing w:after="60"/>
      </w:pPr>
    </w:p>
    <w:p>
      <w:pPr>
        <w:pStyle w:val="Heading1"/>
        <w:keepNext/>
      </w:pPr>
      <w:r>
        <w:rPr>
          <w:rFonts w:ascii="Arial" w:cs="Arial" w:eastAsia="Arial" w:hAnsi="Arial"/>
        </w:rPr>
        <w:t xml:space="preserve">12. Conclusions</w:t>
      </w:r>
    </w:p>
    <w:p>
      <w:pPr>
        <w:spacing w:after="120" w:before="0" w:line="276"/>
        <w:jc w:val="left"/>
      </w:pPr>
      <w:r>
        <w:rPr>
          <w:rFonts w:ascii="Times New Roman" w:cs="Times New Roman" w:eastAsia="Times New Roman" w:hAnsi="Times New Roman"/>
          <w:sz w:val="22"/>
          <w:szCs w:val="22"/>
        </w:rPr>
        <w:t xml:space="preserve">Imidazole chemistry is mature enough that new derivatives are cheap to make and easy to characterise, and the best recent studies show that designed molecules can reach nanomolar kinase inhibition or low-micromolar antifungal potency. The weakest link is not synthesis but the inferences drawn from computation. Docking scores are hypothesis generators with poor affinity ranking in independent tests. In the abstracts we screened, the docked target was measured in only about half of the studies that docked it, in vivo results appeared in two of 56, and human cytochrome P450 liability, the best-documented off-target effect of the imidazole ring, was not tested experimentally in any. Molecular dynamics shows stability rather than potency, DFT descriptors are rarely tested against activity, and ADMET servers lose accuracy outside their training chemistry. A modest reporting standard (validated docking, replicated simulations, multi-tool ADMET, counter-screens and same-assay references) would let readers separate predictions from measurements. The closed-loop studies that already exist show it can be done. Considered together, the literature supports a measured view. The scaffold is productive, the chemistry is efficient, and a minority of studies already provide the kind of evidence that others can build on. The task for the next wave of imidazole papers is to test what the existing computation predicted, including the off-target liabilities that the ring is known to carry.</w:t>
      </w:r>
    </w:p>
    <w:p>
      <w:pPr>
        <w:pStyle w:val="Heading1"/>
        <w:keepNext/>
      </w:pPr>
      <w:r>
        <w:rPr>
          <w:rFonts w:ascii="Arial" w:cs="Arial" w:eastAsia="Arial" w:hAnsi="Arial"/>
        </w:rPr>
        <w:t xml:space="preserve">Limitations of this review</w:t>
      </w:r>
    </w:p>
    <w:p>
      <w:pPr>
        <w:spacing w:after="120" w:before="0" w:line="276"/>
        <w:jc w:val="left"/>
      </w:pPr>
      <w:r>
        <w:rPr>
          <w:rFonts w:ascii="Times New Roman" w:cs="Times New Roman" w:eastAsia="Times New Roman" w:hAnsi="Times New Roman"/>
          <w:sz w:val="22"/>
          <w:szCs w:val="22"/>
        </w:rPr>
        <w:t xml:space="preserve">The search was deliberately broad and limited in depth. Reading of primary studies relied on abstracts, so statements about what is rarely reported are bounded by that, and the keyword screen of 56 abstracts gives lower bounds on what the full papers did. The sample is weighted toward in silico-supported synthesis papers and toward benzimidazole and fused systems. Consensus returned at most 20 records per query, and alphaXiv contributed only one on-topic medicinal-chemistry preprint. Preprints are not peer reviewed. Citation counts are those returned by Consensus on the search date and are not corrected for age. The reliability evidence in Section 7 comes mostly from non-imidazole systems and transfers by analogy. Potencies from different papers should not be pooled, and we did not attempt a quantitative synthesis. The classification of whether a docked target was also assayed rests on the wording of each abstract and was done by a single coder, so individual classifications may differ from the full texts. The cap of 150 papers means that many relevant records among the 377 retrieved are not cited here.</w:t>
      </w:r>
    </w:p>
    <w:p>
      <w:pPr>
        <w:pStyle w:val="Heading1"/>
        <w:keepNext/>
      </w:pPr>
      <w:r>
        <w:rPr>
          <w:rFonts w:ascii="Arial" w:cs="Arial" w:eastAsia="Arial" w:hAnsi="Arial"/>
        </w:rPr>
        <w:t xml:space="preserve">Data availability</w:t>
      </w:r>
    </w:p>
    <w:p>
      <w:pPr>
        <w:spacing w:after="120" w:before="0" w:line="276"/>
        <w:jc w:val="left"/>
      </w:pPr>
      <w:r>
        <w:rPr>
          <w:rFonts w:ascii="Times New Roman" w:cs="Times New Roman" w:eastAsia="Times New Roman" w:hAnsi="Times New Roman"/>
          <w:sz w:val="22"/>
          <w:szCs w:val="22"/>
        </w:rPr>
        <w:t xml:space="preserve">The search log (21 Consensus searches and 3 alphaXiv queries) and a table of the 150 cited papers with links are provided in the accompanying files (</w:t>
      </w:r>
      <w:r>
        <w:rPr>
          <w:rFonts w:ascii="Consolas" w:cs="Consolas" w:eastAsia="Consolas" w:hAnsi="Consolas"/>
          <w:sz w:val="22"/>
          <w:szCs w:val="22"/>
        </w:rPr>
        <w:t xml:space="preserve">search-log.csv</w:t>
      </w:r>
      <w:r>
        <w:rPr>
          <w:rFonts w:ascii="Times New Roman" w:cs="Times New Roman" w:eastAsia="Times New Roman" w:hAnsi="Times New Roman"/>
          <w:sz w:val="22"/>
          <w:szCs w:val="22"/>
        </w:rPr>
        <w:t xml:space="preserve">, </w:t>
      </w:r>
      <w:r>
        <w:rPr>
          <w:rFonts w:ascii="Consolas" w:cs="Consolas" w:eastAsia="Consolas" w:hAnsi="Consolas"/>
          <w:sz w:val="22"/>
          <w:szCs w:val="22"/>
        </w:rPr>
        <w:t xml:space="preserve">references.csv</w:t>
      </w:r>
      <w:r>
        <w:rPr>
          <w:rFonts w:ascii="Times New Roman" w:cs="Times New Roman" w:eastAsia="Times New Roman" w:hAnsi="Times New Roman"/>
          <w:sz w:val="22"/>
          <w:szCs w:val="22"/>
        </w:rPr>
        <w:t xml:space="preserve">).</w:t>
      </w:r>
    </w:p>
    <w:p>
      <w:pPr>
        <w:pStyle w:val="Heading1"/>
        <w:keepNext/>
      </w:pPr>
      <w:r>
        <w:rPr>
          <w:rFonts w:ascii="Arial" w:cs="Arial" w:eastAsia="Arial" w:hAnsi="Arial"/>
        </w:rPr>
        <w:t xml:space="preserve">References</w:t>
      </w:r>
    </w:p>
    <w:p>
      <w:pPr>
        <w:spacing w:after="70" w:line="235"/>
        <w:ind w:left="360" w:hanging="36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Ankit Siwach et al. (2021). Synthesis and therapeutic potential of imidazole containing compounds. BMC Chemistry. </w:t>
      </w:r>
      <w:hyperlink w:history="1" r:id="rIdzjjee7-ojvpjaiynhltxy">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xpmj46ydugzh5oo7riftg">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H. Tolomeu et al. (2023). Imidazole: Synthesis, Functionalization and Physicochemical Properties of a Privileged Structure in Medicinal Chemistry. Molecules. </w:t>
      </w:r>
      <w:hyperlink w:history="1" r:id="rIdrh_e4s87k-qky5v5yjw1k">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wlpawmgjzzzoxht1njlx">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Alexandra Burlacu et al. (2026). Importance and Involvement of Imidazole Structure in Current and Future Therapy. Molecules. </w:t>
      </w:r>
      <w:hyperlink w:history="1" r:id="rIdb48td5y0dr3pf8xvvapxx">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v3qkm7x8iof8xv-xmzgr">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N. K. et al. (2026). Imidazoles in medicine: a review of its pharmacological and therapeutic applications. Phosphorus, Sulfur, and Silicon and the Related Elements. </w:t>
      </w:r>
      <w:hyperlink w:history="1" r:id="rId9n3k-vuqrz6g1we_ta-mm">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zxgnn-9g_mg6afauqwfwc">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Ya-Jing Yin et al. (2026). Advances in Azole Antifungal Agents: From Structural Foundations to Resistance Challenges. Journal of Fungi. </w:t>
      </w:r>
      <w:hyperlink w:history="1" r:id="rIdp67l9mlja2vnuzk3qjf03">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rjnvporopultsoach3yu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Ling Zhang et al. (2014). Comprehensive Review in Current Developments of Imidazole‐Based Medicinal Chemistry. Medicinal Research Reviews. </w:t>
      </w:r>
      <w:hyperlink w:history="1" r:id="rIdtnjb0o5us9jqbf-ogzgri">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5moyeicmblvpfd9kgcb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S. Alghamdi et al. (2021). Imidazole as a Promising Medicinal Scaffold: Current Status and Future Direction. Drug Design, Development and Therapy. </w:t>
      </w:r>
      <w:hyperlink w:history="1" r:id="rIdllliu9ycctorr_tvn8fn_">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4ogmusgj5wzn7z8-rnyy3">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G. Yadav et al. (2025). An insight into Synthetic, Structural and Medicinal perspective of imidazole analogs: A review. European journal of medicinal chemistry. </w:t>
      </w:r>
      <w:hyperlink w:history="1" r:id="rIdtpqxrrm7dy_fpkcfq_qcu">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7asragubipieb6qqloxds">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S. Poyraz et al. (2024). Recent pharmacological insights about imidazole hybrids: a comprehensive review. Medicinal Chemistry Research. </w:t>
      </w:r>
      <w:hyperlink w:history="1" r:id="rIdzbgqwo2g3tpkcf47nkax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fh3nwwudimmcsst514j">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sz w:val="18"/>
          <w:szCs w:val="18"/>
        </w:rPr>
        <w:t xml:space="preserve">A. Kaldybayeva et al. (2026). Recent Progress in the Sustainable Synthesis of Imidazole Derivatives: Advances in Multicomponent Reactions, Catalysis, and Green Chemistry. Molecules. </w:t>
      </w:r>
      <w:hyperlink w:history="1" r:id="rIdgflm6r_i8ycqv0rqknnmu">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m3v8y2rqwchhwlrrm7qsm">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sz w:val="18"/>
          <w:szCs w:val="18"/>
        </w:rPr>
        <w:t xml:space="preserve">M. M. Devi et al. (2024). Synthesis of imidazole derivatives in the last 5 years: An update. Heterocyclic Communications. </w:t>
      </w:r>
      <w:hyperlink w:history="1" r:id="rIdemyio9cvaeu39r0scg1rd">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d7mkp5ur6_e5ro0l9yoej">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sz w:val="18"/>
          <w:szCs w:val="18"/>
        </w:rPr>
        <w:t xml:space="preserve">Benu Chaudhary et al. (2022). Versatile Imidazole Synthesis Via Multicomponent Reaction Approach. Journal of Heterocyclic Chemistry. </w:t>
      </w:r>
      <w:hyperlink w:history="1" r:id="rIdfpyckho9lveqikxqql9on">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qi5celt-9s9ru38ozetg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13. </w:t>
      </w:r>
      <w:r>
        <w:rPr>
          <w:rFonts w:ascii="Times New Roman" w:cs="Times New Roman" w:eastAsia="Times New Roman" w:hAnsi="Times New Roman"/>
          <w:sz w:val="18"/>
          <w:szCs w:val="18"/>
        </w:rPr>
        <w:t xml:space="preserve">V. T. Sabe et al. (2021). Current trends in computer aided drug design and a highlight of drugs discovered via computational techniques: A review. European journal of medicinal chemistry. </w:t>
      </w:r>
      <w:hyperlink w:history="1" r:id="rIdvunbs6rv6zhkflpek4chh">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bkvqnsw7aocibbnrfdn-g">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14. </w:t>
      </w:r>
      <w:r>
        <w:rPr>
          <w:rFonts w:ascii="Times New Roman" w:cs="Times New Roman" w:eastAsia="Times New Roman" w:hAnsi="Times New Roman"/>
          <w:sz w:val="18"/>
          <w:szCs w:val="18"/>
        </w:rPr>
        <w:t xml:space="preserve">Jin Li et al. (2019). An Overview of Scoring Functions Used for Protein–Ligand Interactions in Molecular Docking. Interdisciplinary Sciences: Computational Life Sciences. </w:t>
      </w:r>
      <w:hyperlink w:history="1" r:id="rIdzi1yglu6f1e2e_wgdwu4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nz1day3nho6v9zlmphhj">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15. </w:t>
      </w:r>
      <w:r>
        <w:rPr>
          <w:rFonts w:ascii="Times New Roman" w:cs="Times New Roman" w:eastAsia="Times New Roman" w:hAnsi="Times New Roman"/>
          <w:sz w:val="18"/>
          <w:szCs w:val="18"/>
        </w:rPr>
        <w:t xml:space="preserve">I. Guedes et al. (2018). Empirical Scoring Functions for Structure-Based Virtual Screening: Applications, Critical Aspects, and Challenges. Frontiers in Pharmacology. </w:t>
      </w:r>
      <w:hyperlink w:history="1" r:id="rIdujliq_-slqbu4r_-if2x6">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hwhfpiorb9gllch7gkpr">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16. </w:t>
      </w:r>
      <w:r>
        <w:rPr>
          <w:rFonts w:ascii="Times New Roman" w:cs="Times New Roman" w:eastAsia="Times New Roman" w:hAnsi="Times New Roman"/>
          <w:sz w:val="18"/>
          <w:szCs w:val="18"/>
        </w:rPr>
        <w:t xml:space="preserve">Laust Moesgaard et al. (2026). Modeling the Sensitivity of Large-Scale Virtual Screening to Scoring Function Accuracy, Artifacts, and Library Composition. Journal of Chemical Information and Modeling. </w:t>
      </w:r>
      <w:hyperlink w:history="1" r:id="rIdly1r0yfejjxvq_8jafa9e">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vw9hpma1rtvevtmalwuvo">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17. </w:t>
      </w:r>
      <w:r>
        <w:rPr>
          <w:rFonts w:ascii="Times New Roman" w:cs="Times New Roman" w:eastAsia="Times New Roman" w:hAnsi="Times New Roman"/>
          <w:sz w:val="18"/>
          <w:szCs w:val="18"/>
        </w:rPr>
        <w:t xml:space="preserve">Sagar Agrawal et al. (2026). In silico ADMET: Supporting new drug discovery. Future Health. </w:t>
      </w:r>
      <w:hyperlink w:history="1" r:id="rIdi2vmdtbnpjcow8zl-7svo">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_gpcifzpni5ucbvgpawrj">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18. </w:t>
      </w:r>
      <w:r>
        <w:rPr>
          <w:rFonts w:ascii="Times New Roman" w:cs="Times New Roman" w:eastAsia="Times New Roman" w:hAnsi="Times New Roman"/>
          <w:sz w:val="18"/>
          <w:szCs w:val="18"/>
        </w:rPr>
        <w:t xml:space="preserve">Gopal K. Padhy; Jagadeesh Panda; Ajaya K. Behera (2020). Synthesis and characterization of novel benzimidazole embedded 1,3,5-trisubstituted pyrazolines as antimicrobial agents. arXiv:2005.01375, 4 May 2020 (deposit of J. Serb. Chem. Soc. 2017 paper). [Preprint, not peer reviewed] </w:t>
      </w:r>
      <w:hyperlink w:history="1" r:id="rId9j1_qqax9ybzazptsog5j">
        <w:r>
          <w:rPr>
            <w:rStyle w:val="Hyperlink"/>
            <w:rFonts w:ascii="Times New Roman" w:cs="Times New Roman" w:eastAsia="Times New Roman" w:hAnsi="Times New Roman"/>
            <w:sz w:val="18"/>
            <w:szCs w:val="18"/>
          </w:rPr>
          <w:t xml:space="preserve">View on alphaXiv</w:t>
        </w:r>
      </w:hyperlink>
    </w:p>
    <w:p>
      <w:pPr>
        <w:spacing w:after="70" w:line="235"/>
        <w:ind w:left="360" w:hanging="360"/>
      </w:pPr>
      <w:r>
        <w:rPr>
          <w:rFonts w:ascii="Times New Roman" w:cs="Times New Roman" w:eastAsia="Times New Roman" w:hAnsi="Times New Roman"/>
          <w:b/>
          <w:bCs/>
          <w:sz w:val="18"/>
          <w:szCs w:val="18"/>
        </w:rPr>
        <w:t xml:space="preserve">19. </w:t>
      </w:r>
      <w:r>
        <w:rPr>
          <w:rFonts w:ascii="Times New Roman" w:cs="Times New Roman" w:eastAsia="Times New Roman" w:hAnsi="Times New Roman"/>
          <w:sz w:val="18"/>
          <w:szCs w:val="18"/>
        </w:rPr>
        <w:t xml:space="preserve">Bapi Dey; Sudip Suklabaidya; Swapan Majumdar; Pabitra Kumar Paul; Debajyoti Bhattacharjee; Syed Arshad Hussain (2019). Effect of Functional Group on Electrical Switching Behaviour of an Imidazole Derivative in Langmuir-Blodgett Film. arXiv:1907.12004, 28 Jul 2019. [Preprint, not peer reviewed] </w:t>
      </w:r>
      <w:hyperlink w:history="1" r:id="rIdq0rl8yhp-yi8umjon42cx">
        <w:r>
          <w:rPr>
            <w:rStyle w:val="Hyperlink"/>
            <w:rFonts w:ascii="Times New Roman" w:cs="Times New Roman" w:eastAsia="Times New Roman" w:hAnsi="Times New Roman"/>
            <w:sz w:val="18"/>
            <w:szCs w:val="18"/>
          </w:rPr>
          <w:t xml:space="preserve">View on alphaXiv</w:t>
        </w:r>
      </w:hyperlink>
    </w:p>
    <w:p>
      <w:pPr>
        <w:spacing w:after="70" w:line="235"/>
        <w:ind w:left="360" w:hanging="360"/>
      </w:pPr>
      <w:r>
        <w:rPr>
          <w:rFonts w:ascii="Times New Roman" w:cs="Times New Roman" w:eastAsia="Times New Roman" w:hAnsi="Times New Roman"/>
          <w:b/>
          <w:bCs/>
          <w:sz w:val="18"/>
          <w:szCs w:val="18"/>
        </w:rPr>
        <w:t xml:space="preserve">20. </w:t>
      </w:r>
      <w:r>
        <w:rPr>
          <w:rFonts w:ascii="Times New Roman" w:cs="Times New Roman" w:eastAsia="Times New Roman" w:hAnsi="Times New Roman"/>
          <w:sz w:val="18"/>
          <w:szCs w:val="18"/>
        </w:rPr>
        <w:t xml:space="preserve">Shunzhou Wan; Xibei Zhang; Xiao Xue; Peter V. Coveney (2026). On the Reliability of AI Methods in Drug Discovery: Evaluation of Boltz-2 for Structure and Binding Affinity Prediction. arXiv:2603.05532 [physics.chem-ph], 2 Mar 2026. [Preprint, not peer reviewed] </w:t>
      </w:r>
      <w:hyperlink w:history="1" r:id="rIdkkru4bbadjrhmjwcxkuhs">
        <w:r>
          <w:rPr>
            <w:rStyle w:val="Hyperlink"/>
            <w:rFonts w:ascii="Times New Roman" w:cs="Times New Roman" w:eastAsia="Times New Roman" w:hAnsi="Times New Roman"/>
            <w:sz w:val="18"/>
            <w:szCs w:val="18"/>
          </w:rPr>
          <w:t xml:space="preserve">View on alphaXiv</w:t>
        </w:r>
      </w:hyperlink>
    </w:p>
    <w:p>
      <w:pPr>
        <w:spacing w:after="70" w:line="235"/>
        <w:ind w:left="360" w:hanging="360"/>
      </w:pPr>
      <w:r>
        <w:rPr>
          <w:rFonts w:ascii="Times New Roman" w:cs="Times New Roman" w:eastAsia="Times New Roman" w:hAnsi="Times New Roman"/>
          <w:b/>
          <w:bCs/>
          <w:sz w:val="18"/>
          <w:szCs w:val="18"/>
        </w:rPr>
        <w:t xml:space="preserve">21. </w:t>
      </w:r>
      <w:r>
        <w:rPr>
          <w:rFonts w:ascii="Times New Roman" w:cs="Times New Roman" w:eastAsia="Times New Roman" w:hAnsi="Times New Roman"/>
          <w:sz w:val="18"/>
          <w:szCs w:val="18"/>
        </w:rPr>
        <w:t xml:space="preserve">Jiacheng Zheng; Chang Guo; Zixuan Wang; Xinyu Liu; Hao Chen (2026). Beyond Scaffold Splits: Structural-Frontier Evaluation Reveals Hidden Failures in ADMET Models. arXiv:2607.10729v4 [cs.LG], 6 Oct 2026. [Preprint, not peer reviewed] </w:t>
      </w:r>
      <w:hyperlink w:history="1" r:id="rIdippfjpdaal_zlhuh7e_o8">
        <w:r>
          <w:rPr>
            <w:rStyle w:val="Hyperlink"/>
            <w:rFonts w:ascii="Times New Roman" w:cs="Times New Roman" w:eastAsia="Times New Roman" w:hAnsi="Times New Roman"/>
            <w:sz w:val="18"/>
            <w:szCs w:val="18"/>
          </w:rPr>
          <w:t xml:space="preserve">View on alphaXiv</w:t>
        </w:r>
      </w:hyperlink>
    </w:p>
    <w:p>
      <w:pPr>
        <w:spacing w:after="70" w:line="235"/>
        <w:ind w:left="360" w:hanging="360"/>
      </w:pPr>
      <w:r>
        <w:rPr>
          <w:rFonts w:ascii="Times New Roman" w:cs="Times New Roman" w:eastAsia="Times New Roman" w:hAnsi="Times New Roman"/>
          <w:b/>
          <w:bCs/>
          <w:sz w:val="18"/>
          <w:szCs w:val="18"/>
        </w:rPr>
        <w:t xml:space="preserve">22. </w:t>
      </w:r>
      <w:r>
        <w:rPr>
          <w:rFonts w:ascii="Times New Roman" w:cs="Times New Roman" w:eastAsia="Times New Roman" w:hAnsi="Times New Roman"/>
          <w:sz w:val="18"/>
          <w:szCs w:val="18"/>
        </w:rPr>
        <w:t xml:space="preserve">Jakub Kopko; David Graber; Saltuk Mustafa Eyrilmez; Stanislav Mazurenko; David Bednar; Jiri Sedlar; Josef Sivic (2025). Generalization Beyond Benchmarks: Evaluating Learnable Protein-Ligand Scoring Functions on Unseen Targets. arXiv:2512.05386 [cs.LG], 5 Dec 2025. [Preprint, not peer reviewed] </w:t>
      </w:r>
      <w:hyperlink w:history="1" r:id="rId5bsj7489rnkipvim5hase">
        <w:r>
          <w:rPr>
            <w:rStyle w:val="Hyperlink"/>
            <w:rFonts w:ascii="Times New Roman" w:cs="Times New Roman" w:eastAsia="Times New Roman" w:hAnsi="Times New Roman"/>
            <w:sz w:val="18"/>
            <w:szCs w:val="18"/>
          </w:rPr>
          <w:t xml:space="preserve">View on alphaXiv</w:t>
        </w:r>
      </w:hyperlink>
    </w:p>
    <w:p>
      <w:pPr>
        <w:spacing w:after="70" w:line="235"/>
        <w:ind w:left="360" w:hanging="360"/>
      </w:pPr>
      <w:r>
        <w:rPr>
          <w:rFonts w:ascii="Times New Roman" w:cs="Times New Roman" w:eastAsia="Times New Roman" w:hAnsi="Times New Roman"/>
          <w:b/>
          <w:bCs/>
          <w:sz w:val="18"/>
          <w:szCs w:val="18"/>
        </w:rPr>
        <w:t xml:space="preserve">23. </w:t>
      </w:r>
      <w:r>
        <w:rPr>
          <w:rFonts w:ascii="Times New Roman" w:cs="Times New Roman" w:eastAsia="Times New Roman" w:hAnsi="Times New Roman"/>
          <w:sz w:val="18"/>
          <w:szCs w:val="18"/>
        </w:rPr>
        <w:t xml:space="preserve">Daniel C. Elton; Preston W. Estep (2026). Benchmarking open-source tools for in silico antiviral drug discovery. arXiv:2605.04265 [q-bio.BM], 5 May 2026. [Preprint, not peer reviewed] </w:t>
      </w:r>
      <w:hyperlink w:history="1" r:id="rIdnboj7gii-h1n77o6mvocm">
        <w:r>
          <w:rPr>
            <w:rStyle w:val="Hyperlink"/>
            <w:rFonts w:ascii="Times New Roman" w:cs="Times New Roman" w:eastAsia="Times New Roman" w:hAnsi="Times New Roman"/>
            <w:sz w:val="18"/>
            <w:szCs w:val="18"/>
          </w:rPr>
          <w:t xml:space="preserve">View on alphaXiv</w:t>
        </w:r>
      </w:hyperlink>
    </w:p>
    <w:p>
      <w:pPr>
        <w:spacing w:after="70" w:line="235"/>
        <w:ind w:left="360" w:hanging="360"/>
      </w:pPr>
      <w:r>
        <w:rPr>
          <w:rFonts w:ascii="Times New Roman" w:cs="Times New Roman" w:eastAsia="Times New Roman" w:hAnsi="Times New Roman"/>
          <w:b/>
          <w:bCs/>
          <w:sz w:val="18"/>
          <w:szCs w:val="18"/>
        </w:rPr>
        <w:t xml:space="preserve">24. </w:t>
      </w:r>
      <w:r>
        <w:rPr>
          <w:rFonts w:ascii="Times New Roman" w:cs="Times New Roman" w:eastAsia="Times New Roman" w:hAnsi="Times New Roman"/>
          <w:sz w:val="18"/>
          <w:szCs w:val="18"/>
        </w:rPr>
        <w:t xml:space="preserve">Gor Simonyan; Tatevik Abrahamyan; Narek Abelyan; Tigran Fahradyan; Hrant Khachatrian (2026). PMO-Dock: Benchmarking Docking, Specificity, and Generalization in Molecular Optimization. arXiv:2610.19011v1 [cs.LG], 13 Oct 2026. [Preprint, not peer reviewed] </w:t>
      </w:r>
      <w:hyperlink w:history="1" r:id="rIdweqy9uwtfr01j3_btm0gk">
        <w:r>
          <w:rPr>
            <w:rStyle w:val="Hyperlink"/>
            <w:rFonts w:ascii="Times New Roman" w:cs="Times New Roman" w:eastAsia="Times New Roman" w:hAnsi="Times New Roman"/>
            <w:sz w:val="18"/>
            <w:szCs w:val="18"/>
          </w:rPr>
          <w:t xml:space="preserve">View on alphaXiv</w:t>
        </w:r>
      </w:hyperlink>
    </w:p>
    <w:p>
      <w:pPr>
        <w:spacing w:after="70" w:line="235"/>
        <w:ind w:left="360" w:hanging="360"/>
      </w:pPr>
      <w:r>
        <w:rPr>
          <w:rFonts w:ascii="Times New Roman" w:cs="Times New Roman" w:eastAsia="Times New Roman" w:hAnsi="Times New Roman"/>
          <w:b/>
          <w:bCs/>
          <w:sz w:val="18"/>
          <w:szCs w:val="18"/>
        </w:rPr>
        <w:t xml:space="preserve">25. </w:t>
      </w:r>
      <w:r>
        <w:rPr>
          <w:rFonts w:ascii="Times New Roman" w:cs="Times New Roman" w:eastAsia="Times New Roman" w:hAnsi="Times New Roman"/>
          <w:sz w:val="18"/>
          <w:szCs w:val="18"/>
        </w:rPr>
        <w:t xml:space="preserve">Zarifa Murtazaeva et al. (2025). Imidazole Hybrids: A Privileged Class of Heterocycles in Medicinal Chemistry with New Insights into Anticancer Activity. Molecules. </w:t>
      </w:r>
      <w:hyperlink w:history="1" r:id="rIdonbkxyuedjyuus9h9yat_">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dqjksq_yzjlwts-iallf">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26. </w:t>
      </w:r>
      <w:r>
        <w:rPr>
          <w:rFonts w:ascii="Times New Roman" w:cs="Times New Roman" w:eastAsia="Times New Roman" w:hAnsi="Times New Roman"/>
          <w:sz w:val="18"/>
          <w:szCs w:val="18"/>
        </w:rPr>
        <w:t xml:space="preserve">S. Al-Hussain et al. (2025). Insight into the Anticancer Potential of Imidazole-Based Derivatives Targeting Receptor Tyrosine Kinases. Pharmaceuticals. </w:t>
      </w:r>
      <w:hyperlink w:history="1" r:id="rIdd4hfsxl1mojayq3vaomiq">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aghsx-ixi8q3ely7x4lxr">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27. </w:t>
      </w:r>
      <w:r>
        <w:rPr>
          <w:rFonts w:ascii="Times New Roman" w:cs="Times New Roman" w:eastAsia="Times New Roman" w:hAnsi="Times New Roman"/>
          <w:sz w:val="18"/>
          <w:szCs w:val="18"/>
        </w:rPr>
        <w:t xml:space="preserve">Yeuan Ting Lee et al. (2022). Benzimidazole and its derivatives as cancer therapeutics: The potential role from traditional to precision medicine. Acta Pharmaceutica Sinica. B. </w:t>
      </w:r>
      <w:hyperlink w:history="1" r:id="rId6ld-mkdw8ln6lupy5oltp">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b-futfuilzkdwvdkqhrq_">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28. </w:t>
      </w:r>
      <w:r>
        <w:rPr>
          <w:rFonts w:ascii="Times New Roman" w:cs="Times New Roman" w:eastAsia="Times New Roman" w:hAnsi="Times New Roman"/>
          <w:sz w:val="18"/>
          <w:szCs w:val="18"/>
        </w:rPr>
        <w:t xml:space="preserve">Larissa A. Ferreira et al. (2026). Imidazo[1,2‑a]pyridines in Medicinal Chemistry: Recent Advances in Synthesis and Biological Activities. ACS Omega. </w:t>
      </w:r>
      <w:hyperlink w:history="1" r:id="rIdrwicgsq4hl13fy4egnzae">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r5jsjkyinax0ea5j-fvw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29. </w:t>
      </w:r>
      <w:r>
        <w:rPr>
          <w:rFonts w:ascii="Times New Roman" w:cs="Times New Roman" w:eastAsia="Times New Roman" w:hAnsi="Times New Roman"/>
          <w:sz w:val="18"/>
          <w:szCs w:val="18"/>
        </w:rPr>
        <w:t xml:space="preserve">Yavar Ahmadi et al. (2026). Biological activity of Imidazo-thiazole scaffolds: A comprehensive review of 2020–2025 advances. Results in Chemistry. </w:t>
      </w:r>
      <w:hyperlink w:history="1" r:id="rId70gs8825hyom6z7pyczr2">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2in67vl2dsi52k49l2xcq">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30. </w:t>
      </w:r>
      <w:r>
        <w:rPr>
          <w:rFonts w:ascii="Times New Roman" w:cs="Times New Roman" w:eastAsia="Times New Roman" w:hAnsi="Times New Roman"/>
          <w:sz w:val="18"/>
          <w:szCs w:val="18"/>
        </w:rPr>
        <w:t xml:space="preserve">Preetesh Kumar Panda et al. (2026). The State of Imidazolone as an Evolving Pharmacophore: Current Progress and Clinical Significance in Oncology and AMR. ACS Omega. </w:t>
      </w:r>
      <w:hyperlink w:history="1" r:id="rIdewfoyedx339iypb7oip5v">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sen3su0goqtnl_snq1ij0">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31. </w:t>
      </w:r>
      <w:r>
        <w:rPr>
          <w:rFonts w:ascii="Times New Roman" w:cs="Times New Roman" w:eastAsia="Times New Roman" w:hAnsi="Times New Roman"/>
          <w:sz w:val="18"/>
          <w:szCs w:val="18"/>
        </w:rPr>
        <w:t xml:space="preserve">A. Mourad et al. (2021). EGFR/VEGFR-2 dual inhibitor and apoptotic inducer: Design, synthesis, anticancer activity and docking study of new 2-thioxoimidazolidin-4one derivatives. Life sciences. </w:t>
      </w:r>
      <w:hyperlink w:history="1" r:id="rIdv_vop4l_8yevdfp88ayjn">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on8dlwcmycuugtgqih7l9">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32. </w:t>
      </w:r>
      <w:r>
        <w:rPr>
          <w:rFonts w:ascii="Times New Roman" w:cs="Times New Roman" w:eastAsia="Times New Roman" w:hAnsi="Times New Roman"/>
          <w:sz w:val="18"/>
          <w:szCs w:val="18"/>
        </w:rPr>
        <w:t xml:space="preserve">G. Veríssimo et al. (2026). Machine Learning Classification Models for the Design of Novel Nitroimidazole Derivatives with Anti-Trichomonas vaginalis Activity. ACS Omega. </w:t>
      </w:r>
      <w:hyperlink w:history="1" r:id="rIdl4anhzboxzldwbjcd2rzs">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e6zlwszcrqzvelp3ptk1l">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33. </w:t>
      </w:r>
      <w:r>
        <w:rPr>
          <w:rFonts w:ascii="Times New Roman" w:cs="Times New Roman" w:eastAsia="Times New Roman" w:hAnsi="Times New Roman"/>
          <w:sz w:val="18"/>
          <w:szCs w:val="18"/>
        </w:rPr>
        <w:t xml:space="preserve">Pankaj Sharma et al. (2021). Imidazoles as Potential Anticancer Agents: An Update on Recent Studies. Molecules. </w:t>
      </w:r>
      <w:hyperlink w:history="1" r:id="rIdnnomb7chj3mhvjd3lj9ws">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8kjayys7utxeqc5klvcuo">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34. </w:t>
      </w:r>
      <w:r>
        <w:rPr>
          <w:rFonts w:ascii="Times New Roman" w:cs="Times New Roman" w:eastAsia="Times New Roman" w:hAnsi="Times New Roman"/>
          <w:sz w:val="18"/>
          <w:szCs w:val="18"/>
        </w:rPr>
        <w:t xml:space="preserve">Arun Kumar et al. (2024). An insight into recent developments in imidazole based heterocyclic compounds as anticancer agents: Synthesis, SARs, and mechanism of actions. European journal of medicinal chemistry. </w:t>
      </w:r>
      <w:hyperlink w:history="1" r:id="rIdsp0_pbgntukuxk8bq6hkv">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egztbofeqi7irhmeb02zu">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35. </w:t>
      </w:r>
      <w:r>
        <w:rPr>
          <w:rFonts w:ascii="Times New Roman" w:cs="Times New Roman" w:eastAsia="Times New Roman" w:hAnsi="Times New Roman"/>
          <w:sz w:val="18"/>
          <w:szCs w:val="18"/>
        </w:rPr>
        <w:t xml:space="preserve">Ferhat Güneş et al. (2026). Diazole Derivatives as Anti‐Inflammatory Agents: Synthetic Approaches, Biological Evaluation, and Therapeutic Potential. ChemistrySelect. </w:t>
      </w:r>
      <w:hyperlink w:history="1" r:id="rIdmmtvanvbl4ydm8v3enfg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rntdtiviy82cj5wwp5s0">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36. </w:t>
      </w:r>
      <w:r>
        <w:rPr>
          <w:rFonts w:ascii="Times New Roman" w:cs="Times New Roman" w:eastAsia="Times New Roman" w:hAnsi="Times New Roman"/>
          <w:sz w:val="18"/>
          <w:szCs w:val="18"/>
        </w:rPr>
        <w:t xml:space="preserve">A. Dhingra et al. (2022). Imidazole: Multi-targeted Therapeutic Leads for the Management of Alzheimer's Disease. Mini reviews in medicinal chemistry. </w:t>
      </w:r>
      <w:hyperlink w:history="1" r:id="rId3knrb2cupujuebclh57ya">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crygmivm2ylo1fnaelqmu">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37. </w:t>
      </w:r>
      <w:r>
        <w:rPr>
          <w:rFonts w:ascii="Times New Roman" w:cs="Times New Roman" w:eastAsia="Times New Roman" w:hAnsi="Times New Roman"/>
          <w:sz w:val="18"/>
          <w:szCs w:val="18"/>
        </w:rPr>
        <w:t xml:space="preserve">Supriyo Saha et al. (2026). Imidazole Scaffolds against Staphylococcus aureus and MRSA: a medicinal chemistry review. Molecular Diversity. </w:t>
      </w:r>
      <w:hyperlink w:history="1" r:id="rIdv6nxhxewhsm3hiy4blldk">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kd9t_aqgdhhsnw1ipht-v">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38. </w:t>
      </w:r>
      <w:r>
        <w:rPr>
          <w:rFonts w:ascii="Times New Roman" w:cs="Times New Roman" w:eastAsia="Times New Roman" w:hAnsi="Times New Roman"/>
          <w:sz w:val="18"/>
          <w:szCs w:val="18"/>
        </w:rPr>
        <w:t xml:space="preserve">Giorgio Antoniolli et al. (2026). Imidazo[1,2‑a]pyridines as Privileged Scaffolds: Synthetic Advances, Biological Activities, and Translational Challenges. ACS Omega. </w:t>
      </w:r>
      <w:hyperlink w:history="1" r:id="rIdwxhamqke63nsq5rf2itdb">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3qm4hgbvottwjabrf52gp">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39. </w:t>
      </w:r>
      <w:r>
        <w:rPr>
          <w:rFonts w:ascii="Times New Roman" w:cs="Times New Roman" w:eastAsia="Times New Roman" w:hAnsi="Times New Roman"/>
          <w:sz w:val="18"/>
          <w:szCs w:val="18"/>
        </w:rPr>
        <w:t xml:space="preserve">F. Al-blewi et al. (2021). Design and Synthesis of Novel Imidazole Derivatives Possessing Triazole Pharmacophore with Potent Anticancer Activity, and In Silico ADMET with GSK-3β Molecular Docking Investigations. International Journal of Molecular Sciences. </w:t>
      </w:r>
      <w:hyperlink w:history="1" r:id="rIdzwo2no6ahyd7omt56cido">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37gju2pt_ndlwrfbwcdal">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40. </w:t>
      </w:r>
      <w:r>
        <w:rPr>
          <w:rFonts w:ascii="Times New Roman" w:cs="Times New Roman" w:eastAsia="Times New Roman" w:hAnsi="Times New Roman"/>
          <w:sz w:val="18"/>
          <w:szCs w:val="18"/>
        </w:rPr>
        <w:t xml:space="preserve">Potharaju Sunil Kumar et al. (2026). Design, Synthesis, Molecular Docking Studies and Biological Evaluation of Novel Imidazole–1,2,3-Triazole Hybrid Derivatives as Anticancer and Antimicrobial Agents. Asian Journal of Chemistry. </w:t>
      </w:r>
      <w:hyperlink w:history="1" r:id="rIdo5f6k2omccv4dkeburhhg">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mv4etgkje8hf39hdu0pa">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41. </w:t>
      </w:r>
      <w:r>
        <w:rPr>
          <w:rFonts w:ascii="Times New Roman" w:cs="Times New Roman" w:eastAsia="Times New Roman" w:hAnsi="Times New Roman"/>
          <w:sz w:val="18"/>
          <w:szCs w:val="18"/>
        </w:rPr>
        <w:t xml:space="preserve">Deepika Dwarakanath et al. (2025). Synthesis, characterization and in silico studies of novel multifunctional imidazole-thiazole hybrids with potent antimicrobial and anticancer properties. Scientific Reports. </w:t>
      </w:r>
      <w:hyperlink w:history="1" r:id="rIdcycx1a4ftdp3mbfw-da4f">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nbcv9opnntdj6wd5vxj9i">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42. </w:t>
      </w:r>
      <w:r>
        <w:rPr>
          <w:rFonts w:ascii="Times New Roman" w:cs="Times New Roman" w:eastAsia="Times New Roman" w:hAnsi="Times New Roman"/>
          <w:sz w:val="18"/>
          <w:szCs w:val="18"/>
        </w:rPr>
        <w:t xml:space="preserve">Rambabu Vasamsetti et al. (2025). Rational design, and synthesis of imidazole ring incorporated Pyridine-1,2,4-oxadiazole derivatives: In-vitro anticancer evaluation and in-silico molecular docking simulations. Results in Chemistry. </w:t>
      </w:r>
      <w:hyperlink w:history="1" r:id="rIdjhzuyaoh5eiun6jlgkfwj">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dbct20heezg9fhodxew6">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43. </w:t>
      </w:r>
      <w:r>
        <w:rPr>
          <w:rFonts w:ascii="Times New Roman" w:cs="Times New Roman" w:eastAsia="Times New Roman" w:hAnsi="Times New Roman"/>
          <w:sz w:val="18"/>
          <w:szCs w:val="18"/>
        </w:rPr>
        <w:t xml:space="preserve">Devendra Nagineni et al. (2025). Imidazole-1,2,4-oxadiazole-piperazine hybrids as potent anticancer agents: Synthesis, biological evaluation and molecular docking. Bioorganic chemistry. </w:t>
      </w:r>
      <w:hyperlink w:history="1" r:id="rIdon7uaqkwcgj7qgniqm4pz">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toapfmvxdazpmypdtpv9m">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44. </w:t>
      </w:r>
      <w:r>
        <w:rPr>
          <w:rFonts w:ascii="Times New Roman" w:cs="Times New Roman" w:eastAsia="Times New Roman" w:hAnsi="Times New Roman"/>
          <w:sz w:val="18"/>
          <w:szCs w:val="18"/>
        </w:rPr>
        <w:t xml:space="preserve">Dina I. A. Othman et al. (2023). Identification of new benzimidazole-triazole hybrids as anticancer agents: multi-target recognition, in vitro and in silico studies. Journal of Enzyme Inhibition and Medicinal Chemistry. </w:t>
      </w:r>
      <w:hyperlink w:history="1" r:id="rIdiwrkaiuvjsovplsq1wgtz">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txgjqzr86faswi-exjnd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45. </w:t>
      </w:r>
      <w:r>
        <w:rPr>
          <w:rFonts w:ascii="Times New Roman" w:cs="Times New Roman" w:eastAsia="Times New Roman" w:hAnsi="Times New Roman"/>
          <w:sz w:val="18"/>
          <w:szCs w:val="18"/>
        </w:rPr>
        <w:t xml:space="preserve">Eman M. Alghamdi et al. (2023). Anticancer Activities of Tetrasubstituted Imidazole‐Pyrimidine‐Sulfonamide Hybrids as Inhibitors of EGFR Mutants. ChemMedChem. </w:t>
      </w:r>
      <w:hyperlink w:history="1" r:id="rIdekfzixdonhjw3aaqzpm6l">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aqd-ql75nwz7-s4w2iezx">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46. </w:t>
      </w:r>
      <w:r>
        <w:rPr>
          <w:rFonts w:ascii="Times New Roman" w:cs="Times New Roman" w:eastAsia="Times New Roman" w:hAnsi="Times New Roman"/>
          <w:sz w:val="18"/>
          <w:szCs w:val="18"/>
        </w:rPr>
        <w:t xml:space="preserve">Sadia Shaheen et al. (2026). Structure-Guided Design of Benzothiazole and Benzimidazole-Based Urea Derivatives Curtailing Oncogenic Signaling via Concurrent Inhibition of VEGFR-2, EGFR, and c‑Met. ACS Omega. </w:t>
      </w:r>
      <w:hyperlink w:history="1" r:id="rIdheb1qfwz62wamautqo005">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zgoiokv-8ajhwce0ecfps">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47. </w:t>
      </w:r>
      <w:r>
        <w:rPr>
          <w:rFonts w:ascii="Times New Roman" w:cs="Times New Roman" w:eastAsia="Times New Roman" w:hAnsi="Times New Roman"/>
          <w:sz w:val="18"/>
          <w:szCs w:val="18"/>
        </w:rPr>
        <w:t xml:space="preserve">Sara Rahimzadeh Oskuei et al. (2021). Design, synthesis and biological evaluation of novel imidazole-chalcone derivatives as potential anticancer agents and tubulin polymerization inhibitors. Bioorganic chemistry. </w:t>
      </w:r>
      <w:hyperlink w:history="1" r:id="rIdjafu7zlxbm6-7_4jhz_zp">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qgnfa17utqiz7knikibq4">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48. </w:t>
      </w:r>
      <w:r>
        <w:rPr>
          <w:rFonts w:ascii="Times New Roman" w:cs="Times New Roman" w:eastAsia="Times New Roman" w:hAnsi="Times New Roman"/>
          <w:sz w:val="18"/>
          <w:szCs w:val="18"/>
        </w:rPr>
        <w:t xml:space="preserve">Maryam Maqbool et al. (2024). Imidazole‐thiadiazole hybrids: A multitarget de novo drug design approach, in vitro evaluation, ADME/T, and in silico studies. Archiv der Pharmazie. </w:t>
      </w:r>
      <w:hyperlink w:history="1" r:id="rIdrsfyfsj6fmfhvgfecoftb">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vaaklta6ubxm4ykwv1jy7">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49. </w:t>
      </w:r>
      <w:r>
        <w:rPr>
          <w:rFonts w:ascii="Times New Roman" w:cs="Times New Roman" w:eastAsia="Times New Roman" w:hAnsi="Times New Roman"/>
          <w:sz w:val="18"/>
          <w:szCs w:val="18"/>
        </w:rPr>
        <w:t xml:space="preserve">Etab AlRashidi et al. (2024). Design, synthesis, biological evaluation, kinetic studies and molecular modeling of imidazo-isoxazole derivatives targeting both α-amylase and α-glucosidase inhibitors. Heliyon. </w:t>
      </w:r>
      <w:hyperlink w:history="1" r:id="rIdmfdr5ux5gz0xezjxt-xgl">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bsc3gywrdo1rgptulmnha">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50. </w:t>
      </w:r>
      <w:r>
        <w:rPr>
          <w:rFonts w:ascii="Times New Roman" w:cs="Times New Roman" w:eastAsia="Times New Roman" w:hAnsi="Times New Roman"/>
          <w:sz w:val="18"/>
          <w:szCs w:val="18"/>
        </w:rPr>
        <w:t xml:space="preserve">M. M. Khowdiary et al. (2025). Fused Imidazotriazole-Based Therapeutics: A Multidisciplinary Study Against Diabetes-Linked Enzymes Alpha-Amylase and Alpha-Glucosidase Using In Vitro and In Silico Methods. Pharmaceuticals. </w:t>
      </w:r>
      <w:hyperlink w:history="1" r:id="rIdxv1ceg5s26ykhu2xjbjx9">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j0b-t-gyf7bb8kp3gizeu">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51. </w:t>
      </w:r>
      <w:r>
        <w:rPr>
          <w:rFonts w:ascii="Times New Roman" w:cs="Times New Roman" w:eastAsia="Times New Roman" w:hAnsi="Times New Roman"/>
          <w:sz w:val="18"/>
          <w:szCs w:val="18"/>
        </w:rPr>
        <w:t xml:space="preserve">R. Deshmukh et al. (2025). Synthesis, characterization, antifungal evaluation, and in silico studies of novel imidazole-pyrazole and imidazole-isoxazole clubbed scaffolds. Journal of Molecular Structure. </w:t>
      </w:r>
      <w:hyperlink w:history="1" r:id="rId_dkifrsy1o_eltl8eq4g2">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gflb_gnuownhj0oclrlnc">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52. </w:t>
      </w:r>
      <w:r>
        <w:rPr>
          <w:rFonts w:ascii="Times New Roman" w:cs="Times New Roman" w:eastAsia="Times New Roman" w:hAnsi="Times New Roman"/>
          <w:sz w:val="18"/>
          <w:szCs w:val="18"/>
        </w:rPr>
        <w:t xml:space="preserve">Mahmoud S. Elkotamy et al. (2024). Novel imidazo[2,1-b]thiazoles and imidazo[1,2-a]pyridines tethered with indolinone motif as VEGFR-2 inhibitors and apoptotic inducers: Design, synthesis and biological evaluations. Bioorganic chemistry. </w:t>
      </w:r>
      <w:hyperlink w:history="1" r:id="rIdh6v2wuprluzt9gfeq99ze">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haempovtwzzd01zn0tiyz">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53. </w:t>
      </w:r>
      <w:r>
        <w:rPr>
          <w:rFonts w:ascii="Times New Roman" w:cs="Times New Roman" w:eastAsia="Times New Roman" w:hAnsi="Times New Roman"/>
          <w:sz w:val="18"/>
          <w:szCs w:val="18"/>
        </w:rPr>
        <w:t xml:space="preserve">J. Chatterjee et al. (2026). Design and Pictet–Spengler enabled synthesis of carboxamide-substituted imidazo[1,2-a]quinoxalines as dual EGFR and tubulin targeting anticancer agents. Journal of Enzyme Inhibition and Medicinal Chemistry. </w:t>
      </w:r>
      <w:hyperlink w:history="1" r:id="rIdymewz0n0pgixmdfbcmzqh">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jatzxe_3na2b0lyfkpen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54. </w:t>
      </w:r>
      <w:r>
        <w:rPr>
          <w:rFonts w:ascii="Times New Roman" w:cs="Times New Roman" w:eastAsia="Times New Roman" w:hAnsi="Times New Roman"/>
          <w:sz w:val="18"/>
          <w:szCs w:val="18"/>
        </w:rPr>
        <w:t xml:space="preserve">D. Truong et al. (2024). Imidazole[1,5-a]pyridine derivatives as EGFR tyrosine kinase inhibitors unraveled by umbrella sampling and steered molecular dynamics simulations. Scientific Reports. </w:t>
      </w:r>
      <w:hyperlink w:history="1" r:id="rIdwzddwjgap7-qx8yua07zf">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7sqc1sslx5qwyf-qhvzov">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55. </w:t>
      </w:r>
      <w:r>
        <w:rPr>
          <w:rFonts w:ascii="Times New Roman" w:cs="Times New Roman" w:eastAsia="Times New Roman" w:hAnsi="Times New Roman"/>
          <w:sz w:val="18"/>
          <w:szCs w:val="18"/>
        </w:rPr>
        <w:t xml:space="preserve">Betül Kaya et al. (2024). Synthesis, α-Glucosidase, α-Amylase, and Aldol Reductase Inhibitory Activity with Molecular Docking Study of Novel Imidazo[1,2-a]pyridine Derivatives. ACS Omega. </w:t>
      </w:r>
      <w:hyperlink w:history="1" r:id="rIdnwc8khw4ffoszvs4fqxwb">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z0viwyl1yyila-ivnglqu">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56. </w:t>
      </w:r>
      <w:r>
        <w:rPr>
          <w:rFonts w:ascii="Times New Roman" w:cs="Times New Roman" w:eastAsia="Times New Roman" w:hAnsi="Times New Roman"/>
          <w:sz w:val="18"/>
          <w:szCs w:val="18"/>
        </w:rPr>
        <w:t xml:space="preserve">Hanan Abdelmawgoud Atia et al. (2026). Development of new imidazopyridine-based chalcones hybrids as potent antidiabetic and antioxidant agents: synthesis, in silico and in vitro evaluation. Scientific Reports. </w:t>
      </w:r>
      <w:hyperlink w:history="1" r:id="rIddjgvgk_uez59coo8oxqyx">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0b1658pyykwnooioobzgs">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57. </w:t>
      </w:r>
      <w:r>
        <w:rPr>
          <w:rFonts w:ascii="Times New Roman" w:cs="Times New Roman" w:eastAsia="Times New Roman" w:hAnsi="Times New Roman"/>
          <w:sz w:val="18"/>
          <w:szCs w:val="18"/>
        </w:rPr>
        <w:t xml:space="preserve">Tuan-Anh Ngoc Tran et al. (2026). A Brønsted-based deep eutectic solvent as a green catalyst for the sustainable one-pot synthesis of 1,2,4,5-tetrasubstituted imidazole derivatives: in vitro cytotoxicity and in silico binding studies on HepG2 cells. RSC Advances. </w:t>
      </w:r>
      <w:hyperlink w:history="1" r:id="rIdojmfiyffbenkqofaq6rbu">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hlnwzc4nqliy-rpofvuvt">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58. </w:t>
      </w:r>
      <w:r>
        <w:rPr>
          <w:rFonts w:ascii="Times New Roman" w:cs="Times New Roman" w:eastAsia="Times New Roman" w:hAnsi="Times New Roman"/>
          <w:sz w:val="18"/>
          <w:szCs w:val="18"/>
        </w:rPr>
        <w:t xml:space="preserve">A. M. Alsirhani et al. (2025). Rational Design, Green Synthesis, and Biological Evaluation of Novel Imidazole Derivatives as Potent EGFR Inhibitors via One‐Pot Four‐Component Reaction. Archiv der Pharmazie. </w:t>
      </w:r>
      <w:hyperlink w:history="1" r:id="rIdw6mi6b7bxqpihvbyb5aw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4mfjfsrmuee2-ujwed5a9">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59. </w:t>
      </w:r>
      <w:r>
        <w:rPr>
          <w:rFonts w:ascii="Times New Roman" w:cs="Times New Roman" w:eastAsia="Times New Roman" w:hAnsi="Times New Roman"/>
          <w:sz w:val="18"/>
          <w:szCs w:val="18"/>
        </w:rPr>
        <w:t xml:space="preserve">C. E. Theodore et al. (2023). Design, synthesis, anticancer activity and molecular docking of novel 1H-benzo[d]imidazole derivatives as potential EGFR inhibitors. Journal of Molecular Structure. </w:t>
      </w:r>
      <w:hyperlink w:history="1" r:id="rIdiwgfncbldbyvfmf8m52z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enwed4v-emdqfom70sbh6">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60. </w:t>
      </w:r>
      <w:r>
        <w:rPr>
          <w:rFonts w:ascii="Times New Roman" w:cs="Times New Roman" w:eastAsia="Times New Roman" w:hAnsi="Times New Roman"/>
          <w:sz w:val="18"/>
          <w:szCs w:val="18"/>
        </w:rPr>
        <w:t xml:space="preserve">Heba E. Hashem et al. (2022). New Benzimidazole-, 1,2,4-Triazole-, and 1,3,5-Triazine-Based Derivatives as Potential EGFRWT and EGFRT790M Inhibitors: Microwave-Assisted Synthesis, Anticancer Evaluation, and Molecular Docking Study. ACS Omega. </w:t>
      </w:r>
      <w:hyperlink w:history="1" r:id="rIduaezayupdec9rquxy5qj8">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w39srvml3amnquf3bnyk9">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61. </w:t>
      </w:r>
      <w:r>
        <w:rPr>
          <w:rFonts w:ascii="Times New Roman" w:cs="Times New Roman" w:eastAsia="Times New Roman" w:hAnsi="Times New Roman"/>
          <w:sz w:val="18"/>
          <w:szCs w:val="18"/>
        </w:rPr>
        <w:t xml:space="preserve">R. C. F. M. Reis et al. (2023). New miconazole-based azoles derived from eugenol show activity against Candida spp. and Cryptococcus gattii by inhibiting the fungal ergosterol biosynthesis. European journal of medicinal chemistry. </w:t>
      </w:r>
      <w:hyperlink w:history="1" r:id="rId7hmmnad-s4rlpyiiok4iy">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kffzehzty0oeyjzb1tye">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62. </w:t>
      </w:r>
      <w:r>
        <w:rPr>
          <w:rFonts w:ascii="Times New Roman" w:cs="Times New Roman" w:eastAsia="Times New Roman" w:hAnsi="Times New Roman"/>
          <w:sz w:val="18"/>
          <w:szCs w:val="18"/>
        </w:rPr>
        <w:t xml:space="preserve">A. Vijesh et al. (2013). Molecular docking studies of some new imidazole derivatives for antimicrobial properties. Arabian Journal of Chemistry. </w:t>
      </w:r>
      <w:hyperlink w:history="1" r:id="rIdgi33ys1jlfry0ai91oytt">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fnpud9xg2t0an55yd9zc3">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63. </w:t>
      </w:r>
      <w:r>
        <w:rPr>
          <w:rFonts w:ascii="Times New Roman" w:cs="Times New Roman" w:eastAsia="Times New Roman" w:hAnsi="Times New Roman"/>
          <w:sz w:val="18"/>
          <w:szCs w:val="18"/>
        </w:rPr>
        <w:t xml:space="preserve">Joanna Stefaniak et al. (2022). Inhibitors of glucosamine-6-phosphate synthase as potential antimicrobials or antidiabetics – synthesis and properties. Journal of Enzyme Inhibition and Medicinal Chemistry. </w:t>
      </w:r>
      <w:hyperlink w:history="1" r:id="rIdgsizakgm1lpijsxt8xug4">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7sgmn-lij4pdib59vzas6">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64. </w:t>
      </w:r>
      <w:r>
        <w:rPr>
          <w:rFonts w:ascii="Times New Roman" w:cs="Times New Roman" w:eastAsia="Times New Roman" w:hAnsi="Times New Roman"/>
          <w:sz w:val="18"/>
          <w:szCs w:val="18"/>
        </w:rPr>
        <w:t xml:space="preserve">Preetesh Kumar Panda et al. (2025). Design, synthesis and computational approach of vanillyl–imidazolidinyl–sulfamethoxazole derivatives as potent antimicrobial candidates tackling microbial resistance. RSC Medicinal Chemistry. </w:t>
      </w:r>
      <w:hyperlink w:history="1" r:id="rId_sj9i-gea3_0jx0b283i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q76nsr_tco-rvbjfq3mdt">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65. </w:t>
      </w:r>
      <w:r>
        <w:rPr>
          <w:rFonts w:ascii="Times New Roman" w:cs="Times New Roman" w:eastAsia="Times New Roman" w:hAnsi="Times New Roman"/>
          <w:sz w:val="18"/>
          <w:szCs w:val="18"/>
        </w:rPr>
        <w:t xml:space="preserve">A. El-Saghier et al. (2023). Novel 2-Acetamido-2-ylidene-4-imidazole Derivatives (El-Saghier Reaction): Green Synthesis, Biological Assessment, and Molecular Docking. ACS Omega. </w:t>
      </w:r>
      <w:hyperlink w:history="1" r:id="rIdfhfeg5y2_s02fa_ejtfac">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trzn7509bjchf4mspisif">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66. </w:t>
      </w:r>
      <w:r>
        <w:rPr>
          <w:rFonts w:ascii="Times New Roman" w:cs="Times New Roman" w:eastAsia="Times New Roman" w:hAnsi="Times New Roman"/>
          <w:sz w:val="18"/>
          <w:szCs w:val="18"/>
        </w:rPr>
        <w:t xml:space="preserve">Sanjana Mareguddi et al. (2026). Synthesis of imidazole derivatives and in silico/in vitro evaluation of potential antidiabetic activity. Indian Journal of Biochemistry and Biophysics. </w:t>
      </w:r>
      <w:hyperlink w:history="1" r:id="rIdu1d-xhuazjugjhky1o8xu">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vztirrvlupi2-dvm-ycc0">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67. </w:t>
      </w:r>
      <w:r>
        <w:rPr>
          <w:rFonts w:ascii="Times New Roman" w:cs="Times New Roman" w:eastAsia="Times New Roman" w:hAnsi="Times New Roman"/>
          <w:sz w:val="18"/>
          <w:szCs w:val="18"/>
        </w:rPr>
        <w:t xml:space="preserve">Mohammed B. Hawsawi et al. (2025). Revealing Protein Ligand Interactions via DFT Calculation, Molecular Docking, and ADMET: Insight into the Role of Imidazole with Anti‐Alzheimer Activity. ChemistrySelect. </w:t>
      </w:r>
      <w:hyperlink w:history="1" r:id="rIddtcjqem-hi59xj0a5brfc">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5r_mokvb-zszzrg0xxdp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68. </w:t>
      </w:r>
      <w:r>
        <w:rPr>
          <w:rFonts w:ascii="Times New Roman" w:cs="Times New Roman" w:eastAsia="Times New Roman" w:hAnsi="Times New Roman"/>
          <w:sz w:val="18"/>
          <w:szCs w:val="18"/>
        </w:rPr>
        <w:t xml:space="preserve">Mrynal Chamoli et al. (2026). Design and Neuroprotective Screening of Imidazole Derivatives As Multi-Target Agents for Alzheimer’s Disease. Oriental Journal Of Chemistry. </w:t>
      </w:r>
      <w:hyperlink w:history="1" r:id="rIdxhp7u1grcw6um7b40u0nm">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quknicf998845tdt3uihd">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69. </w:t>
      </w:r>
      <w:r>
        <w:rPr>
          <w:rFonts w:ascii="Times New Roman" w:cs="Times New Roman" w:eastAsia="Times New Roman" w:hAnsi="Times New Roman"/>
          <w:sz w:val="18"/>
          <w:szCs w:val="18"/>
        </w:rPr>
        <w:t xml:space="preserve">Majid Khan et al. (2022). Efficient Synthesis with Green Chemistry Approach of Novel Pharmacophores of Imidazole-Based Hybrids for Tumor Treatment: Mechanistic Insights from In Situ to In Silico. Cancers. </w:t>
      </w:r>
      <w:hyperlink w:history="1" r:id="rIdiuvwwm43pp0emkuzmyea8">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f8s3rfc-fd4u_28ttpul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70. </w:t>
      </w:r>
      <w:r>
        <w:rPr>
          <w:rFonts w:ascii="Times New Roman" w:cs="Times New Roman" w:eastAsia="Times New Roman" w:hAnsi="Times New Roman"/>
          <w:sz w:val="18"/>
          <w:szCs w:val="18"/>
        </w:rPr>
        <w:t xml:space="preserve">Seham A. Ibrahim et al. (2023). New imidazole-2-ones and their 2-thione analogues as anticancer agents and CAIX inhibitors: Synthesis, in silico ADME and molecular modeling studies. Bioorganic chemistry. </w:t>
      </w:r>
      <w:hyperlink w:history="1" r:id="rIdecqahaoing-vlz8iuow5y">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ykw1xyp_6ghdst9sk8br">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71. </w:t>
      </w:r>
      <w:r>
        <w:rPr>
          <w:rFonts w:ascii="Times New Roman" w:cs="Times New Roman" w:eastAsia="Times New Roman" w:hAnsi="Times New Roman"/>
          <w:sz w:val="18"/>
          <w:szCs w:val="18"/>
        </w:rPr>
        <w:t xml:space="preserve">M. R et al. (2025). Design and synthesis of N-substituted-2-butyl-4-chloro-1H-imidazole derivatives as potential ACE inhibitors: in vitro study, in-silico analysis, and a multifaceted CSD-supported crystallographic investigation. RSC Advances. </w:t>
      </w:r>
      <w:hyperlink w:history="1" r:id="rIdnpbofe-eczove9rzfuitj">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9b60tfrz1pwxqpfsxyi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72. </w:t>
      </w:r>
      <w:r>
        <w:rPr>
          <w:rFonts w:ascii="Times New Roman" w:cs="Times New Roman" w:eastAsia="Times New Roman" w:hAnsi="Times New Roman"/>
          <w:sz w:val="18"/>
          <w:szCs w:val="18"/>
        </w:rPr>
        <w:t xml:space="preserve">Solo Lorin et al. (2024). A comprehensive investigation on one-pot synthesis of imidazole derivatives: quantum computational analysis, molecular docking, molecular dynamics simulations and antiviral activity against SARS-CoV-2. Molecular Physics. </w:t>
      </w:r>
      <w:hyperlink w:history="1" r:id="rIds3r95vvnwwvnampsziayx">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dvbnrtp8jyupzbt1udvsf">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73. </w:t>
      </w:r>
      <w:r>
        <w:rPr>
          <w:rFonts w:ascii="Times New Roman" w:cs="Times New Roman" w:eastAsia="Times New Roman" w:hAnsi="Times New Roman"/>
          <w:sz w:val="18"/>
          <w:szCs w:val="18"/>
        </w:rPr>
        <w:t xml:space="preserve">R. M. Babu et al. (2026). Synthesis and multidimensional investigation of a tetra-substituted imidazole derivative: Spectroscopy, DFT/NLO properties, toxicity analysis, molecular docking, and dynamics simulation. Drug and Chemical Toxicology. </w:t>
      </w:r>
      <w:hyperlink w:history="1" r:id="rIdyuwqzf8ki2vilbzcljcj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4e6htqkurx8jzot9b1yl3">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74. </w:t>
      </w:r>
      <w:r>
        <w:rPr>
          <w:rFonts w:ascii="Times New Roman" w:cs="Times New Roman" w:eastAsia="Times New Roman" w:hAnsi="Times New Roman"/>
          <w:sz w:val="18"/>
          <w:szCs w:val="18"/>
        </w:rPr>
        <w:t xml:space="preserve">M. Mahapatra et al. (2023). In-vitro anticancer evaluation of newly designed and characterized tri/tetra-substituted imidazole congeners- maternal embryonic leucine zipper kinase inhibitors: Molecular docking and MD simulation approaches. International journal of biological macromolecules. </w:t>
      </w:r>
      <w:hyperlink w:history="1" r:id="rIdnsh7wbighh-theb8y2buq">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akqidbm3ngipowgyu94sy">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75. </w:t>
      </w:r>
      <w:r>
        <w:rPr>
          <w:rFonts w:ascii="Times New Roman" w:cs="Times New Roman" w:eastAsia="Times New Roman" w:hAnsi="Times New Roman"/>
          <w:sz w:val="18"/>
          <w:szCs w:val="18"/>
        </w:rPr>
        <w:t xml:space="preserve">Vinayak Walhekar et al. (2026). From in silico and machine learning model to validation: discovery of novel amide-functionalized imidazopyridines as PIM-1 kinase inhibitors using an integrated ligand and structure-based hopping approach. RSC Advances. </w:t>
      </w:r>
      <w:hyperlink w:history="1" r:id="rId2er6ccfv3qra2fekqz8uf">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mj5rr7xf5suheunpzog43">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76. </w:t>
      </w:r>
      <w:r>
        <w:rPr>
          <w:rFonts w:ascii="Times New Roman" w:cs="Times New Roman" w:eastAsia="Times New Roman" w:hAnsi="Times New Roman"/>
          <w:sz w:val="18"/>
          <w:szCs w:val="18"/>
        </w:rPr>
        <w:t xml:space="preserve">K. Y. Kalitin et al. (2025). Screening benzimidazole derivatives for atypical antipsychotic activity. Pharmacy &amp; Pharmacology. </w:t>
      </w:r>
      <w:hyperlink w:history="1" r:id="rIdyzmbw8u95uwaojjjrpoyj">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xsa2-kti9mqhinopciav">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77. </w:t>
      </w:r>
      <w:r>
        <w:rPr>
          <w:rFonts w:ascii="Times New Roman" w:cs="Times New Roman" w:eastAsia="Times New Roman" w:hAnsi="Times New Roman"/>
          <w:sz w:val="18"/>
          <w:szCs w:val="18"/>
        </w:rPr>
        <w:t xml:space="preserve">A. Goudzal et al. (2022). 3D-QSAR modeling and molecular docking studies on a series of 2, 4, 5-trisubstituted imidazole derivatives as CK2 inhibitors. Journal of Biomolecular Structure and Dynamics. </w:t>
      </w:r>
      <w:hyperlink w:history="1" r:id="rId4jgdlukwxixk5rvzpxrbe">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g_hoe9cqq8ycuzeaiwp1q">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78. </w:t>
      </w:r>
      <w:r>
        <w:rPr>
          <w:rFonts w:ascii="Times New Roman" w:cs="Times New Roman" w:eastAsia="Times New Roman" w:hAnsi="Times New Roman"/>
          <w:sz w:val="18"/>
          <w:szCs w:val="18"/>
        </w:rPr>
        <w:t xml:space="preserve">Sahar Ilaghi-Hoseini et al. (2026). Comparative QSAR and Q-RASAR modeling of benzimidazole derivatives as dual AChE/BuChE inhibitors and design of novel anti-Alzheimer drug candidates supported by molecular docking, ADMET and molecular dynamic simulation. Journal of molecular graphics &amp; modelling. </w:t>
      </w:r>
      <w:hyperlink w:history="1" r:id="rIdo-tklxk-pdyk1potebb_a">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aqcfh7t-qnxkvz4iifr-1">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79. </w:t>
      </w:r>
      <w:r>
        <w:rPr>
          <w:rFonts w:ascii="Times New Roman" w:cs="Times New Roman" w:eastAsia="Times New Roman" w:hAnsi="Times New Roman"/>
          <w:sz w:val="18"/>
          <w:szCs w:val="18"/>
        </w:rPr>
        <w:t xml:space="preserve">Oussama Abchir et al. (2026). In Silico Design of Pyrimidine Derivatives as Potential α-Glucosidase Inhibitors: QSAR, Molecular Docking, ADMET, and Molecular Dynamics Studies. International Journal of Molecular Sciences. </w:t>
      </w:r>
      <w:hyperlink w:history="1" r:id="rIdkj4ivkuph7xu6fbkpy7rx">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l5v0rgp6pwudw9plshdp">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80. </w:t>
      </w:r>
      <w:r>
        <w:rPr>
          <w:rFonts w:ascii="Times New Roman" w:cs="Times New Roman" w:eastAsia="Times New Roman" w:hAnsi="Times New Roman"/>
          <w:sz w:val="18"/>
          <w:szCs w:val="18"/>
        </w:rPr>
        <w:t xml:space="preserve">Rui Qin et al. (2023). Deep learning-based design and screening of benzimidazole-pyrazine derivatives as adenosine A2B receptor antagonists. Journal of Biomolecular Structure and Dynamics. </w:t>
      </w:r>
      <w:hyperlink w:history="1" r:id="rIdcixtew5sem5u0nij5g9j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gae0m7ufkh-tmccmkbvup">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81. </w:t>
      </w:r>
      <w:r>
        <w:rPr>
          <w:rFonts w:ascii="Times New Roman" w:cs="Times New Roman" w:eastAsia="Times New Roman" w:hAnsi="Times New Roman"/>
          <w:sz w:val="18"/>
          <w:szCs w:val="18"/>
        </w:rPr>
        <w:t xml:space="preserve">Yuanqi Du et al. (2024). Machine learning-aided generative molecular design. Nature Machine Intelligence. </w:t>
      </w:r>
      <w:hyperlink w:history="1" r:id="rIdq2njge1auyc3zbe0b0gxc">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_iga7vtz44vbtfoqcuauo">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82. </w:t>
      </w:r>
      <w:r>
        <w:rPr>
          <w:rFonts w:ascii="Times New Roman" w:cs="Times New Roman" w:eastAsia="Times New Roman" w:hAnsi="Times New Roman"/>
          <w:sz w:val="18"/>
          <w:szCs w:val="18"/>
        </w:rPr>
        <w:t xml:space="preserve">Zahra Jamshidi et al. (2025). Multicomponent synthesis of novel imidazole-pyran derivatives: in silico and in vitro studies. RSC Advances. </w:t>
      </w:r>
      <w:hyperlink w:history="1" r:id="rId8ckulk4zlsvw2auskv7w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tcni0rodfvovgczurqd_m">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83. </w:t>
      </w:r>
      <w:r>
        <w:rPr>
          <w:rFonts w:ascii="Times New Roman" w:cs="Times New Roman" w:eastAsia="Times New Roman" w:hAnsi="Times New Roman"/>
          <w:sz w:val="18"/>
          <w:szCs w:val="18"/>
        </w:rPr>
        <w:t xml:space="preserve">Abdeljalil Hamdi et al. (2024). Various synthesis and biological evaluation of some tri -tetra-substituted imidazoles derivatives: A review. Heliyon. </w:t>
      </w:r>
      <w:hyperlink w:history="1" r:id="rId-jnjw_l2ffddsz2f84yd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5xijoyhhkgprqgn2ewss">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84. </w:t>
      </w:r>
      <w:r>
        <w:rPr>
          <w:rFonts w:ascii="Times New Roman" w:cs="Times New Roman" w:eastAsia="Times New Roman" w:hAnsi="Times New Roman"/>
          <w:sz w:val="18"/>
          <w:szCs w:val="18"/>
        </w:rPr>
        <w:t xml:space="preserve">Geetika Patel et al. (2021). Green approaches for the synthesis of poly-functionalized imidazole derivatives: A comprehensive review. Current Research in Green and Sustainable Chemistry. </w:t>
      </w:r>
      <w:hyperlink w:history="1" r:id="rIdubwxpkcr8pax-k_kh8vch">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x43178m7spmycwdc25kge">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85. </w:t>
      </w:r>
      <w:r>
        <w:rPr>
          <w:rFonts w:ascii="Times New Roman" w:cs="Times New Roman" w:eastAsia="Times New Roman" w:hAnsi="Times New Roman"/>
          <w:sz w:val="18"/>
          <w:szCs w:val="18"/>
        </w:rPr>
        <w:t xml:space="preserve">D. Saha et al. (2024). Current progress in the synthesis of imidazoles and their derivatives via the use of green tools. Heterocyclic Communications. </w:t>
      </w:r>
      <w:hyperlink w:history="1" r:id="rIdxhogkruhxbhr1f61evka-">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wwzxb0otdmb_fe_ikx4-f">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86. </w:t>
      </w:r>
      <w:r>
        <w:rPr>
          <w:rFonts w:ascii="Times New Roman" w:cs="Times New Roman" w:eastAsia="Times New Roman" w:hAnsi="Times New Roman"/>
          <w:sz w:val="18"/>
          <w:szCs w:val="18"/>
        </w:rPr>
        <w:t xml:space="preserve">Li-Min Wang et al. (2006). Ytterbium triflate as an efficient catalyst for one-pot synthesis of substituted imidazoles through three-component condensation of benzil, aldehydes and ammonium acetate. Journal of Fluorine Chemistry. </w:t>
      </w:r>
      <w:hyperlink w:history="1" r:id="rIdodxyuoq8oozitmntdict-">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wz3qeg3epy4fxpwyzax52">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87. </w:t>
      </w:r>
      <w:r>
        <w:rPr>
          <w:rFonts w:ascii="Times New Roman" w:cs="Times New Roman" w:eastAsia="Times New Roman" w:hAnsi="Times New Roman"/>
          <w:sz w:val="18"/>
          <w:szCs w:val="18"/>
        </w:rPr>
        <w:t xml:space="preserve">Fatemeh Mohammad et al. (2025). Green synthesis of imidazole derivatives in a ternary deep eutectic solvent system. Scientific Reports. </w:t>
      </w:r>
      <w:hyperlink w:history="1" r:id="rIdjbokdbs5iaxjup-dgcqj7">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nhy9ae9tqcgp_a6prepwc">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88. </w:t>
      </w:r>
      <w:r>
        <w:rPr>
          <w:rFonts w:ascii="Times New Roman" w:cs="Times New Roman" w:eastAsia="Times New Roman" w:hAnsi="Times New Roman"/>
          <w:sz w:val="18"/>
          <w:szCs w:val="18"/>
        </w:rPr>
        <w:t xml:space="preserve">F. M. D. Da Silva et al. (2024). Sustainable synthesis of imidazoles using a catalyst-free approach and ethyl lactate as a bio-based green solvent in the Debus-Japp-Radziszewski reaction. Synthetic Communications. </w:t>
      </w:r>
      <w:hyperlink w:history="1" r:id="rIdiedkkatap2uhkc6xrile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awcxp2c9i07zofhwiznw">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89. </w:t>
      </w:r>
      <w:r>
        <w:rPr>
          <w:rFonts w:ascii="Times New Roman" w:cs="Times New Roman" w:eastAsia="Times New Roman" w:hAnsi="Times New Roman"/>
          <w:sz w:val="18"/>
          <w:szCs w:val="18"/>
        </w:rPr>
        <w:t xml:space="preserve">F. Manteghi et al. (2021). MIL-101(Cr), an Efficient Heterogeneous Catalyst for One Pot Synthesis of 2,4,5-tri Substituted Imidazoles under Solvent Free Conditions. Nanomaterials. </w:t>
      </w:r>
      <w:hyperlink w:history="1" r:id="rIdilghons8r9gq4hzizphq9">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c6nm29s-5zbstcocepcq4">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90. </w:t>
      </w:r>
      <w:r>
        <w:rPr>
          <w:rFonts w:ascii="Times New Roman" w:cs="Times New Roman" w:eastAsia="Times New Roman" w:hAnsi="Times New Roman"/>
          <w:sz w:val="18"/>
          <w:szCs w:val="18"/>
        </w:rPr>
        <w:t xml:space="preserve">Shadan Kermanizadeh et al. (2023). An efficient and eco-compatible multicomponent synthesis of 2,4,5-trisubstituted imidazole derivatives using modified-silica-coated cobalt ferrite nanoparticles with tungstic acid. Dalton transactions. </w:t>
      </w:r>
      <w:hyperlink w:history="1" r:id="rIdl321rlfpaz3z4in8oic0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gpa5v26fwbyomkzkvhblc">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91. </w:t>
      </w:r>
      <w:r>
        <w:rPr>
          <w:rFonts w:ascii="Times New Roman" w:cs="Times New Roman" w:eastAsia="Times New Roman" w:hAnsi="Times New Roman"/>
          <w:sz w:val="18"/>
          <w:szCs w:val="18"/>
        </w:rPr>
        <w:t xml:space="preserve">D. A. Hilal et al. (2026). Synthesis of 1,2,4,5-Tetrasubstituted Imidazoles via ultrasound-assisted method and in vitro assessment of their anti-inflammatory and Hemocompatibility activity. Results in Chemistry. </w:t>
      </w:r>
      <w:hyperlink w:history="1" r:id="rIdqcw9ktiaipjf9erhgd-zu">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knjtdapkimusmnmjwlljd">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92. </w:t>
      </w:r>
      <w:r>
        <w:rPr>
          <w:rFonts w:ascii="Times New Roman" w:cs="Times New Roman" w:eastAsia="Times New Roman" w:hAnsi="Times New Roman"/>
          <w:sz w:val="18"/>
          <w:szCs w:val="18"/>
        </w:rPr>
        <w:t xml:space="preserve">A. Agrwal et al. (2022). Molecular docking and antimicrobial analyses of synthesized imidazole derivatives in solvent less condition, adjacent to human pathogenic bacterial strains. Materials Today: Proceedings. </w:t>
      </w:r>
      <w:hyperlink w:history="1" r:id="rIdmxsfi3pblxz7rj3eseoe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zw9b5meyjhubhfgbeulau">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93. </w:t>
      </w:r>
      <w:r>
        <w:rPr>
          <w:rFonts w:ascii="Times New Roman" w:cs="Times New Roman" w:eastAsia="Times New Roman" w:hAnsi="Times New Roman"/>
          <w:sz w:val="18"/>
          <w:szCs w:val="18"/>
        </w:rPr>
        <w:t xml:space="preserve">E. Zarenezhad et al. (2023). Synthesis, Anti-microbial, Antifungal and In Silico Assessment of Some 2,4,5-Trisubstituted Imidazole Analogues. Journal of Molecular Structure. </w:t>
      </w:r>
      <w:hyperlink w:history="1" r:id="rIdleefq1mbgmhifcm9ibo1n">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zqbroekibfj-eed40ju15">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94. </w:t>
      </w:r>
      <w:r>
        <w:rPr>
          <w:rFonts w:ascii="Times New Roman" w:cs="Times New Roman" w:eastAsia="Times New Roman" w:hAnsi="Times New Roman"/>
          <w:sz w:val="18"/>
          <w:szCs w:val="18"/>
        </w:rPr>
        <w:t xml:space="preserve">N. Orujova et al. (2025). In vitro, in silico, and DFT evaluation of antimicrobial imidazole derivatives with insights into mechanism of action. Scientific Reports. </w:t>
      </w:r>
      <w:hyperlink w:history="1" r:id="rIdio3z0cw4l9ohlo_arhpcg">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1jwlzaua61xwwzayisseb">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95. </w:t>
      </w:r>
      <w:r>
        <w:rPr>
          <w:rFonts w:ascii="Times New Roman" w:cs="Times New Roman" w:eastAsia="Times New Roman" w:hAnsi="Times New Roman"/>
          <w:sz w:val="18"/>
          <w:szCs w:val="18"/>
        </w:rPr>
        <w:t xml:space="preserve">Oswa Fares et al. (2025). Design, synthesis, anticancer properties, and molecular docking of imidazolone derivatives with lipophilic moiety. Scientific Reports. </w:t>
      </w:r>
      <w:hyperlink w:history="1" r:id="rIdw8zb3mfpc7qzlwanyse7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5mf5zh7xgvewfopf5gwah">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96. </w:t>
      </w:r>
      <w:r>
        <w:rPr>
          <w:rFonts w:ascii="Times New Roman" w:cs="Times New Roman" w:eastAsia="Times New Roman" w:hAnsi="Times New Roman"/>
          <w:sz w:val="18"/>
          <w:szCs w:val="18"/>
        </w:rPr>
        <w:t xml:space="preserve">Mohamed H. Hekal et al. (2026). Synthesis, anti-proliferative evaluation, DFT, in silico ADME and molecular modeling studies of novel imidazolones as potential EGFR inhibitors. RSC Advances. </w:t>
      </w:r>
      <w:hyperlink w:history="1" r:id="rIdcd9izl3fuvchkvdypxsbo">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b0_yc_pshrl3avno061v1">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97. </w:t>
      </w:r>
      <w:r>
        <w:rPr>
          <w:rFonts w:ascii="Times New Roman" w:cs="Times New Roman" w:eastAsia="Times New Roman" w:hAnsi="Times New Roman"/>
          <w:sz w:val="18"/>
          <w:szCs w:val="18"/>
        </w:rPr>
        <w:t xml:space="preserve">Aisha A. K. Al-Ashmawy et al. (2025). Novel Benzimidazole‐Pyridine‐Phenylalkanesulfonate Hybrids: Design, Synthesis, Antimicrobial Screening, Lanosterol 14α‐Demethylase Inhibition Properties and in Silico Studies. Drug Development Research. </w:t>
      </w:r>
      <w:hyperlink w:history="1" r:id="rId4pfh0ukmqolhlimycstvy">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qmgyb2_q4m2qttumugf0-">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98. </w:t>
      </w:r>
      <w:r>
        <w:rPr>
          <w:rFonts w:ascii="Times New Roman" w:cs="Times New Roman" w:eastAsia="Times New Roman" w:hAnsi="Times New Roman"/>
          <w:sz w:val="18"/>
          <w:szCs w:val="18"/>
        </w:rPr>
        <w:t xml:space="preserve">Mohamed A Omar et al. (2026). Design and synthesis of benzimidazole-based derivatives with antimicrobial activity: mechanistic insights into ROS-mediated oxidative damage, hemolytic assessment, and molecular docking studies. Bioorganic chemistry. </w:t>
      </w:r>
      <w:hyperlink w:history="1" r:id="rIdkw-aiwjgeg_erjh2uoe2v">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syotps9zyjhdc-ijyi_s4">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99. </w:t>
      </w:r>
      <w:r>
        <w:rPr>
          <w:rFonts w:ascii="Times New Roman" w:cs="Times New Roman" w:eastAsia="Times New Roman" w:hAnsi="Times New Roman"/>
          <w:sz w:val="18"/>
          <w:szCs w:val="18"/>
        </w:rPr>
        <w:t xml:space="preserve">L. Aroua et al. (2023). Synthesis, Molecular Docking, and Bioactivity Study of Novel Hybrid Benzimidazole Urea Derivatives: A Promising α-Amylase and α-Glucosidase Inhibitor Candidate with Antioxidant Activity. Pharmaceutics. </w:t>
      </w:r>
      <w:hyperlink w:history="1" r:id="rIdiok9tl_-ofiovjjujapct">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chybewnzcpbky4nt4yhhu">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100. </w:t>
      </w:r>
      <w:r>
        <w:rPr>
          <w:rFonts w:ascii="Times New Roman" w:cs="Times New Roman" w:eastAsia="Times New Roman" w:hAnsi="Times New Roman"/>
          <w:sz w:val="18"/>
          <w:szCs w:val="18"/>
        </w:rPr>
        <w:t xml:space="preserve">Payal Kamboj et al. (2024). Design, synthesis, biological assessment and molecular modeling studies of novel imidazothiazole-thiazolidinone hybrids as potential anticancer and anti-inflammatory agents. Scientific Reports. </w:t>
      </w:r>
      <w:hyperlink w:history="1" r:id="rId5kedxlj2lupthm7-y2nlc">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uptofy-21mjasu5nc_b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101. </w:t>
      </w:r>
      <w:r>
        <w:rPr>
          <w:rFonts w:ascii="Times New Roman" w:cs="Times New Roman" w:eastAsia="Times New Roman" w:hAnsi="Times New Roman"/>
          <w:sz w:val="18"/>
          <w:szCs w:val="18"/>
        </w:rPr>
        <w:t xml:space="preserve">Deepika Dwarakanath et al. (2024). In vitro and in silico insights into antimicrobial and anticancer activities of novel imidazo[2,1-b][1,3,4]thiadiazoles. Scientific Reports. </w:t>
      </w:r>
      <w:hyperlink w:history="1" r:id="rId8oosnp-qekz08gpjzq4yi">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ragh7x0zxeau71zkykwte">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102. </w:t>
      </w:r>
      <w:r>
        <w:rPr>
          <w:rFonts w:ascii="Times New Roman" w:cs="Times New Roman" w:eastAsia="Times New Roman" w:hAnsi="Times New Roman"/>
          <w:sz w:val="18"/>
          <w:szCs w:val="18"/>
        </w:rPr>
        <w:t xml:space="preserve">Manita Saini et al. (2026). Imidazole Antifungals Against Fungal Pathogens: Resistance Mechanisms and Emerging Delivery Strategies. Micro. </w:t>
      </w:r>
      <w:hyperlink w:history="1" r:id="rIdwftmutnzsz-5-49yvbxt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cqwv6vy-f6sksoo9j64fi">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103. </w:t>
      </w:r>
      <w:r>
        <w:rPr>
          <w:rFonts w:ascii="Times New Roman" w:cs="Times New Roman" w:eastAsia="Times New Roman" w:hAnsi="Times New Roman"/>
          <w:sz w:val="18"/>
          <w:szCs w:val="18"/>
        </w:rPr>
        <w:t xml:space="preserve">Martha M. Morcoss et al. (2020). Design, synthesis, mechanistic studies and in silico ADME predictions of benzimidazole derivatives as novel antifungal agents. Bioorganic chemistry. </w:t>
      </w:r>
      <w:hyperlink w:history="1" r:id="rIdijskptlgurcr2py_czaxj">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aupjshq_8e1d_jox0pdwt">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104. </w:t>
      </w:r>
      <w:r>
        <w:rPr>
          <w:rFonts w:ascii="Times New Roman" w:cs="Times New Roman" w:eastAsia="Times New Roman" w:hAnsi="Times New Roman"/>
          <w:sz w:val="18"/>
          <w:szCs w:val="18"/>
        </w:rPr>
        <w:t xml:space="preserve">I. Celik et al. (2022). Synthesis, Molecular Docking, Dynamics, Quantum-Chemical Computation, and Antimicrobial Activity Studies of Some New Benzimidazole–Thiadiazole Hybrids. ACS Omega. </w:t>
      </w:r>
      <w:hyperlink w:history="1" r:id="rIdpwj-bdy8z1rrejorjhdw2">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spdvsvy5-zowulqwk6955">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105. </w:t>
      </w:r>
      <w:r>
        <w:rPr>
          <w:rFonts w:ascii="Times New Roman" w:cs="Times New Roman" w:eastAsia="Times New Roman" w:hAnsi="Times New Roman"/>
          <w:sz w:val="18"/>
          <w:szCs w:val="18"/>
        </w:rPr>
        <w:t xml:space="preserve">A. Işık et al. (2024). Synthesis, DFT Calculations, In Silico Studies, and Antimicrobial Evaluation of Benzimidazole-Thiadiazole Derivatives. ACS Omega. </w:t>
      </w:r>
      <w:hyperlink w:history="1" r:id="rIdlm0p8avn2vfu_ax1mnx4n">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5mmjj2ocizjgbz0bvjd6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106. </w:t>
      </w:r>
      <w:r>
        <w:rPr>
          <w:rFonts w:ascii="Times New Roman" w:cs="Times New Roman" w:eastAsia="Times New Roman" w:hAnsi="Times New Roman"/>
          <w:sz w:val="18"/>
          <w:szCs w:val="18"/>
        </w:rPr>
        <w:t xml:space="preserve">Sara Sadeghian et al. (2023). Imidazole Derivatives as Novel and Potent Antifungal Agents: Synthesis, Biological Evaluation, Molecular Docking Study, Molecular Dynamic Simulation and ADME Prediction. Journal of Molecular Structure. </w:t>
      </w:r>
      <w:hyperlink w:history="1" r:id="rIdjc59_nd77mpjpnid7iqex">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6az7wo7pqqdhyidefhcgc">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107. </w:t>
      </w:r>
      <w:r>
        <w:rPr>
          <w:rFonts w:ascii="Times New Roman" w:cs="Times New Roman" w:eastAsia="Times New Roman" w:hAnsi="Times New Roman"/>
          <w:sz w:val="18"/>
          <w:szCs w:val="18"/>
        </w:rPr>
        <w:t xml:space="preserve">Ajayrajsinh R. Zala et al. (2023). Synthesis, characterization, molecular dynamic simulation, and biological assessment of cinnamates linked to imidazole/benzimidazole as a CYP51 inhibitor. Journal of Biomolecular Structure and Dynamics. </w:t>
      </w:r>
      <w:hyperlink w:history="1" r:id="rIdzvogsb3-aernyjekzokog">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inojl0xgwppx3z8qahff">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108. </w:t>
      </w:r>
      <w:r>
        <w:rPr>
          <w:rFonts w:ascii="Times New Roman" w:cs="Times New Roman" w:eastAsia="Times New Roman" w:hAnsi="Times New Roman"/>
          <w:sz w:val="18"/>
          <w:szCs w:val="18"/>
        </w:rPr>
        <w:t xml:space="preserve">Karolina M. Czajka et al. (2023). Molecular Mechanisms Associated with Antifungal Resistance in Pathogenic Candida Species. Cells. </w:t>
      </w:r>
      <w:hyperlink w:history="1" r:id="rIdvap89dzgldlxp0jqne4jc">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s7pfgeuwdsmegd2jhi2">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109. </w:t>
      </w:r>
      <w:r>
        <w:rPr>
          <w:rFonts w:ascii="Times New Roman" w:cs="Times New Roman" w:eastAsia="Times New Roman" w:hAnsi="Times New Roman"/>
          <w:sz w:val="18"/>
          <w:szCs w:val="18"/>
        </w:rPr>
        <w:t xml:space="preserve">Yunxiao Li et al. (2025). Understanding the mechanisms of resistance to azole antifungals in Candida species. JAC-Antimicrobial Resistance. </w:t>
      </w:r>
      <w:hyperlink w:history="1" r:id="rIdrvwp7bl4u1o_oqwttq9n0">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gg0o1baqln1mtestkolkz">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110. </w:t>
      </w:r>
      <w:r>
        <w:rPr>
          <w:rFonts w:ascii="Times New Roman" w:cs="Times New Roman" w:eastAsia="Times New Roman" w:hAnsi="Times New Roman"/>
          <w:sz w:val="18"/>
          <w:szCs w:val="18"/>
        </w:rPr>
        <w:t xml:space="preserve">K. E. Pristov et al. (2019). Resistance of Candida to azoles and echinocandins worldwide. Clinical microbiology and infection : the official publication of the European Society of Clinical Microbiology and Infectious Diseases. </w:t>
      </w:r>
      <w:hyperlink w:history="1" r:id="rIdotq54njl1ejpczboflxc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p7vvhzygtojub2hluced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111. </w:t>
      </w:r>
      <w:r>
        <w:rPr>
          <w:rFonts w:ascii="Times New Roman" w:cs="Times New Roman" w:eastAsia="Times New Roman" w:hAnsi="Times New Roman"/>
          <w:sz w:val="18"/>
          <w:szCs w:val="18"/>
        </w:rPr>
        <w:t xml:space="preserve">S. Whaley et al. (2017). Azole Antifungal Resistance in Candida albicans and Emerging Non-albicans Candida Species. Frontiers in Microbiology. </w:t>
      </w:r>
      <w:hyperlink w:history="1" r:id="rIdd9q5xf4hxtjp8yxb95g6i">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laowp7lq3rn9-ntbig__d">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112. </w:t>
      </w:r>
      <w:r>
        <w:rPr>
          <w:rFonts w:ascii="Times New Roman" w:cs="Times New Roman" w:eastAsia="Times New Roman" w:hAnsi="Times New Roman"/>
          <w:sz w:val="18"/>
          <w:szCs w:val="18"/>
        </w:rPr>
        <w:t xml:space="preserve">B. Roohi et al. (2026). The dual role of azoles: lifesaving antifungals and drivers of resistance – a One Health perspective. Nature Communications. </w:t>
      </w:r>
      <w:hyperlink w:history="1" r:id="rIdmndtwsh8mdran8-yxnjpa">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mzznh_6ca7wwpdcjg_qfb">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113. </w:t>
      </w:r>
      <w:r>
        <w:rPr>
          <w:rFonts w:ascii="Times New Roman" w:cs="Times New Roman" w:eastAsia="Times New Roman" w:hAnsi="Times New Roman"/>
          <w:sz w:val="18"/>
          <w:szCs w:val="18"/>
        </w:rPr>
        <w:t xml:space="preserve">M. Teixeira et al. (2022). New Antifungal Agents with Azole Moieties. Pharmaceuticals. </w:t>
      </w:r>
      <w:hyperlink w:history="1" r:id="rIdxq11ccbxnlctx3flfg6m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tdao2smu5uwopdfwiabt">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114. </w:t>
      </w:r>
      <w:r>
        <w:rPr>
          <w:rFonts w:ascii="Times New Roman" w:cs="Times New Roman" w:eastAsia="Times New Roman" w:hAnsi="Times New Roman"/>
          <w:sz w:val="18"/>
          <w:szCs w:val="18"/>
        </w:rPr>
        <w:t xml:space="preserve">N. P. Dalbanjan et al. (2025). Biochemical and Computational Insights into the Therapeutic Potencies of Quinoline Appended Imidazole Compounds. ChemistrySelect. </w:t>
      </w:r>
      <w:hyperlink w:history="1" r:id="rIdydezah8gnmp7b5ct10jgz">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8x4cndsng6zyuiuqbkkm">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115. </w:t>
      </w:r>
      <w:r>
        <w:rPr>
          <w:rFonts w:ascii="Times New Roman" w:cs="Times New Roman" w:eastAsia="Times New Roman" w:hAnsi="Times New Roman"/>
          <w:sz w:val="18"/>
          <w:szCs w:val="18"/>
        </w:rPr>
        <w:t xml:space="preserve">E. Dincel et al. (2020). Antioxidant activity of novel imidazo[2,1-b]thiazole derivatives: Design, synthesis, biological evaluation, molecular docking study and in silico ADME prediction. Bioorganic chemistry. </w:t>
      </w:r>
      <w:hyperlink w:history="1" r:id="rIdwwlw-zrum6lwc35ig8ght">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qozg3lt_0ega175u2t5qo">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116. </w:t>
      </w:r>
      <w:r>
        <w:rPr>
          <w:rFonts w:ascii="Times New Roman" w:cs="Times New Roman" w:eastAsia="Times New Roman" w:hAnsi="Times New Roman"/>
          <w:sz w:val="18"/>
          <w:szCs w:val="18"/>
        </w:rPr>
        <w:t xml:space="preserve">R. B. Ouma et al. (2024). A review of the current trends in computational approaches in drug design and metabolism. Discover Public Health. </w:t>
      </w:r>
      <w:hyperlink w:history="1" r:id="rIdfhyzy8c-348eh4ubynnor">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hphbwynzjvymkvwiohoyv">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117. </w:t>
      </w:r>
      <w:r>
        <w:rPr>
          <w:rFonts w:ascii="Times New Roman" w:cs="Times New Roman" w:eastAsia="Times New Roman" w:hAnsi="Times New Roman"/>
          <w:sz w:val="18"/>
          <w:szCs w:val="18"/>
        </w:rPr>
        <w:t xml:space="preserve">A. Altharawi et al. (2026). Integrative Computational Chemistry Approaches in Modern Drug Discovery: Advances in Docking, Pharmacophore Modeling, Molecular Dynamics, and Virtual Screening. Pharmaceutics. </w:t>
      </w:r>
      <w:hyperlink w:history="1" r:id="rIdbj50jtt45bqtwtxdvvlto">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gi0mnslfu0irkoh5xe6cg">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118. </w:t>
      </w:r>
      <w:r>
        <w:rPr>
          <w:rFonts w:ascii="Times New Roman" w:cs="Times New Roman" w:eastAsia="Times New Roman" w:hAnsi="Times New Roman"/>
          <w:sz w:val="18"/>
          <w:szCs w:val="18"/>
        </w:rPr>
        <w:t xml:space="preserve">O. Salo-Ahen et al. (2020). Molecular Dynamics Simulations in Drug Discovery and Pharmaceutical Development. Processes. </w:t>
      </w:r>
      <w:hyperlink w:history="1" r:id="rId1cbfzybpgyjw0ggizlxwj">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jhbg1vj6xam5kkvrr8rj">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119. </w:t>
      </w:r>
      <w:r>
        <w:rPr>
          <w:rFonts w:ascii="Times New Roman" w:cs="Times New Roman" w:eastAsia="Times New Roman" w:hAnsi="Times New Roman"/>
          <w:sz w:val="18"/>
          <w:szCs w:val="18"/>
        </w:rPr>
        <w:t xml:space="preserve">Temitope Isaac Adelusi et al. (2022). Molecular modeling in drug discovery. Informatics in Medicine Unlocked. </w:t>
      </w:r>
      <w:hyperlink w:history="1" r:id="rIdroqjtgaqb2xgr2rgevxnb">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6kqikf1qlo6lkfmtlib4r">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120. </w:t>
      </w:r>
      <w:r>
        <w:rPr>
          <w:rFonts w:ascii="Times New Roman" w:cs="Times New Roman" w:eastAsia="Times New Roman" w:hAnsi="Times New Roman"/>
          <w:sz w:val="18"/>
          <w:szCs w:val="18"/>
        </w:rPr>
        <w:t xml:space="preserve">Deepak Kumawat et al. (2026). Design, Molecular Docking, and In Silico ADME Evaluation of Novel 2-Substituted Benzimidazole Derivatives. Oriental Journal Of Chemistry. </w:t>
      </w:r>
      <w:hyperlink w:history="1" r:id="rId_15i5x1kjpekjzrgywwjj">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k4y6r0ojwritfaz5thxs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121. </w:t>
      </w:r>
      <w:r>
        <w:rPr>
          <w:rFonts w:ascii="Times New Roman" w:cs="Times New Roman" w:eastAsia="Times New Roman" w:hAnsi="Times New Roman"/>
          <w:sz w:val="18"/>
          <w:szCs w:val="18"/>
        </w:rPr>
        <w:t xml:space="preserve">V. Tran-Nguyen et al. (2021). True Accuracy of Fast Scoring Functions to Predict High-Throughput Screening Data from Docking Poses: The Simpler the Better. Journal of chemical information and modeling. </w:t>
      </w:r>
      <w:hyperlink w:history="1" r:id="rIdhom6pip6q_xwomriiqo2a">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x2sdubsjuxgwf0bz8urub">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122. </w:t>
      </w:r>
      <w:r>
        <w:rPr>
          <w:rFonts w:ascii="Times New Roman" w:cs="Times New Roman" w:eastAsia="Times New Roman" w:hAnsi="Times New Roman"/>
          <w:sz w:val="18"/>
          <w:szCs w:val="18"/>
        </w:rPr>
        <w:t xml:space="preserve">A. Tripathi et al. (2025). Assessing the accuracy of binding pose prediction for kinase proteins and 7-azaindole inhibitors: a study with AutoDock4, Vina, DOCK 6, and GNINA 1.0. RSC Advances. </w:t>
      </w:r>
      <w:hyperlink w:history="1" r:id="rId9rsa-bfzerwxzzakc0jal">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rg8ahqj_hwxoc_bdcz-kg">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123. </w:t>
      </w:r>
      <w:r>
        <w:rPr>
          <w:rFonts w:ascii="Times New Roman" w:cs="Times New Roman" w:eastAsia="Times New Roman" w:hAnsi="Times New Roman"/>
          <w:sz w:val="18"/>
          <w:szCs w:val="18"/>
        </w:rPr>
        <w:t xml:space="preserve">C. Blanes-Mira et al. (2022). Comprehensive Survey of Consensus Docking for High-Throughput Virtual Screening. Molecules. </w:t>
      </w:r>
      <w:hyperlink w:history="1" r:id="rId4xwpyzm5dmsedxe-1lqw5">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vkzu6ehodkrz-7uwhh3pv">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124. </w:t>
      </w:r>
      <w:r>
        <w:rPr>
          <w:rFonts w:ascii="Times New Roman" w:cs="Times New Roman" w:eastAsia="Times New Roman" w:hAnsi="Times New Roman"/>
          <w:sz w:val="18"/>
          <w:szCs w:val="18"/>
        </w:rPr>
        <w:t xml:space="preserve">Elizabeth Valdés-Muñoz et al. (2025). Comparative Data Analysis of Virtual Screening Methodologies for Predicting Urease Inhibitory Activity. ACS Omega. </w:t>
      </w:r>
      <w:hyperlink w:history="1" r:id="rId9dr8igxzygwhggp_xru8e">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mrrnuqrqcj8hgo2gmk0i">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125. </w:t>
      </w:r>
      <w:r>
        <w:rPr>
          <w:rFonts w:ascii="Times New Roman" w:cs="Times New Roman" w:eastAsia="Times New Roman" w:hAnsi="Times New Roman"/>
          <w:sz w:val="18"/>
          <w:szCs w:val="18"/>
        </w:rPr>
        <w:t xml:space="preserve">Souvik Sur et al. (2025). Challenges and limitations of computer-aided drug design. Advances in pharmacology. </w:t>
      </w:r>
      <w:hyperlink w:history="1" r:id="rIdarcdpkgyu3czbkrt0j6a_">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skkzgyijsxaggcn9qfeef">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126. </w:t>
      </w:r>
      <w:r>
        <w:rPr>
          <w:rFonts w:ascii="Times New Roman" w:cs="Times New Roman" w:eastAsia="Times New Roman" w:hAnsi="Times New Roman"/>
          <w:sz w:val="18"/>
          <w:szCs w:val="18"/>
        </w:rPr>
        <w:t xml:space="preserve">Ercheng Wang et al. (2019). End-Point Binding Free Energy Calculation with MM/PBSA and MM/GBSA: Strategies and Applications in Drug Design. Chemical reviews. </w:t>
      </w:r>
      <w:hyperlink w:history="1" r:id="rIdztluadxxvmvxeeslgfwxv">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f3rlznu9vdijxdzhxfxws">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127. </w:t>
      </w:r>
      <w:r>
        <w:rPr>
          <w:rFonts w:ascii="Times New Roman" w:cs="Times New Roman" w:eastAsia="Times New Roman" w:hAnsi="Times New Roman"/>
          <w:sz w:val="18"/>
          <w:szCs w:val="18"/>
        </w:rPr>
        <w:t xml:space="preserve">T. Tuccinardi (2021). What is the current value of MM/PBSA and MM/GBSA methods in drug discovery?. Expert Opinion on Drug Discovery. </w:t>
      </w:r>
      <w:hyperlink w:history="1" r:id="rIdtj3zpfylkkmongtfouscy">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kaajmntytshvjmt8kpjff">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128. </w:t>
      </w:r>
      <w:r>
        <w:rPr>
          <w:rFonts w:ascii="Times New Roman" w:cs="Times New Roman" w:eastAsia="Times New Roman" w:hAnsi="Times New Roman"/>
          <w:sz w:val="18"/>
          <w:szCs w:val="18"/>
        </w:rPr>
        <w:t xml:space="preserve">M. Bello et al. (2023). Evaluating the ability of end-point methods to predict the binding affinity tendency of protein kinase inhibitors. RSC Advances. </w:t>
      </w:r>
      <w:hyperlink w:history="1" r:id="rIdf597nqvppf5fsul6jkwpz">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vxrcys2urhcpdslna5oen">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129. </w:t>
      </w:r>
      <w:r>
        <w:rPr>
          <w:rFonts w:ascii="Times New Roman" w:cs="Times New Roman" w:eastAsia="Times New Roman" w:hAnsi="Times New Roman"/>
          <w:sz w:val="18"/>
          <w:szCs w:val="18"/>
        </w:rPr>
        <w:t xml:space="preserve">Mackenzie Taylor et al. (2023). MM/GBSA prediction of relative binding affinities of carbonic anhydrase inhibitors: effect of atomic charges and comparison with Autodock4Zn. Journal of Computer-Aided Molecular Design. </w:t>
      </w:r>
      <w:hyperlink w:history="1" r:id="rIdjswb9s7cmdnamnxwidjqv">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jxzsxz-mocq7zajbg2tny">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130. </w:t>
      </w:r>
      <w:r>
        <w:rPr>
          <w:rFonts w:ascii="Times New Roman" w:cs="Times New Roman" w:eastAsia="Times New Roman" w:hAnsi="Times New Roman"/>
          <w:sz w:val="18"/>
          <w:szCs w:val="18"/>
        </w:rPr>
        <w:t xml:space="preserve">Harutyun Sahakyan (2021). Improving virtual screening results with MM/GBSA and MM/PBSA rescoring. Journal of Computer-Aided Molecular Design. </w:t>
      </w:r>
      <w:hyperlink w:history="1" r:id="rId4lrc-emq-k22lqftm4p1e">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aziwmwo-cdi29uwan48wl">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131. </w:t>
      </w:r>
      <w:r>
        <w:rPr>
          <w:rFonts w:ascii="Times New Roman" w:cs="Times New Roman" w:eastAsia="Times New Roman" w:hAnsi="Times New Roman"/>
          <w:sz w:val="18"/>
          <w:szCs w:val="18"/>
        </w:rPr>
        <w:t xml:space="preserve">Gregory A. Ross et al. (2023). The maximal and current accuracy of rigorous protein-ligand binding free energy calculations. Communications Chemistry. </w:t>
      </w:r>
      <w:hyperlink w:history="1" r:id="rIdfduasklykappnhodlw1nn">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sbmqlog3j1nlvrhcyhatl">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132. </w:t>
      </w:r>
      <w:r>
        <w:rPr>
          <w:rFonts w:ascii="Times New Roman" w:cs="Times New Roman" w:eastAsia="Times New Roman" w:hAnsi="Times New Roman"/>
          <w:sz w:val="18"/>
          <w:szCs w:val="18"/>
        </w:rPr>
        <w:t xml:space="preserve">A. Daina et al. (2017). SwissADME: a free web tool to evaluate pharmacokinetics, drug-likeness and medicinal chemistry friendliness of small molecules. Scientific Reports. </w:t>
      </w:r>
      <w:hyperlink w:history="1" r:id="rIdyswci5d8gib-uxcm-fu2s">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16yodda2nmhl14jqnxnml">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133. </w:t>
      </w:r>
      <w:r>
        <w:rPr>
          <w:rFonts w:ascii="Times New Roman" w:cs="Times New Roman" w:eastAsia="Times New Roman" w:hAnsi="Times New Roman"/>
          <w:sz w:val="18"/>
          <w:szCs w:val="18"/>
        </w:rPr>
        <w:t xml:space="preserve">Guoli Xiong et al. (2021). ADMETlab 2.0: an integrated online platform for accurate and comprehensive predictions of ADMET properties. Nucleic Acids Research. </w:t>
      </w:r>
      <w:hyperlink w:history="1" r:id="rId8sqtecpivgrfg3tfh3hed">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prszfsm7xuric-zpyeacp">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134. </w:t>
      </w:r>
      <w:r>
        <w:rPr>
          <w:rFonts w:ascii="Times New Roman" w:cs="Times New Roman" w:eastAsia="Times New Roman" w:hAnsi="Times New Roman"/>
          <w:sz w:val="18"/>
          <w:szCs w:val="18"/>
        </w:rPr>
        <w:t xml:space="preserve">Chen-Yang Jia et al. (2019). A drug-likeness toolbox facilitates ADMET study in drug discovery. Drug discovery today. </w:t>
      </w:r>
      <w:hyperlink w:history="1" r:id="rIdcchjbpwuliluzefiopam-">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1nwjfn7nuepartbbz5j1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135. </w:t>
      </w:r>
      <w:r>
        <w:rPr>
          <w:rFonts w:ascii="Times New Roman" w:cs="Times New Roman" w:eastAsia="Times New Roman" w:hAnsi="Times New Roman"/>
          <w:sz w:val="18"/>
          <w:szCs w:val="18"/>
        </w:rPr>
        <w:t xml:space="preserve">Feng-Xu Wu et al. (2020). Computational Approaches in Preclinical Studies on Drug Discovery and Development. Frontiers in Chemistry. </w:t>
      </w:r>
      <w:hyperlink w:history="1" r:id="rIdhsb4mbmazkx7nyhvscp87">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0bd4qc_rpfooqjtuzhyw4">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136. </w:t>
      </w:r>
      <w:r>
        <w:rPr>
          <w:rFonts w:ascii="Times New Roman" w:cs="Times New Roman" w:eastAsia="Times New Roman" w:hAnsi="Times New Roman"/>
          <w:sz w:val="18"/>
          <w:szCs w:val="18"/>
        </w:rPr>
        <w:t xml:space="preserve">S. Kar et al. (2020). Open access in silico tools to predict the ADMET profiling of drug candidates. Expert Opinion on Drug Discovery. </w:t>
      </w:r>
      <w:hyperlink w:history="1" r:id="rIddlnbdiwgpr9jazcxf_g0m">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kr3xlfxwvyew1xwkdelr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137. </w:t>
      </w:r>
      <w:r>
        <w:rPr>
          <w:rFonts w:ascii="Times New Roman" w:cs="Times New Roman" w:eastAsia="Times New Roman" w:hAnsi="Times New Roman"/>
          <w:sz w:val="18"/>
          <w:szCs w:val="18"/>
        </w:rPr>
        <w:t xml:space="preserve">Júlia Dulsat et al. (2023). Evaluation of Free Online ADMET Tools for Academic or Small Biotech Environments. Molecules. </w:t>
      </w:r>
      <w:hyperlink w:history="1" r:id="rIde5ngnqbcf_jh9hxt1onof">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mtg92la1qwaijgdev95d1">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138. </w:t>
      </w:r>
      <w:r>
        <w:rPr>
          <w:rFonts w:ascii="Times New Roman" w:cs="Times New Roman" w:eastAsia="Times New Roman" w:hAnsi="Times New Roman"/>
          <w:sz w:val="18"/>
          <w:szCs w:val="18"/>
        </w:rPr>
        <w:t xml:space="preserve">M. Nicolov et al. (2026). The Complexity of Drug Development: Translational Value and Limitations of Computational ADMET Assays Applied to Approved Anticancer Drugs. Pharmaceuticals. </w:t>
      </w:r>
      <w:hyperlink w:history="1" r:id="rIdwa91ozwdj7ap6zteihplx">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kszn1bwlu-uifjtppavao">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139. </w:t>
      </w:r>
      <w:r>
        <w:rPr>
          <w:rFonts w:ascii="Times New Roman" w:cs="Times New Roman" w:eastAsia="Times New Roman" w:hAnsi="Times New Roman"/>
          <w:sz w:val="18"/>
          <w:szCs w:val="18"/>
        </w:rPr>
        <w:t xml:space="preserve">Jing-Chen Zhai et al. (2023). Comparison and summary of in silico prediction tools for CYP450-mediated drug metabolism. Drug discovery today. </w:t>
      </w:r>
      <w:hyperlink w:history="1" r:id="rIdd-4ii1-pbdhegjdgpf038">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m_twve3ubiqk1-lnqmse">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140. </w:t>
      </w:r>
      <w:r>
        <w:rPr>
          <w:rFonts w:ascii="Times New Roman" w:cs="Times New Roman" w:eastAsia="Times New Roman" w:hAnsi="Times New Roman"/>
          <w:sz w:val="18"/>
          <w:szCs w:val="18"/>
        </w:rPr>
        <w:t xml:space="preserve">U. Fagerholm et al. (2025). Human ADME/PK is lost in translation and prediction from in silico to in vitro to in vivo. bioRxiv. </w:t>
      </w:r>
      <w:hyperlink w:history="1" r:id="rId-xdbxqp6ntpmfcjk8dnjb">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yoznhche83bdci-1hvkb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141. </w:t>
      </w:r>
      <w:r>
        <w:rPr>
          <w:rFonts w:ascii="Times New Roman" w:cs="Times New Roman" w:eastAsia="Times New Roman" w:hAnsi="Times New Roman"/>
          <w:sz w:val="18"/>
          <w:szCs w:val="18"/>
        </w:rPr>
        <w:t xml:space="preserve">Marcin Cieślak et al. (2024). Machine learning accelerates pharmacophore-based virtual screening of MAO inhibitors. Scientific Reports. </w:t>
      </w:r>
      <w:hyperlink w:history="1" r:id="rIdo0wlwludo4kcknnsua-bf">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lxs2tpinhku27rhhqinex">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142. </w:t>
      </w:r>
      <w:r>
        <w:rPr>
          <w:rFonts w:ascii="Times New Roman" w:cs="Times New Roman" w:eastAsia="Times New Roman" w:hAnsi="Times New Roman"/>
          <w:sz w:val="18"/>
          <w:szCs w:val="18"/>
        </w:rPr>
        <w:t xml:space="preserve">Perli.Kranti Kumar (2026). Molecular Docking and Simulation Studies in Drug Discovery: Principles, Applications, and Current Limitations. Indian Journal of Pharmaceutical Chemistry and Analytical Techniques. </w:t>
      </w:r>
      <w:hyperlink w:history="1" r:id="rIdg9t7uszqjdsnkkrnufmgy">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uasadcv3-ewloumj06kqv">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143. </w:t>
      </w:r>
      <w:r>
        <w:rPr>
          <w:rFonts w:ascii="Times New Roman" w:cs="Times New Roman" w:eastAsia="Times New Roman" w:hAnsi="Times New Roman"/>
          <w:sz w:val="18"/>
          <w:szCs w:val="18"/>
        </w:rPr>
        <w:t xml:space="preserve">Wenjian Zhang et al. (2002). Inhibition of cytochromes P450 by antifungal imidazole derivatives. Drug metabolism and disposition: the biological fate of chemicals. </w:t>
      </w:r>
      <w:hyperlink w:history="1" r:id="rIdpalc1o7hfsgp6bxcdq3lz">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lm1gd_v_xj3d5s3cvpafm">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144. </w:t>
      </w:r>
      <w:r>
        <w:rPr>
          <w:rFonts w:ascii="Times New Roman" w:cs="Times New Roman" w:eastAsia="Times New Roman" w:hAnsi="Times New Roman"/>
          <w:sz w:val="18"/>
          <w:szCs w:val="18"/>
        </w:rPr>
        <w:t xml:space="preserve">M. P. Godamudunage et al. (2018). Comparison of Antifungal Azole Interactions with Adult Cytochrome P450 3A4 versus Neonatal Cytochrome P450 3A7. Drug Metabolism and Disposition. </w:t>
      </w:r>
      <w:hyperlink w:history="1" r:id="rId0so73nhgbfjlacpfpcfya">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g8uwdiifwmpq_gpaesmvl">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145. </w:t>
      </w:r>
      <w:r>
        <w:rPr>
          <w:rFonts w:ascii="Times New Roman" w:cs="Times New Roman" w:eastAsia="Times New Roman" w:hAnsi="Times New Roman"/>
          <w:sz w:val="18"/>
          <w:szCs w:val="18"/>
        </w:rPr>
        <w:t xml:space="preserve">Natalia Mast et al. (2013). Antifungal Azoles: Structural Insights into Undesired Tight Binding to Cholesterol-Metabolizing CYP46A1. Molecular Pharmacology. </w:t>
      </w:r>
      <w:hyperlink w:history="1" r:id="rIdtywos34imhd5oqsq07ovb">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f7nu6xrfnug5a3dxallzy">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146. </w:t>
      </w:r>
      <w:r>
        <w:rPr>
          <w:rFonts w:ascii="Times New Roman" w:cs="Times New Roman" w:eastAsia="Times New Roman" w:hAnsi="Times New Roman"/>
          <w:sz w:val="18"/>
          <w:szCs w:val="18"/>
        </w:rPr>
        <w:t xml:space="preserve">Jinghan Liu et al. (2022). The structure and characterization of human cytochrome P450 8B1 supports future drug design for nonalcoholic fatty liver disease and diabetes. The Journal of Biological Chemistry. </w:t>
      </w:r>
      <w:hyperlink w:history="1" r:id="rIdd2l7wbac-npvyhh5tzu6u">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xmdycmrtmzzju405x8u2k">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147. </w:t>
      </w:r>
      <w:r>
        <w:rPr>
          <w:rFonts w:ascii="Times New Roman" w:cs="Times New Roman" w:eastAsia="Times New Roman" w:hAnsi="Times New Roman"/>
          <w:sz w:val="18"/>
          <w:szCs w:val="18"/>
        </w:rPr>
        <w:t xml:space="preserve">I. Sevrioukova (2019). Interaction of human drug-metabolizing CYP3A4 with small inhibitory molecules. Biochemistry. </w:t>
      </w:r>
      <w:hyperlink w:history="1" r:id="rIdj4yvs09lhsbmwpu-nl52i">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6k4ytsdlowu9viexuqpx9">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148. </w:t>
      </w:r>
      <w:r>
        <w:rPr>
          <w:rFonts w:ascii="Times New Roman" w:cs="Times New Roman" w:eastAsia="Times New Roman" w:hAnsi="Times New Roman"/>
          <w:sz w:val="18"/>
          <w:szCs w:val="18"/>
        </w:rPr>
        <w:t xml:space="preserve">Kip P. Conner et al. (2012). 1,2,3-Triazole-Heme Interactions in Cytochrome P450: Functionally Competent Triazole-Water- Heme Complexes. Biochemistry. </w:t>
      </w:r>
      <w:hyperlink w:history="1" r:id="rId8mofxqjsjatqdbj901pdt">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k8sq1d1y9dn0xijumo6n1">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149. </w:t>
      </w:r>
      <w:r>
        <w:rPr>
          <w:rFonts w:ascii="Times New Roman" w:cs="Times New Roman" w:eastAsia="Times New Roman" w:hAnsi="Times New Roman"/>
          <w:sz w:val="18"/>
          <w:szCs w:val="18"/>
        </w:rPr>
        <w:t xml:space="preserve">M. N. Podgorski et al. (2021). To Be, or Not to Be, an Inhibitor: A Comparison of Azole Interactions with and Oxidation by a Cytochrome P450 Enzyme. Inorganic chemistry. </w:t>
      </w:r>
      <w:hyperlink w:history="1" r:id="rIdhlhe3jul5_if29jdbbc7w">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iw4udfgjo-0qtodmefhe4">
        <w:r>
          <w:rPr>
            <w:rStyle w:val="Hyperlink"/>
            <w:rFonts w:ascii="Times New Roman" w:cs="Times New Roman" w:eastAsia="Times New Roman" w:hAnsi="Times New Roman"/>
            <w:sz w:val="18"/>
            <w:szCs w:val="18"/>
          </w:rPr>
          <w:t xml:space="preserve">DOI</w:t>
        </w:r>
      </w:hyperlink>
    </w:p>
    <w:p>
      <w:pPr>
        <w:spacing w:after="70" w:line="235"/>
        <w:ind w:left="360" w:hanging="360"/>
      </w:pPr>
      <w:r>
        <w:rPr>
          <w:rFonts w:ascii="Times New Roman" w:cs="Times New Roman" w:eastAsia="Times New Roman" w:hAnsi="Times New Roman"/>
          <w:b/>
          <w:bCs/>
          <w:sz w:val="18"/>
          <w:szCs w:val="18"/>
        </w:rPr>
        <w:t xml:space="preserve">150. </w:t>
      </w:r>
      <w:r>
        <w:rPr>
          <w:rFonts w:ascii="Times New Roman" w:cs="Times New Roman" w:eastAsia="Times New Roman" w:hAnsi="Times New Roman"/>
          <w:sz w:val="18"/>
          <w:szCs w:val="18"/>
        </w:rPr>
        <w:t xml:space="preserve">Elyse K. Frydendall et al. (2024). Development of a high throughput cytochrome P450 ligand-binding assay. The Journal of Biological Chemistry. </w:t>
      </w:r>
      <w:hyperlink w:history="1" r:id="rIdh2ngppadbn5rpui-l0a1f">
        <w:r>
          <w:rPr>
            <w:rStyle w:val="Hyperlink"/>
            <w:rFonts w:ascii="Times New Roman" w:cs="Times New Roman" w:eastAsia="Times New Roman" w:hAnsi="Times New Roman"/>
            <w:sz w:val="18"/>
            <w:szCs w:val="18"/>
          </w:rPr>
          <w:t xml:space="preserve">View on Consensus</w:t>
        </w:r>
      </w:hyperlink>
      <w:r>
        <w:rPr>
          <w:rFonts w:ascii="Times New Roman" w:cs="Times New Roman" w:eastAsia="Times New Roman" w:hAnsi="Times New Roman"/>
          <w:sz w:val="18"/>
          <w:szCs w:val="18"/>
        </w:rPr>
        <w:t xml:space="preserve">  ·  </w:t>
      </w:r>
      <w:hyperlink w:history="1" r:id="rIdq0y_lnz6ehwjwcj-8bmsk">
        <w:r>
          <w:rPr>
            <w:rStyle w:val="Hyperlink"/>
            <w:rFonts w:ascii="Times New Roman" w:cs="Times New Roman" w:eastAsia="Times New Roman" w:hAnsi="Times New Roman"/>
            <w:sz w:val="18"/>
            <w:szCs w:val="18"/>
          </w:rPr>
          <w:t xml:space="preserve">DOI</w:t>
        </w:r>
      </w:hyperlink>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A"/>
        <w:sz w:val="16"/>
        <w:szCs w:val="16"/>
      </w:rPr>
      <w:t xml:space="preserve">Page </w:t>
    </w:r>
    <w:r>
      <w:rPr>
        <w:rFonts w:ascii="Arial" w:cs="Arial" w:eastAsia="Arial" w:hAnsi="Arial"/>
        <w:color w:val="5B6B7A"/>
        <w:sz w:val="16"/>
        <w:szCs w:val="16"/>
      </w:rPr>
      <w:fldChar w:fldCharType="begin"/>
      <w:instrText xml:space="preserve">PAGE</w:instrText>
      <w:fldChar w:fldCharType="separate"/>
      <w:fldChar w:fldCharType="end"/>
    </w:r>
    <w:r>
      <w:rPr>
        <w:rFonts w:ascii="Arial" w:cs="Arial" w:eastAsia="Arial" w:hAnsi="Arial"/>
        <w:color w:val="5B6B7A"/>
        <w:sz w:val="16"/>
        <w:szCs w:val="16"/>
      </w:rPr>
      <w:t xml:space="preserve"> of </w:t>
    </w:r>
    <w:r>
      <w:rPr>
        <w:rFonts w:ascii="Arial" w:cs="Arial" w:eastAsia="Arial" w:hAnsi="Arial"/>
        <w:color w:val="5B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2"/>
      </w:pBdr>
      <w:jc w:val="right"/>
    </w:pPr>
    <w:r>
      <w:rPr>
        <w:rFonts w:ascii="Arial" w:cs="Arial" w:eastAsia="Arial" w:hAnsi="Arial"/>
        <w:color w:val="5B6B7A"/>
        <w:sz w:val="16"/>
        <w:szCs w:val="16"/>
      </w:rPr>
      <w:t xml:space="preserve">Imidazole-derived molecules: in silico–guided design and synthesis (review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4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pPr>
    <w:rPr>
      <w:rFonts w:ascii="Arial" w:cs="Arial" w:eastAsia="Arial" w:hAnsi="Arial"/>
      <w:b/>
      <w:bCs/>
      <w:color w:val="1F3A5F"/>
      <w:sz w:val="36"/>
      <w:szCs w:val="36"/>
    </w:rPr>
  </w:style>
  <w:style w:type="paragraph" w:styleId="Heading1">
    <w:name w:val="Heading 1"/>
    <w:basedOn w:val="Normal"/>
    <w:next w:val="Normal"/>
    <w:qFormat/>
    <w:pPr>
      <w:pBdr>
        <w:bottom w:val="single" w:color="BFC7CF" w:sz="6" w:space="2"/>
      </w:pBdr>
      <w:spacing w:after="120" w:before="320"/>
      <w:outlineLvl w:val="0"/>
    </w:pPr>
    <w:rPr>
      <w:rFonts w:ascii="Arial" w:cs="Arial" w:eastAsia="Arial" w:hAnsi="Arial"/>
      <w:b/>
      <w:bCs/>
      <w:color w:val="1F3A5F"/>
      <w:sz w:val="28"/>
      <w:szCs w:val="28"/>
    </w:rPr>
  </w:style>
  <w:style w:type="paragraph" w:styleId="Heading2">
    <w:name w:val="Heading 2"/>
    <w:basedOn w:val="Normal"/>
    <w:next w:val="Normal"/>
    <w:qFormat/>
    <w:pPr>
      <w:spacing w:after="90" w:before="240"/>
      <w:outlineLvl w:val="1"/>
    </w:pPr>
    <w:rPr>
      <w:rFonts w:ascii="Arial" w:cs="Arial" w:eastAsia="Arial" w:hAnsi="Arial"/>
      <w:b/>
      <w:bCs/>
      <w:color w:val="1F7A8C"/>
      <w:sz w:val="24"/>
      <w:szCs w:val="24"/>
    </w:rPr>
  </w:style>
  <w:style w:type="paragraph" w:styleId="Heading3">
    <w:name w:val="Heading 3"/>
    <w:basedOn w:val="Normal"/>
    <w:next w:val="Normal"/>
    <w:qFormat/>
    <w:pPr>
      <w:spacing w:after="70" w:before="180"/>
      <w:outlineLvl w:val="2"/>
    </w:pPr>
    <w:rPr>
      <w:rFonts w:ascii="Arial" w:cs="Arial" w:eastAsia="Arial" w:hAnsi="Arial"/>
      <w:b/>
      <w:bCs/>
      <w:color w:val="5B6B7A"/>
      <w:sz w:val="22"/>
      <w:szCs w:val="22"/>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jjee7-ojvpjaiynhltxy" Type="http://schemas.openxmlformats.org/officeDocument/2006/relationships/hyperlink" Target="https://consensus.app/papers/details/17e25d3faa9f51e1afccc9270ea2ceaf/?utm_source=claude_desktop" TargetMode="External"/><Relationship Id="rIdxpmj46ydugzh5oo7riftg" Type="http://schemas.openxmlformats.org/officeDocument/2006/relationships/hyperlink" Target="https://doi.org/10.1186/s13065-020-00730-1" TargetMode="External"/><Relationship Id="rIdrh_e4s87k-qky5v5yjw1k" Type="http://schemas.openxmlformats.org/officeDocument/2006/relationships/hyperlink" Target="https://consensus.app/papers/details/3bd9f34ffcdf5dd29f5dec5f662fe5bf/?utm_source=claude_desktop" TargetMode="External"/><Relationship Id="rIdywlpawmgjzzzoxht1njlx" Type="http://schemas.openxmlformats.org/officeDocument/2006/relationships/hyperlink" Target="https://doi.org/10.3390/molecules28020838" TargetMode="External"/><Relationship Id="rIdb48td5y0dr3pf8xvvapxx" Type="http://schemas.openxmlformats.org/officeDocument/2006/relationships/hyperlink" Target="https://consensus.app/papers/details/9ab6eecfc5ba59f995ee3e01019f34e7/?utm_source=claude_desktop" TargetMode="External"/><Relationship Id="rIdyv3qkm7x8iof8xv-xmzgr" Type="http://schemas.openxmlformats.org/officeDocument/2006/relationships/hyperlink" Target="https://doi.org/10.3390/molecules31030423" TargetMode="External"/><Relationship Id="rId9n3k-vuqrz6g1we_ta-mm" Type="http://schemas.openxmlformats.org/officeDocument/2006/relationships/hyperlink" Target="https://consensus.app/papers/details/644ad1cdfa3c5c7daffade509fa862eb/?utm_source=claude_desktop" TargetMode="External"/><Relationship Id="rIdzxgnn-9g_mg6afauqwfwc" Type="http://schemas.openxmlformats.org/officeDocument/2006/relationships/hyperlink" Target="https://doi.org/10.1080/10426507.2025.2611018" TargetMode="External"/><Relationship Id="rIdp67l9mlja2vnuzk3qjf03" Type="http://schemas.openxmlformats.org/officeDocument/2006/relationships/hyperlink" Target="https://consensus.app/papers/details/105dae15f4d85828979f1ca93f88e9c3/?utm_source=claude_desktop" TargetMode="External"/><Relationship Id="rIdrjnvporopultsoach3yun" Type="http://schemas.openxmlformats.org/officeDocument/2006/relationships/hyperlink" Target="https://doi.org/10.3390/jof12100728" TargetMode="External"/><Relationship Id="rIdtnjb0o5us9jqbf-ogzgri" Type="http://schemas.openxmlformats.org/officeDocument/2006/relationships/hyperlink" Target="https://consensus.app/papers/details/830ff64070e053fc847d8d0022c0f6ea/?utm_source=claude_desktop" TargetMode="External"/><Relationship Id="rIdy5moyeicmblvpfd9kgcbk" Type="http://schemas.openxmlformats.org/officeDocument/2006/relationships/hyperlink" Target="https://doi.org/10.1002/med.21290" TargetMode="External"/><Relationship Id="rIdllliu9ycctorr_tvn8fn_" Type="http://schemas.openxmlformats.org/officeDocument/2006/relationships/hyperlink" Target="https://consensus.app/papers/details/08ad8bedef8d50298e0f05213e175e1e/?utm_source=claude_desktop" TargetMode="External"/><Relationship Id="rId4ogmusgj5wzn7z8-rnyy3" Type="http://schemas.openxmlformats.org/officeDocument/2006/relationships/hyperlink" Target="https://doi.org/10.2147/dddt.s307113" TargetMode="External"/><Relationship Id="rIdtpqxrrm7dy_fpkcfq_qcu" Type="http://schemas.openxmlformats.org/officeDocument/2006/relationships/hyperlink" Target="https://consensus.app/papers/details/a3e5dd38b7b75d9994f185a58b4d020e/?utm_source=claude_desktop" TargetMode="External"/><Relationship Id="rId7asragubipieb6qqloxds" Type="http://schemas.openxmlformats.org/officeDocument/2006/relationships/hyperlink" Target="https://doi.org/10.1016/j.ejmech.2025.117524" TargetMode="External"/><Relationship Id="rIdzbgqwo2g3tpkcf47nkaxr" Type="http://schemas.openxmlformats.org/officeDocument/2006/relationships/hyperlink" Target="https://consensus.app/papers/details/e02cacc84ce7513db1d5da00c546b72b/?utm_source=claude_desktop" TargetMode="External"/><Relationship Id="rIdy-fh3nwwudimmcsst514j" Type="http://schemas.openxmlformats.org/officeDocument/2006/relationships/hyperlink" Target="https://doi.org/10.1007/s00044-024-03230-2" TargetMode="External"/><Relationship Id="rIdgflm6r_i8ycqv0rqknnmu" Type="http://schemas.openxmlformats.org/officeDocument/2006/relationships/hyperlink" Target="https://consensus.app/papers/details/6f5a38c7db1556ecb801b34b5e6e6932/?utm_source=claude_desktop" TargetMode="External"/><Relationship Id="rIdm3v8y2rqwchhwlrrm7qsm" Type="http://schemas.openxmlformats.org/officeDocument/2006/relationships/hyperlink" Target="https://doi.org/10.3390/molecules31142439" TargetMode="External"/><Relationship Id="rIdemyio9cvaeu39r0scg1rd" Type="http://schemas.openxmlformats.org/officeDocument/2006/relationships/hyperlink" Target="https://consensus.app/papers/details/52fa3e978ad4567d80809a7b3243d480/?utm_source=claude_desktop" TargetMode="External"/><Relationship Id="rIdd7mkp5ur6_e5ro0l9yoej" Type="http://schemas.openxmlformats.org/officeDocument/2006/relationships/hyperlink" Target="https://doi.org/10.1515/hc-2022-0173" TargetMode="External"/><Relationship Id="rIdfpyckho9lveqikxqql9on" Type="http://schemas.openxmlformats.org/officeDocument/2006/relationships/hyperlink" Target="https://consensus.app/papers/details/6f4ad6d88e73514eb636d18d07f994c3/?utm_source=claude_desktop" TargetMode="External"/><Relationship Id="rIdqi5celt-9s9ru38ozetgk" Type="http://schemas.openxmlformats.org/officeDocument/2006/relationships/hyperlink" Target="https://doi.org/10.1002/jhet.4583" TargetMode="External"/><Relationship Id="rIdvunbs6rv6zhkflpek4chh" Type="http://schemas.openxmlformats.org/officeDocument/2006/relationships/hyperlink" Target="https://consensus.app/papers/details/e366dca83a6a5217bca4fe4fb945bccf/?utm_source=claude_desktop" TargetMode="External"/><Relationship Id="rIdbkvqnsw7aocibbnrfdn-g" Type="http://schemas.openxmlformats.org/officeDocument/2006/relationships/hyperlink" Target="https://doi.org/10.1016/j.ejmech.2021.113705" TargetMode="External"/><Relationship Id="rIdzi1yglu6f1e2e_wgdwu4r" Type="http://schemas.openxmlformats.org/officeDocument/2006/relationships/hyperlink" Target="https://consensus.app/papers/details/f47520e44560583a85b8b4b0d45563ac/?utm_source=claude_desktop" TargetMode="External"/><Relationship Id="rIdinz1day3nho6v9zlmphhj" Type="http://schemas.openxmlformats.org/officeDocument/2006/relationships/hyperlink" Target="https://doi.org/10.1007/s12539-019-00327-w" TargetMode="External"/><Relationship Id="rIdujliq_-slqbu4r_-if2x6" Type="http://schemas.openxmlformats.org/officeDocument/2006/relationships/hyperlink" Target="https://consensus.app/papers/details/207af68fa917562194cbee5c4645b0dc/?utm_source=claude_desktop" TargetMode="External"/><Relationship Id="rIdihwhfpiorb9gllch7gkpr" Type="http://schemas.openxmlformats.org/officeDocument/2006/relationships/hyperlink" Target="https://doi.org/10.3389/fphar.2018.01089" TargetMode="External"/><Relationship Id="rIdly1r0yfejjxvq_8jafa9e" Type="http://schemas.openxmlformats.org/officeDocument/2006/relationships/hyperlink" Target="https://consensus.app/papers/details/0eac1b99c1765f359d894b052f940708/?utm_source=claude_desktop" TargetMode="External"/><Relationship Id="rIdvw9hpma1rtvevtmalwuvo" Type="http://schemas.openxmlformats.org/officeDocument/2006/relationships/hyperlink" Target="https://doi.org/10.1021/acs.jcim.6c01066" TargetMode="External"/><Relationship Id="rIdi2vmdtbnpjcow8zl-7svo" Type="http://schemas.openxmlformats.org/officeDocument/2006/relationships/hyperlink" Target="https://consensus.app/papers/details/74d46031a5a05809899a042c923212f8/?utm_source=claude_desktop" TargetMode="External"/><Relationship Id="rId_gpcifzpni5ucbvgpawrj" Type="http://schemas.openxmlformats.org/officeDocument/2006/relationships/hyperlink" Target="https://doi.org/10.25259/fh_100_2025" TargetMode="External"/><Relationship Id="rId9j1_qqax9ybzazptsog5j" Type="http://schemas.openxmlformats.org/officeDocument/2006/relationships/hyperlink" Target="https://www.alphaxiv.org/abs/2005.01375" TargetMode="External"/><Relationship Id="rIdq0rl8yhp-yi8umjon42cx" Type="http://schemas.openxmlformats.org/officeDocument/2006/relationships/hyperlink" Target="https://www.alphaxiv.org/abs/1907.12004" TargetMode="External"/><Relationship Id="rIdkkru4bbadjrhmjwcxkuhs" Type="http://schemas.openxmlformats.org/officeDocument/2006/relationships/hyperlink" Target="https://www.alphaxiv.org/abs/2603.05532" TargetMode="External"/><Relationship Id="rIdippfjpdaal_zlhuh7e_o8" Type="http://schemas.openxmlformats.org/officeDocument/2006/relationships/hyperlink" Target="https://www.alphaxiv.org/abs/2607.10729" TargetMode="External"/><Relationship Id="rId5bsj7489rnkipvim5hase" Type="http://schemas.openxmlformats.org/officeDocument/2006/relationships/hyperlink" Target="https://www.alphaxiv.org/abs/2512.05386" TargetMode="External"/><Relationship Id="rIdnboj7gii-h1n77o6mvocm" Type="http://schemas.openxmlformats.org/officeDocument/2006/relationships/hyperlink" Target="https://www.alphaxiv.org/abs/2605.04265" TargetMode="External"/><Relationship Id="rIdweqy9uwtfr01j3_btm0gk" Type="http://schemas.openxmlformats.org/officeDocument/2006/relationships/hyperlink" Target="https://www.alphaxiv.org/abs/2610.19011" TargetMode="External"/><Relationship Id="rIdonbkxyuedjyuus9h9yat_" Type="http://schemas.openxmlformats.org/officeDocument/2006/relationships/hyperlink" Target="https://consensus.app/papers/details/fb17ee776b67509abf885b607e2ed5b8/?utm_source=claude_desktop" TargetMode="External"/><Relationship Id="rIdidqjksq_yzjlwts-iallf" Type="http://schemas.openxmlformats.org/officeDocument/2006/relationships/hyperlink" Target="https://doi.org/10.3390/molecules30102245" TargetMode="External"/><Relationship Id="rIdd4hfsxl1mojayq3vaomiq" Type="http://schemas.openxmlformats.org/officeDocument/2006/relationships/hyperlink" Target="https://consensus.app/papers/details/666a2abf517e5cb1ac8b412fd9797e55/?utm_source=claude_desktop" TargetMode="External"/><Relationship Id="rIdaghsx-ixi8q3ely7x4lxr" Type="http://schemas.openxmlformats.org/officeDocument/2006/relationships/hyperlink" Target="https://doi.org/10.3390/ph18121839" TargetMode="External"/><Relationship Id="rId6ld-mkdw8ln6lupy5oltp" Type="http://schemas.openxmlformats.org/officeDocument/2006/relationships/hyperlink" Target="https://consensus.app/papers/details/458984e5491758baa27a5c138dc90e36/?utm_source=claude_desktop" TargetMode="External"/><Relationship Id="rIdb-futfuilzkdwvdkqhrq_" Type="http://schemas.openxmlformats.org/officeDocument/2006/relationships/hyperlink" Target="https://doi.org/10.1016/j.apsb.2022.09.010" TargetMode="External"/><Relationship Id="rIdrwicgsq4hl13fy4egnzae" Type="http://schemas.openxmlformats.org/officeDocument/2006/relationships/hyperlink" Target="https://consensus.app/papers/details/1774d455f5e35caea62eedc24a4bc9a2/?utm_source=claude_desktop" TargetMode="External"/><Relationship Id="rIdr5jsjkyinax0ea5j-fvwn" Type="http://schemas.openxmlformats.org/officeDocument/2006/relationships/hyperlink" Target="https://doi.org/10.1021/acsomega.5c08365" TargetMode="External"/><Relationship Id="rId70gs8825hyom6z7pyczr2" Type="http://schemas.openxmlformats.org/officeDocument/2006/relationships/hyperlink" Target="https://consensus.app/papers/details/bd60a7613f165fcc929e2e07ebe833f2/?utm_source=claude_desktop" TargetMode="External"/><Relationship Id="rId2in67vl2dsi52k49l2xcq" Type="http://schemas.openxmlformats.org/officeDocument/2006/relationships/hyperlink" Target="https://doi.org/10.1016/j.rechem.2026.103325" TargetMode="External"/><Relationship Id="rIdewfoyedx339iypb7oip5v" Type="http://schemas.openxmlformats.org/officeDocument/2006/relationships/hyperlink" Target="https://consensus.app/papers/details/71ab3f4f7f43568d90726a60d13b6777/?utm_source=claude_desktop" TargetMode="External"/><Relationship Id="rIdsen3su0goqtnl_snq1ij0" Type="http://schemas.openxmlformats.org/officeDocument/2006/relationships/hyperlink" Target="https://doi.org/10.1021/acsomega.6c00103" TargetMode="External"/><Relationship Id="rIdv_vop4l_8yevdfp88ayjn" Type="http://schemas.openxmlformats.org/officeDocument/2006/relationships/hyperlink" Target="https://consensus.app/papers/details/eb8acf0b4b985d59b3aa6ede9cfe347d/?utm_source=claude_desktop" TargetMode="External"/><Relationship Id="rIdon8dlwcmycuugtgqih7l9" Type="http://schemas.openxmlformats.org/officeDocument/2006/relationships/hyperlink" Target="https://doi.org/10.1016/j.lfs.2021.119531" TargetMode="External"/><Relationship Id="rIdl4anhzboxzldwbjcd2rzs" Type="http://schemas.openxmlformats.org/officeDocument/2006/relationships/hyperlink" Target="https://consensus.app/papers/details/71d8a7d3d5255c1babf615f140314344/?utm_source=claude_desktop" TargetMode="External"/><Relationship Id="rIde6zlwszcrqzvelp3ptk1l" Type="http://schemas.openxmlformats.org/officeDocument/2006/relationships/hyperlink" Target="https://doi.org/10.1021/acsomega.6c05649" TargetMode="External"/><Relationship Id="rIdnnomb7chj3mhvjd3lj9ws" Type="http://schemas.openxmlformats.org/officeDocument/2006/relationships/hyperlink" Target="https://consensus.app/papers/details/9e2e27707c0f5fcda635425218939fc0/?utm_source=claude_desktop" TargetMode="External"/><Relationship Id="rId8kjayys7utxeqc5klvcuo" Type="http://schemas.openxmlformats.org/officeDocument/2006/relationships/hyperlink" Target="https://doi.org/10.3390/molecules26144213" TargetMode="External"/><Relationship Id="rIdsp0_pbgntukuxk8bq6hkv" Type="http://schemas.openxmlformats.org/officeDocument/2006/relationships/hyperlink" Target="https://consensus.app/papers/details/b0100283a578549896d2389fe16f0750/?utm_source=claude_desktop" TargetMode="External"/><Relationship Id="rIdegztbofeqi7irhmeb02zu" Type="http://schemas.openxmlformats.org/officeDocument/2006/relationships/hyperlink" Target="https://doi.org/10.1016/j.ejmech.2024.116896" TargetMode="External"/><Relationship Id="rIdmmtvanvbl4ydm8v3enfgr" Type="http://schemas.openxmlformats.org/officeDocument/2006/relationships/hyperlink" Target="https://consensus.app/papers/details/3293512f1ebd5ddabb8d4084bee03e8d/?utm_source=claude_desktop" TargetMode="External"/><Relationship Id="rIdirntdtiviy82cj5wwp5s0" Type="http://schemas.openxmlformats.org/officeDocument/2006/relationships/hyperlink" Target="https://doi.org/10.1002/slct.202506647" TargetMode="External"/><Relationship Id="rId3knrb2cupujuebclh57ya" Type="http://schemas.openxmlformats.org/officeDocument/2006/relationships/hyperlink" Target="https://consensus.app/papers/details/565c708030fb53c39a3bca16c7cb35ff/?utm_source=claude_desktop" TargetMode="External"/><Relationship Id="rIdcrygmivm2ylo1fnaelqmu" Type="http://schemas.openxmlformats.org/officeDocument/2006/relationships/hyperlink" Target="https://doi.org/10.2174/1389557522666220104152141" TargetMode="External"/><Relationship Id="rIdv6nxhxewhsm3hiy4blldk" Type="http://schemas.openxmlformats.org/officeDocument/2006/relationships/hyperlink" Target="https://consensus.app/papers/details/2a34c0ea8e42543db06911e0b96c0663/?utm_source=claude_desktop" TargetMode="External"/><Relationship Id="rIdkd9t_aqgdhhsnw1ipht-v" Type="http://schemas.openxmlformats.org/officeDocument/2006/relationships/hyperlink" Target="https://doi.org/10.1007/s11030-026-11580-9" TargetMode="External"/><Relationship Id="rIdwxhamqke63nsq5rf2itdb" Type="http://schemas.openxmlformats.org/officeDocument/2006/relationships/hyperlink" Target="https://consensus.app/papers/details/9b0f3815ceb5560f80caf400a13d5153/?utm_source=claude_desktop" TargetMode="External"/><Relationship Id="rId3qm4hgbvottwjabrf52gp" Type="http://schemas.openxmlformats.org/officeDocument/2006/relationships/hyperlink" Target="https://doi.org/10.1021/acsomega.6c07566" TargetMode="External"/><Relationship Id="rIdzwo2no6ahyd7omt56cido" Type="http://schemas.openxmlformats.org/officeDocument/2006/relationships/hyperlink" Target="https://consensus.app/papers/details/9d8000f3a7135ab8839a73e7f364a1d5/?utm_source=claude_desktop" TargetMode="External"/><Relationship Id="rId37gju2pt_ndlwrfbwcdal" Type="http://schemas.openxmlformats.org/officeDocument/2006/relationships/hyperlink" Target="https://doi.org/10.3390/ijms22031162" TargetMode="External"/><Relationship Id="rIdo5f6k2omccv4dkeburhhg" Type="http://schemas.openxmlformats.org/officeDocument/2006/relationships/hyperlink" Target="https://consensus.app/papers/details/614ec321011850f7a5f4d6213d4ea6ed/?utm_source=claude_desktop" TargetMode="External"/><Relationship Id="rIdymv4etgkje8hf39hdu0pa" Type="http://schemas.openxmlformats.org/officeDocument/2006/relationships/hyperlink" Target="https://doi.org/10.14233/ajchem.2026.35912" TargetMode="External"/><Relationship Id="rIdcycx1a4ftdp3mbfw-da4f" Type="http://schemas.openxmlformats.org/officeDocument/2006/relationships/hyperlink" Target="https://consensus.app/papers/details/32efe780ce8e581ea2c9fd2c22cc6099/?utm_source=claude_desktop" TargetMode="External"/><Relationship Id="rIdnbcv9opnntdj6wd5vxj9i" Type="http://schemas.openxmlformats.org/officeDocument/2006/relationships/hyperlink" Target="https://doi.org/10.1038/s41598-025-93249-1" TargetMode="External"/><Relationship Id="rIdjhzuyaoh5eiun6jlgkfwj" Type="http://schemas.openxmlformats.org/officeDocument/2006/relationships/hyperlink" Target="https://consensus.app/papers/details/696ed454c06d51f485e4c5a2dee3e291/?utm_source=claude_desktop" TargetMode="External"/><Relationship Id="rIdydbct20heezg9fhodxew6" Type="http://schemas.openxmlformats.org/officeDocument/2006/relationships/hyperlink" Target="https://doi.org/10.1016/j.rechem.2025.102217" TargetMode="External"/><Relationship Id="rIdon7uaqkwcgj7qgniqm4pz" Type="http://schemas.openxmlformats.org/officeDocument/2006/relationships/hyperlink" Target="https://consensus.app/papers/details/95928109404c5e88a6a27cd3556e299a/?utm_source=claude_desktop" TargetMode="External"/><Relationship Id="rIdtoapfmvxdazpmypdtpv9m" Type="http://schemas.openxmlformats.org/officeDocument/2006/relationships/hyperlink" Target="https://doi.org/10.1016/j.bioorg.2025.108208" TargetMode="External"/><Relationship Id="rIdiwrkaiuvjsovplsq1wgtz" Type="http://schemas.openxmlformats.org/officeDocument/2006/relationships/hyperlink" Target="https://consensus.app/papers/details/c7142451d6be519b8d7ecc7611cca097/?utm_source=claude_desktop" TargetMode="External"/><Relationship Id="rIdtxgjqzr86faswi-exjndk" Type="http://schemas.openxmlformats.org/officeDocument/2006/relationships/hyperlink" Target="https://doi.org/10.1080/14756366.2023.2166037" TargetMode="External"/><Relationship Id="rIdekfzixdonhjw3aaqzpm6l" Type="http://schemas.openxmlformats.org/officeDocument/2006/relationships/hyperlink" Target="https://consensus.app/papers/details/520adb12d9e75863a3978e5b7291843b/?utm_source=claude_desktop" TargetMode="External"/><Relationship Id="rIdaqd-ql75nwz7-s4w2iezx" Type="http://schemas.openxmlformats.org/officeDocument/2006/relationships/hyperlink" Target="https://doi.org/10.1002/cmdc.202200641" TargetMode="External"/><Relationship Id="rIdheb1qfwz62wamautqo005" Type="http://schemas.openxmlformats.org/officeDocument/2006/relationships/hyperlink" Target="https://consensus.app/papers/details/83d3fc2920c35a96a5f787ba355ca2fb/?utm_source=claude_desktop" TargetMode="External"/><Relationship Id="rIdzgoiokv-8ajhwce0ecfps" Type="http://schemas.openxmlformats.org/officeDocument/2006/relationships/hyperlink" Target="https://doi.org/10.1021/acsomega.5c10972" TargetMode="External"/><Relationship Id="rIdjafu7zlxbm6-7_4jhz_zp" Type="http://schemas.openxmlformats.org/officeDocument/2006/relationships/hyperlink" Target="https://consensus.app/papers/details/4020ae01997252b18d281fd284ecb081/?utm_source=claude_desktop" TargetMode="External"/><Relationship Id="rIdqgnfa17utqiz7knikibq4" Type="http://schemas.openxmlformats.org/officeDocument/2006/relationships/hyperlink" Target="https://doi.org/10.1016/j.bioorg.2021.104904" TargetMode="External"/><Relationship Id="rIdrsfyfsj6fmfhvgfecoftb" Type="http://schemas.openxmlformats.org/officeDocument/2006/relationships/hyperlink" Target="https://consensus.app/papers/details/20bc7f6950295131a70858fdb8a3197b/?utm_source=claude_desktop" TargetMode="External"/><Relationship Id="rIdvaaklta6ubxm4ykwv1jy7" Type="http://schemas.openxmlformats.org/officeDocument/2006/relationships/hyperlink" Target="https://doi.org/10.1002/ardp.202400325" TargetMode="External"/><Relationship Id="rIdmfdr5ux5gz0xezjxt-xgl" Type="http://schemas.openxmlformats.org/officeDocument/2006/relationships/hyperlink" Target="https://consensus.app/papers/details/df0b85aee1c3549da085f4b1c11d349f/?utm_source=claude_desktop" TargetMode="External"/><Relationship Id="rIdbsc3gywrdo1rgptulmnha" Type="http://schemas.openxmlformats.org/officeDocument/2006/relationships/hyperlink" Target="https://doi.org/10.1016/j.heliyon.2024.e38376" TargetMode="External"/><Relationship Id="rIdxv1ceg5s26ykhu2xjbjx9" Type="http://schemas.openxmlformats.org/officeDocument/2006/relationships/hyperlink" Target="https://consensus.app/papers/details/e35fa9ba12ab5f66b39790f03e4001d6/?utm_source=claude_desktop" TargetMode="External"/><Relationship Id="rIdj0b-t-gyf7bb8kp3gizeu" Type="http://schemas.openxmlformats.org/officeDocument/2006/relationships/hyperlink" Target="https://doi.org/10.3390/ph18091333" TargetMode="External"/><Relationship Id="rId_dkifrsy1o_eltl8eq4g2" Type="http://schemas.openxmlformats.org/officeDocument/2006/relationships/hyperlink" Target="https://consensus.app/papers/details/8a31547f33755f149dc8c5f55175e793/?utm_source=claude_desktop" TargetMode="External"/><Relationship Id="rIdgflb_gnuownhj0oclrlnc" Type="http://schemas.openxmlformats.org/officeDocument/2006/relationships/hyperlink" Target="https://doi.org/10.1016/j.molstruc.2024.141289" TargetMode="External"/><Relationship Id="rIdh6v2wuprluzt9gfeq99ze" Type="http://schemas.openxmlformats.org/officeDocument/2006/relationships/hyperlink" Target="https://consensus.app/papers/details/33f5ff1f8be452578471d1abcdb474d5/?utm_source=claude_desktop" TargetMode="External"/><Relationship Id="rIdhaempovtwzzd01zn0tiyz" Type="http://schemas.openxmlformats.org/officeDocument/2006/relationships/hyperlink" Target="https://doi.org/10.1016/j.bioorg.2024.107644" TargetMode="External"/><Relationship Id="rIdymewz0n0pgixmdfbcmzqh" Type="http://schemas.openxmlformats.org/officeDocument/2006/relationships/hyperlink" Target="https://consensus.app/papers/details/df8544bc47c8518fb40030a17b87454f/?utm_source=claude_desktop" TargetMode="External"/><Relationship Id="rIdjatzxe_3na2b0lyfkpenk" Type="http://schemas.openxmlformats.org/officeDocument/2006/relationships/hyperlink" Target="https://doi.org/10.1080/14756366.2026.2673744" TargetMode="External"/><Relationship Id="rIdwzddwjgap7-qx8yua07zf" Type="http://schemas.openxmlformats.org/officeDocument/2006/relationships/hyperlink" Target="https://consensus.app/papers/details/689c030d8a3850588619d5c065b6ccd7/?utm_source=claude_desktop" TargetMode="External"/><Relationship Id="rId7sqc1sslx5qwyf-qhvzov" Type="http://schemas.openxmlformats.org/officeDocument/2006/relationships/hyperlink" Target="https://doi.org/10.1038/s41598-024-62743-3" TargetMode="External"/><Relationship Id="rIdnwc8khw4ffoszvs4fqxwb" Type="http://schemas.openxmlformats.org/officeDocument/2006/relationships/hyperlink" Target="https://consensus.app/papers/details/d8cf16f824c25c6eadcf02b2f222d1cc/?utm_source=claude_desktop" TargetMode="External"/><Relationship Id="rIdz0viwyl1yyila-ivnglqu" Type="http://schemas.openxmlformats.org/officeDocument/2006/relationships/hyperlink" Target="https://doi.org/10.1021/acsomega.4c05619" TargetMode="External"/><Relationship Id="rIddjgvgk_uez59coo8oxqyx" Type="http://schemas.openxmlformats.org/officeDocument/2006/relationships/hyperlink" Target="https://consensus.app/papers/details/6deaf52acb945c389a26c24e0c771448/?utm_source=claude_desktop" TargetMode="External"/><Relationship Id="rId0b1658pyykwnooioobzgs" Type="http://schemas.openxmlformats.org/officeDocument/2006/relationships/hyperlink" Target="https://doi.org/10.1038/s41598-026-62643-8" TargetMode="External"/><Relationship Id="rIdojmfiyffbenkqofaq6rbu" Type="http://schemas.openxmlformats.org/officeDocument/2006/relationships/hyperlink" Target="https://consensus.app/papers/details/3cfd4f4a1f8d5ff6a37e8dd6d5f24738/?utm_source=claude_desktop" TargetMode="External"/><Relationship Id="rIdhlnwzc4nqliy-rpofvuvt" Type="http://schemas.openxmlformats.org/officeDocument/2006/relationships/hyperlink" Target="https://doi.org/10.1039/d6ra00422a" TargetMode="External"/><Relationship Id="rIdw6mi6b7bxqpihvbyb5awr" Type="http://schemas.openxmlformats.org/officeDocument/2006/relationships/hyperlink" Target="https://consensus.app/papers/details/c7919317118e55959857e48601c0d2aa/?utm_source=claude_desktop" TargetMode="External"/><Relationship Id="rId4mfjfsrmuee2-ujwed5a9" Type="http://schemas.openxmlformats.org/officeDocument/2006/relationships/hyperlink" Target="https://doi.org/10.1002/ardp.70044" TargetMode="External"/><Relationship Id="rIdiwgfncbldbyvfmf8m52zw" Type="http://schemas.openxmlformats.org/officeDocument/2006/relationships/hyperlink" Target="https://consensus.app/papers/details/c3cfffe2c7ce55a8ab1a72c1fe1bf6de/?utm_source=claude_desktop" TargetMode="External"/><Relationship Id="rIdenwed4v-emdqfom70sbh6" Type="http://schemas.openxmlformats.org/officeDocument/2006/relationships/hyperlink" Target="https://doi.org/10.1016/j.molstruc.2023.136341" TargetMode="External"/><Relationship Id="rIduaezayupdec9rquxy5qj8" Type="http://schemas.openxmlformats.org/officeDocument/2006/relationships/hyperlink" Target="https://consensus.app/papers/details/6d131e367c825119ba6b5d46c798e283/?utm_source=claude_desktop" TargetMode="External"/><Relationship Id="rIdw39srvml3amnquf3bnyk9" Type="http://schemas.openxmlformats.org/officeDocument/2006/relationships/hyperlink" Target="https://doi.org/10.1021/acsomega.1c06836" TargetMode="External"/><Relationship Id="rId7hmmnad-s4rlpyiiok4iy" Type="http://schemas.openxmlformats.org/officeDocument/2006/relationships/hyperlink" Target="https://consensus.app/papers/details/ebac0d0ebe9855fba79cd247e88d7d34/?utm_source=claude_desktop" TargetMode="External"/><Relationship Id="rIdukffzehzty0oeyjzb1tye" Type="http://schemas.openxmlformats.org/officeDocument/2006/relationships/hyperlink" Target="https://doi.org/10.1016/j.ejmech.2023.115436" TargetMode="External"/><Relationship Id="rIdgi33ys1jlfry0ai91oytt" Type="http://schemas.openxmlformats.org/officeDocument/2006/relationships/hyperlink" Target="https://consensus.app/papers/details/c6315aa6075659d7a86467d90a259a24/?utm_source=claude_desktop" TargetMode="External"/><Relationship Id="rIdfnpud9xg2t0an55yd9zc3" Type="http://schemas.openxmlformats.org/officeDocument/2006/relationships/hyperlink" Target="https://doi.org/10.1016/j.arabjc.2011.10.007" TargetMode="External"/><Relationship Id="rIdgsizakgm1lpijsxt8xug4" Type="http://schemas.openxmlformats.org/officeDocument/2006/relationships/hyperlink" Target="https://consensus.app/papers/details/c1d19f2b8c7f594ebe6fc82cf36f56fb/?utm_source=claude_desktop" TargetMode="External"/><Relationship Id="rId7sgmn-lij4pdib59vzas6" Type="http://schemas.openxmlformats.org/officeDocument/2006/relationships/hyperlink" Target="https://doi.org/10.1080/14756366.2022.2096018" TargetMode="External"/><Relationship Id="rId_sj9i-gea3_0jx0b283iw" Type="http://schemas.openxmlformats.org/officeDocument/2006/relationships/hyperlink" Target="https://consensus.app/papers/details/b5dd3dd8c9db56aca44748908b68a9f7/?utm_source=claude_desktop" TargetMode="External"/><Relationship Id="rIdq76nsr_tco-rvbjfq3mdt" Type="http://schemas.openxmlformats.org/officeDocument/2006/relationships/hyperlink" Target="https://doi.org/10.1039/d5md00221d" TargetMode="External"/><Relationship Id="rIdfhfeg5y2_s02fa_ejtfac" Type="http://schemas.openxmlformats.org/officeDocument/2006/relationships/hyperlink" Target="https://consensus.app/papers/details/b46d7863b4505e6da3df4ba63557b635/?utm_source=claude_desktop" TargetMode="External"/><Relationship Id="rIdtrzn7509bjchf4mspisif" Type="http://schemas.openxmlformats.org/officeDocument/2006/relationships/hyperlink" Target="https://doi.org/10.1021/acsomega.3c03767" TargetMode="External"/><Relationship Id="rIdu1d-xhuazjugjhky1o8xu" Type="http://schemas.openxmlformats.org/officeDocument/2006/relationships/hyperlink" Target="https://consensus.app/papers/details/1265e7f7420b5f91980e53726c75b68c/?utm_source=claude_desktop" TargetMode="External"/><Relationship Id="rIdvztirrvlupi2-dvm-ycc0" Type="http://schemas.openxmlformats.org/officeDocument/2006/relationships/hyperlink" Target="https://doi.org/10.56042/ijbb.v63i9.22771" TargetMode="External"/><Relationship Id="rIddtcjqem-hi59xj0a5brfc" Type="http://schemas.openxmlformats.org/officeDocument/2006/relationships/hyperlink" Target="https://consensus.app/papers/details/80bcaceed1f7544891827e7a1119cab2/?utm_source=claude_desktop" TargetMode="External"/><Relationship Id="rId5r_mokvb-zszzrg0xxdpn" Type="http://schemas.openxmlformats.org/officeDocument/2006/relationships/hyperlink" Target="https://doi.org/10.1002/slct.202500957" TargetMode="External"/><Relationship Id="rIdxhp7u1grcw6um7b40u0nm" Type="http://schemas.openxmlformats.org/officeDocument/2006/relationships/hyperlink" Target="https://consensus.app/papers/details/8711a1c52a2b519aa81e5e0d0101a04e/?utm_source=claude_desktop" TargetMode="External"/><Relationship Id="rIdquknicf998845tdt3uihd" Type="http://schemas.openxmlformats.org/officeDocument/2006/relationships/hyperlink" Target="https://doi.org/10.13005/ojc/420123" TargetMode="External"/><Relationship Id="rIdiuvwwm43pp0emkuzmyea8" Type="http://schemas.openxmlformats.org/officeDocument/2006/relationships/hyperlink" Target="https://consensus.app/papers/details/2c781162513f580db1076a5e2f80048c/?utm_source=claude_desktop" TargetMode="External"/><Relationship Id="rIdf8s3rfc-fd4u_28ttpulk" Type="http://schemas.openxmlformats.org/officeDocument/2006/relationships/hyperlink" Target="https://doi.org/10.3390/cancers14205079" TargetMode="External"/><Relationship Id="rIdecqahaoing-vlz8iuow5y" Type="http://schemas.openxmlformats.org/officeDocument/2006/relationships/hyperlink" Target="https://consensus.app/papers/details/9f5b933400c25f6fbf6f84a19ba20697/?utm_source=claude_desktop" TargetMode="External"/><Relationship Id="rIdyykw1xyp_6ghdst9sk8br" Type="http://schemas.openxmlformats.org/officeDocument/2006/relationships/hyperlink" Target="https://doi.org/10.1016/j.bioorg.2023.106872" TargetMode="External"/><Relationship Id="rIdnpbofe-eczove9rzfuitj" Type="http://schemas.openxmlformats.org/officeDocument/2006/relationships/hyperlink" Target="https://consensus.app/papers/details/e23ed6452e81538c856cd2cd566f664e/?utm_source=claude_desktop" TargetMode="External"/><Relationship Id="rIdy9b60tfrz1pwxqpfsxyin" Type="http://schemas.openxmlformats.org/officeDocument/2006/relationships/hyperlink" Target="https://doi.org/10.1039/d5ra04675k" TargetMode="External"/><Relationship Id="rIds3r95vvnwwvnampsziayx" Type="http://schemas.openxmlformats.org/officeDocument/2006/relationships/hyperlink" Target="https://consensus.app/papers/details/eb0240f4d9d254db9d7e581127baaf08/?utm_source=claude_desktop" TargetMode="External"/><Relationship Id="rIddvbnrtp8jyupzbt1udvsf" Type="http://schemas.openxmlformats.org/officeDocument/2006/relationships/hyperlink" Target="https://doi.org/10.1080/00268976.2024.2390592" TargetMode="External"/><Relationship Id="rIdyuwqzf8ki2vilbzcljcjw" Type="http://schemas.openxmlformats.org/officeDocument/2006/relationships/hyperlink" Target="https://consensus.app/papers/details/2b9554e900db5e0d93ca856e7def3dc7/?utm_source=claude_desktop" TargetMode="External"/><Relationship Id="rId4e6htqkurx8jzot9b1yl3" Type="http://schemas.openxmlformats.org/officeDocument/2006/relationships/hyperlink" Target="https://doi.org/10.1080/01480545.2026.2620408" TargetMode="External"/><Relationship Id="rIdnsh7wbighh-theb8y2buq" Type="http://schemas.openxmlformats.org/officeDocument/2006/relationships/hyperlink" Target="https://consensus.app/papers/details/0124e9b27b41537290c15f38a465112c/?utm_source=claude_desktop" TargetMode="External"/><Relationship Id="rIdakqidbm3ngipowgyu94sy" Type="http://schemas.openxmlformats.org/officeDocument/2006/relationships/hyperlink" Target="https://doi.org/10.1016/j.ijbiomac.2023.126084" TargetMode="External"/><Relationship Id="rId2er6ccfv3qra2fekqz8uf" Type="http://schemas.openxmlformats.org/officeDocument/2006/relationships/hyperlink" Target="https://consensus.app/papers/details/c84cc90cb6f55469bb6723f44c264697/?utm_source=claude_desktop" TargetMode="External"/><Relationship Id="rIdmj5rr7xf5suheunpzog43" Type="http://schemas.openxmlformats.org/officeDocument/2006/relationships/hyperlink" Target="https://doi.org/10.1039/d6ra00514d" TargetMode="External"/><Relationship Id="rIdyzmbw8u95uwaojjjrpoyj" Type="http://schemas.openxmlformats.org/officeDocument/2006/relationships/hyperlink" Target="https://consensus.app/papers/details/8b660d6282195570b29b4143007f0f8e/?utm_source=claude_desktop" TargetMode="External"/><Relationship Id="rIduxsa2-kti9mqhinopciav" Type="http://schemas.openxmlformats.org/officeDocument/2006/relationships/hyperlink" Target="https://doi.org/10.19163/2307-9266-2025-13-3-157-170" TargetMode="External"/><Relationship Id="rId4jgdlukwxixk5rvzpxrbe" Type="http://schemas.openxmlformats.org/officeDocument/2006/relationships/hyperlink" Target="https://consensus.app/papers/details/c28d5ae249535013b4790e96a6961ae8/?utm_source=claude_desktop" TargetMode="External"/><Relationship Id="rIdg_hoe9cqq8ycuzeaiwp1q" Type="http://schemas.openxmlformats.org/officeDocument/2006/relationships/hyperlink" Target="https://doi.org/10.1080/07391102.2021.2014360" TargetMode="External"/><Relationship Id="rIdo-tklxk-pdyk1potebb_a" Type="http://schemas.openxmlformats.org/officeDocument/2006/relationships/hyperlink" Target="https://consensus.app/papers/details/1caa6efa946f5515a7ddc054777eb3f8/?utm_source=claude_desktop" TargetMode="External"/><Relationship Id="rIdaqcfh7t-qnxkvz4iifr-1" Type="http://schemas.openxmlformats.org/officeDocument/2006/relationships/hyperlink" Target="https://doi.org/10.1016/j.jmgm.2026.109550" TargetMode="External"/><Relationship Id="rIdkj4ivkuph7xu6fbkpy7rx" Type="http://schemas.openxmlformats.org/officeDocument/2006/relationships/hyperlink" Target="https://consensus.app/papers/details/06569739fdc9583b9697a2a94a44c131/?utm_source=claude_desktop" TargetMode="External"/><Relationship Id="rIdyl5v0rgp6pwudw9plshdp" Type="http://schemas.openxmlformats.org/officeDocument/2006/relationships/hyperlink" Target="https://doi.org/10.3390/ijms27135696" TargetMode="External"/><Relationship Id="rIdcixtew5sem5u0nij5g9jr" Type="http://schemas.openxmlformats.org/officeDocument/2006/relationships/hyperlink" Target="https://consensus.app/papers/details/4bc552ab0efc575eaf1b5903ffdafa01/?utm_source=claude_desktop" TargetMode="External"/><Relationship Id="rIdgae0m7ufkh-tmccmkbvup" Type="http://schemas.openxmlformats.org/officeDocument/2006/relationships/hyperlink" Target="https://doi.org/10.1080/07391102.2023.2295974" TargetMode="External"/><Relationship Id="rIdq2njge1auyc3zbe0b0gxc" Type="http://schemas.openxmlformats.org/officeDocument/2006/relationships/hyperlink" Target="https://consensus.app/papers/details/89728b5ec8f65e3785976dead4add677/?utm_source=claude_desktop" TargetMode="External"/><Relationship Id="rId_iga7vtz44vbtfoqcuauo" Type="http://schemas.openxmlformats.org/officeDocument/2006/relationships/hyperlink" Target="https://doi.org/10.1038/s42256-024-00843-5" TargetMode="External"/><Relationship Id="rId8ckulk4zlsvw2auskv7ww" Type="http://schemas.openxmlformats.org/officeDocument/2006/relationships/hyperlink" Target="https://consensus.app/papers/details/d29f0167e01b5c48baa96b366cd285e5/?utm_source=claude_desktop" TargetMode="External"/><Relationship Id="rIdtcni0rodfvovgczurqd_m" Type="http://schemas.openxmlformats.org/officeDocument/2006/relationships/hyperlink" Target="https://doi.org/10.1039/d5ra05264e" TargetMode="External"/><Relationship Id="rId-jnjw_l2ffddsz2f84ydw" Type="http://schemas.openxmlformats.org/officeDocument/2006/relationships/hyperlink" Target="https://consensus.app/papers/details/7dc61b48ee885841ab81ac8761a8591c/?utm_source=claude_desktop" TargetMode="External"/><Relationship Id="rIdi5xijoyhhkgprqgn2ewss" Type="http://schemas.openxmlformats.org/officeDocument/2006/relationships/hyperlink" Target="https://doi.org/10.1016/j.heliyon.2024.e31253" TargetMode="External"/><Relationship Id="rIdubwxpkcr8pax-k_kh8vch" Type="http://schemas.openxmlformats.org/officeDocument/2006/relationships/hyperlink" Target="https://consensus.app/papers/details/1f85a41d4a165730934da7365677557e/?utm_source=claude_desktop" TargetMode="External"/><Relationship Id="rIdx43178m7spmycwdc25kge" Type="http://schemas.openxmlformats.org/officeDocument/2006/relationships/hyperlink" Target="https://doi.org/10.1016/j.crgsc.2021.100175" TargetMode="External"/><Relationship Id="rIdxhogkruhxbhr1f61evka-" Type="http://schemas.openxmlformats.org/officeDocument/2006/relationships/hyperlink" Target="https://consensus.app/papers/details/4f06586bcbe25bfbac0e482bc6ed06b1/?utm_source=claude_desktop" TargetMode="External"/><Relationship Id="rIdwwzxb0otdmb_fe_ikx4-f" Type="http://schemas.openxmlformats.org/officeDocument/2006/relationships/hyperlink" Target="https://doi.org/10.1515/hc-2022-0175" TargetMode="External"/><Relationship Id="rIdodxyuoq8oozitmntdict-" Type="http://schemas.openxmlformats.org/officeDocument/2006/relationships/hyperlink" Target="https://consensus.app/papers/details/782976d92d5852ae8f38aba3d325d132/?utm_source=claude_desktop" TargetMode="External"/><Relationship Id="rIdwz3qeg3epy4fxpwyzax52" Type="http://schemas.openxmlformats.org/officeDocument/2006/relationships/hyperlink" Target="https://doi.org/10.1016/j.jfluchem.2006.08.005" TargetMode="External"/><Relationship Id="rIdjbokdbs5iaxjup-dgcqj7" Type="http://schemas.openxmlformats.org/officeDocument/2006/relationships/hyperlink" Target="https://consensus.app/papers/details/a5f47d8aed935bee831291c8eab34af6/?utm_source=claude_desktop" TargetMode="External"/><Relationship Id="rIdnhy9ae9tqcgp_a6prepwc" Type="http://schemas.openxmlformats.org/officeDocument/2006/relationships/hyperlink" Target="https://doi.org/10.1038/s41598-025-01547-5" TargetMode="External"/><Relationship Id="rIdiedkkatap2uhkc6xrilew" Type="http://schemas.openxmlformats.org/officeDocument/2006/relationships/hyperlink" Target="https://consensus.app/papers/details/e8749cb54f69583c93f72084293e3a4c/?utm_source=claude_desktop" TargetMode="External"/><Relationship Id="rIduawcxp2c9i07zofhwiznw" Type="http://schemas.openxmlformats.org/officeDocument/2006/relationships/hyperlink" Target="https://doi.org/10.1080/00397911.2024.2323999" TargetMode="External"/><Relationship Id="rIdilghons8r9gq4hzizphq9" Type="http://schemas.openxmlformats.org/officeDocument/2006/relationships/hyperlink" Target="https://consensus.app/papers/details/ce7c9e9f6efb5e4893062f4516f60a3f/?utm_source=claude_desktop" TargetMode="External"/><Relationship Id="rIdc6nm29s-5zbstcocepcq4" Type="http://schemas.openxmlformats.org/officeDocument/2006/relationships/hyperlink" Target="https://doi.org/10.3390/nano11040845" TargetMode="External"/><Relationship Id="rIdl321rlfpaz3z4in8oic0r" Type="http://schemas.openxmlformats.org/officeDocument/2006/relationships/hyperlink" Target="https://consensus.app/papers/details/d29d06ff4dc8590ebc2681dca8a4f920/?utm_source=claude_desktop" TargetMode="External"/><Relationship Id="rIdgpa5v26fwbyomkzkvhblc" Type="http://schemas.openxmlformats.org/officeDocument/2006/relationships/hyperlink" Target="https://doi.org/10.1039/d2dt03021g" TargetMode="External"/><Relationship Id="rIdqcw9ktiaipjf9erhgd-zu" Type="http://schemas.openxmlformats.org/officeDocument/2006/relationships/hyperlink" Target="https://consensus.app/papers/details/319d48141aef58a68177584f3934dd62/?utm_source=claude_desktop" TargetMode="External"/><Relationship Id="rIdknjtdapkimusmnmjwlljd" Type="http://schemas.openxmlformats.org/officeDocument/2006/relationships/hyperlink" Target="https://doi.org/10.1016/j.rechem.2026.103043" TargetMode="External"/><Relationship Id="rIdmxsfi3pblxz7rj3eseoew" Type="http://schemas.openxmlformats.org/officeDocument/2006/relationships/hyperlink" Target="https://consensus.app/papers/details/201e2258975259f0ad07839e24dcc91b/?utm_source=claude_desktop" TargetMode="External"/><Relationship Id="rIdzw9b5meyjhubhfgbeulau" Type="http://schemas.openxmlformats.org/officeDocument/2006/relationships/hyperlink" Target="https://doi.org/10.1016/j.matpr.2021.12.452" TargetMode="External"/><Relationship Id="rIdleefq1mbgmhifcm9ibo1n" Type="http://schemas.openxmlformats.org/officeDocument/2006/relationships/hyperlink" Target="https://consensus.app/papers/details/bdd90a4cd8c35c4c9dcb2d58ba887035/?utm_source=claude_desktop" TargetMode="External"/><Relationship Id="rIdzqbroekibfj-eed40ju15" Type="http://schemas.openxmlformats.org/officeDocument/2006/relationships/hyperlink" Target="https://doi.org/10.1016/j.molstruc.2023.136839" TargetMode="External"/><Relationship Id="rIdio3z0cw4l9ohlo_arhpcg" Type="http://schemas.openxmlformats.org/officeDocument/2006/relationships/hyperlink" Target="https://consensus.app/papers/details/82739ed9d19d57c1b157828f9854342f/?utm_source=claude_desktop" TargetMode="External"/><Relationship Id="rId1jwlzaua61xwwzayisseb" Type="http://schemas.openxmlformats.org/officeDocument/2006/relationships/hyperlink" Target="https://doi.org/10.1038/s41598-025-24847-2" TargetMode="External"/><Relationship Id="rIdw8zb3mfpc7qzlwanyse7w" Type="http://schemas.openxmlformats.org/officeDocument/2006/relationships/hyperlink" Target="https://consensus.app/papers/details/85bd80f72538582cac96fe6664433a32/?utm_source=claude_desktop" TargetMode="External"/><Relationship Id="rId5mf5zh7xgvewfopf5gwah" Type="http://schemas.openxmlformats.org/officeDocument/2006/relationships/hyperlink" Target="https://doi.org/10.1038/s41598-025-97478-2" TargetMode="External"/><Relationship Id="rIdcd9izl3fuvchkvdypxsbo" Type="http://schemas.openxmlformats.org/officeDocument/2006/relationships/hyperlink" Target="https://consensus.app/papers/details/98cef1bce8845f44aeff612312d2adf3/?utm_source=claude_desktop" TargetMode="External"/><Relationship Id="rIdb0_yc_pshrl3avno061v1" Type="http://schemas.openxmlformats.org/officeDocument/2006/relationships/hyperlink" Target="https://doi.org/10.1039/d6ra06443d" TargetMode="External"/><Relationship Id="rId4pfh0ukmqolhlimycstvy" Type="http://schemas.openxmlformats.org/officeDocument/2006/relationships/hyperlink" Target="https://consensus.app/papers/details/f739e2012a6f5e2dbf8c4c25bb99cad4/?utm_source=claude_desktop" TargetMode="External"/><Relationship Id="rIdqmgyb2_q4m2qttumugf0-" Type="http://schemas.openxmlformats.org/officeDocument/2006/relationships/hyperlink" Target="https://doi.org/10.1002/ddr.70122" TargetMode="External"/><Relationship Id="rIdkw-aiwjgeg_erjh2uoe2v" Type="http://schemas.openxmlformats.org/officeDocument/2006/relationships/hyperlink" Target="https://consensus.app/papers/details/9fc452fefc2c53239a8576863b470120/?utm_source=claude_desktop" TargetMode="External"/><Relationship Id="rIdsyotps9zyjhdc-ijyi_s4" Type="http://schemas.openxmlformats.org/officeDocument/2006/relationships/hyperlink" Target="https://doi.org/10.1016/j.bioorg.2026.109736" TargetMode="External"/><Relationship Id="rIdiok9tl_-ofiovjjujapct" Type="http://schemas.openxmlformats.org/officeDocument/2006/relationships/hyperlink" Target="https://consensus.app/papers/details/e364b07c82365f018ff0806a1929b4cc/?utm_source=claude_desktop" TargetMode="External"/><Relationship Id="rIdchybewnzcpbky4nt4yhhu" Type="http://schemas.openxmlformats.org/officeDocument/2006/relationships/hyperlink" Target="https://doi.org/10.3390/pharmaceutics15020457" TargetMode="External"/><Relationship Id="rId5kedxlj2lupthm7-y2nlc" Type="http://schemas.openxmlformats.org/officeDocument/2006/relationships/hyperlink" Target="https://consensus.app/papers/details/890536c688a3548b89510f98e8fd6de7/?utm_source=claude_desktop" TargetMode="External"/><Relationship Id="rIduuptofy-21mjasu5nc_bk" Type="http://schemas.openxmlformats.org/officeDocument/2006/relationships/hyperlink" Target="https://doi.org/10.1038/s41598-024-59063-x" TargetMode="External"/><Relationship Id="rId8oosnp-qekz08gpjzq4yi" Type="http://schemas.openxmlformats.org/officeDocument/2006/relationships/hyperlink" Target="https://consensus.app/papers/details/f6b7fb0bd40b53519fc5988218b786a0/?utm_source=claude_desktop" TargetMode="External"/><Relationship Id="rIdragh7x0zxeau71zkykwte" Type="http://schemas.openxmlformats.org/officeDocument/2006/relationships/hyperlink" Target="https://doi.org/10.1038/s41598-024-83498-x" TargetMode="External"/><Relationship Id="rIdwftmutnzsz-5-49yvbxtw" Type="http://schemas.openxmlformats.org/officeDocument/2006/relationships/hyperlink" Target="https://consensus.app/papers/details/22ca9b99f17e56969d419909f1f30ac6/?utm_source=claude_desktop" TargetMode="External"/><Relationship Id="rIdcqwv6vy-f6sksoo9j64fi" Type="http://schemas.openxmlformats.org/officeDocument/2006/relationships/hyperlink" Target="https://doi.org/10.3390/micro6020036" TargetMode="External"/><Relationship Id="rIdijskptlgurcr2py_czaxj" Type="http://schemas.openxmlformats.org/officeDocument/2006/relationships/hyperlink" Target="https://consensus.app/papers/details/692534c55442527a90cc7fdfa6125e7f/?utm_source=claude_desktop" TargetMode="External"/><Relationship Id="rIdaupjshq_8e1d_jox0pdwt" Type="http://schemas.openxmlformats.org/officeDocument/2006/relationships/hyperlink" Target="https://doi.org/10.1016/j.bioorg.2020.103956" TargetMode="External"/><Relationship Id="rIdpwj-bdy8z1rrejorjhdw2" Type="http://schemas.openxmlformats.org/officeDocument/2006/relationships/hyperlink" Target="https://consensus.app/papers/details/851727d3eb79594f9186ce65caa1c91c/?utm_source=claude_desktop" TargetMode="External"/><Relationship Id="rIdspdvsvy5-zowulqwk6955" Type="http://schemas.openxmlformats.org/officeDocument/2006/relationships/hyperlink" Target="https://doi.org/10.1021/acsomega.2c06142" TargetMode="External"/><Relationship Id="rIdlm0p8avn2vfu_ax1mnx4n" Type="http://schemas.openxmlformats.org/officeDocument/2006/relationships/hyperlink" Target="https://consensus.app/papers/details/163a1fbb7e6359b494dd0ef492a272d9/?utm_source=claude_desktop" TargetMode="External"/><Relationship Id="rId5mmjj2ocizjgbz0bvjd6n" Type="http://schemas.openxmlformats.org/officeDocument/2006/relationships/hyperlink" Target="https://doi.org/10.1021/acsomega.4c00543" TargetMode="External"/><Relationship Id="rIdjc59_nd77mpjpnid7iqex" Type="http://schemas.openxmlformats.org/officeDocument/2006/relationships/hyperlink" Target="https://consensus.app/papers/details/480a585d32385c8cb30bf3c2c31f4a3b/?utm_source=claude_desktop" TargetMode="External"/><Relationship Id="rId6az7wo7pqqdhyidefhcgc" Type="http://schemas.openxmlformats.org/officeDocument/2006/relationships/hyperlink" Target="https://doi.org/10.1016/j.molstruc.2023.137447" TargetMode="External"/><Relationship Id="rIdzvogsb3-aernyjekzokog" Type="http://schemas.openxmlformats.org/officeDocument/2006/relationships/hyperlink" Target="https://consensus.app/papers/details/755316d54a8f511db3ced928eea4469a/?utm_source=claude_desktop" TargetMode="External"/><Relationship Id="rIdiinojl0xgwppx3z8qahff" Type="http://schemas.openxmlformats.org/officeDocument/2006/relationships/hyperlink" Target="https://doi.org/10.1080/07391102.2023.2170918" TargetMode="External"/><Relationship Id="rIdvap89dzgldlxp0jqne4jc" Type="http://schemas.openxmlformats.org/officeDocument/2006/relationships/hyperlink" Target="https://consensus.app/papers/details/95c4f75c6fc6555385487aec9b8b6cb5/?utm_source=claude_desktop" TargetMode="External"/><Relationship Id="rIdy-s7pfgeuwdsmegd2jhi2" Type="http://schemas.openxmlformats.org/officeDocument/2006/relationships/hyperlink" Target="https://doi.org/10.3390/cells12222655" TargetMode="External"/><Relationship Id="rIdrvwp7bl4u1o_oqwttq9n0" Type="http://schemas.openxmlformats.org/officeDocument/2006/relationships/hyperlink" Target="https://consensus.app/papers/details/a9d88485cd4b5c74995f501bdab5e0fa/?utm_source=claude_desktop" TargetMode="External"/><Relationship Id="rIdgg0o1baqln1mtestkolkz" Type="http://schemas.openxmlformats.org/officeDocument/2006/relationships/hyperlink" Target="https://doi.org/10.1093/jacamr/dlaf106" TargetMode="External"/><Relationship Id="rIdotq54njl1ejpczboflxcw" Type="http://schemas.openxmlformats.org/officeDocument/2006/relationships/hyperlink" Target="https://consensus.app/papers/details/4cfe883919f65098adb49be7debb4fa0/?utm_source=claude_desktop" TargetMode="External"/><Relationship Id="rIdp7vvhzygtojub2hlucedn" Type="http://schemas.openxmlformats.org/officeDocument/2006/relationships/hyperlink" Target="https://doi.org/10.1016/j.cmi.2019.03.028" TargetMode="External"/><Relationship Id="rIdd9q5xf4hxtjp8yxb95g6i" Type="http://schemas.openxmlformats.org/officeDocument/2006/relationships/hyperlink" Target="https://consensus.app/papers/details/bc0634e274ac51c1888b99554eea38f5/?utm_source=claude_desktop" TargetMode="External"/><Relationship Id="rIdlaowp7lq3rn9-ntbig__d" Type="http://schemas.openxmlformats.org/officeDocument/2006/relationships/hyperlink" Target="https://doi.org/10.3389/fmicb.2016.02173" TargetMode="External"/><Relationship Id="rIdmndtwsh8mdran8-yxnjpa" Type="http://schemas.openxmlformats.org/officeDocument/2006/relationships/hyperlink" Target="https://consensus.app/papers/details/5c2bbdceec9b53c3b5424ad25e5ae836/?utm_source=claude_desktop" TargetMode="External"/><Relationship Id="rIdmzznh_6ca7wwpdcjg_qfb" Type="http://schemas.openxmlformats.org/officeDocument/2006/relationships/hyperlink" Target="https://doi.org/10.1038/s41467-026-71762-9" TargetMode="External"/><Relationship Id="rIdxq11ccbxnlctx3flfg6mr" Type="http://schemas.openxmlformats.org/officeDocument/2006/relationships/hyperlink" Target="https://consensus.app/papers/details/c8fffe109374518aba78e9b657389492/?utm_source=claude_desktop" TargetMode="External"/><Relationship Id="rIditdao2smu5uwopdfwiabt" Type="http://schemas.openxmlformats.org/officeDocument/2006/relationships/hyperlink" Target="https://doi.org/10.3390/ph15111427" TargetMode="External"/><Relationship Id="rIdydezah8gnmp7b5ct10jgz" Type="http://schemas.openxmlformats.org/officeDocument/2006/relationships/hyperlink" Target="https://consensus.app/papers/details/bb4cab463a445b0bbf53fbbc16441ae2/?utm_source=claude_desktop" TargetMode="External"/><Relationship Id="rIdu8x4cndsng6zyuiuqbkkm" Type="http://schemas.openxmlformats.org/officeDocument/2006/relationships/hyperlink" Target="https://doi.org/10.1002/slct.202500191" TargetMode="External"/><Relationship Id="rIdwwlw-zrum6lwc35ig8ght" Type="http://schemas.openxmlformats.org/officeDocument/2006/relationships/hyperlink" Target="https://consensus.app/papers/details/d4f880e217fc5c239bdd83ba5e863a70/?utm_source=claude_desktop" TargetMode="External"/><Relationship Id="rIdqozg3lt_0ega175u2t5qo" Type="http://schemas.openxmlformats.org/officeDocument/2006/relationships/hyperlink" Target="https://doi.org/10.1016/j.bioorg.2020.104220" TargetMode="External"/><Relationship Id="rIdfhyzy8c-348eh4ubynnor" Type="http://schemas.openxmlformats.org/officeDocument/2006/relationships/hyperlink" Target="https://consensus.app/papers/details/cfc9130ba04e503e98c325471e6204aa/?utm_source=claude_desktop" TargetMode="External"/><Relationship Id="rIdhphbwynzjvymkvwiohoyv" Type="http://schemas.openxmlformats.org/officeDocument/2006/relationships/hyperlink" Target="https://doi.org/10.1186/s12982-024-00229-3" TargetMode="External"/><Relationship Id="rIdbj50jtt45bqtwtxdvvlto" Type="http://schemas.openxmlformats.org/officeDocument/2006/relationships/hyperlink" Target="https://consensus.app/papers/details/fa6a96b37106562294c0ca3246e53ed8/?utm_source=claude_desktop" TargetMode="External"/><Relationship Id="rIdgi0mnslfu0irkoh5xe6cg" Type="http://schemas.openxmlformats.org/officeDocument/2006/relationships/hyperlink" Target="https://doi.org/10.3390/pharmaceutics18050565" TargetMode="External"/><Relationship Id="rId1cbfzybpgyjw0ggizlxwj" Type="http://schemas.openxmlformats.org/officeDocument/2006/relationships/hyperlink" Target="https://consensus.app/papers/details/e8dedc3f56d05986bde51c778cf02091/?utm_source=claude_desktop" TargetMode="External"/><Relationship Id="rIdyjhbg1vj6xam5kkvrr8rj" Type="http://schemas.openxmlformats.org/officeDocument/2006/relationships/hyperlink" Target="https://doi.org/10.3390/pr9010071" TargetMode="External"/><Relationship Id="rIdroqjtgaqb2xgr2rgevxnb" Type="http://schemas.openxmlformats.org/officeDocument/2006/relationships/hyperlink" Target="https://consensus.app/papers/details/80b6945186bd5795a0a89c776d414c0e/?utm_source=claude_desktop" TargetMode="External"/><Relationship Id="rId6kqikf1qlo6lkfmtlib4r" Type="http://schemas.openxmlformats.org/officeDocument/2006/relationships/hyperlink" Target="https://doi.org/10.1016/j.imu.2022.100880" TargetMode="External"/><Relationship Id="rId_15i5x1kjpekjzrgywwjj" Type="http://schemas.openxmlformats.org/officeDocument/2006/relationships/hyperlink" Target="https://consensus.app/papers/details/1466d47b78b75197bdcc70db715cb0dc/?utm_source=claude_desktop" TargetMode="External"/><Relationship Id="rIdk4y6r0ojwritfaz5thxsn" Type="http://schemas.openxmlformats.org/officeDocument/2006/relationships/hyperlink" Target="https://doi.org/10.13005/ojc/420333" TargetMode="External"/><Relationship Id="rIdhom6pip6q_xwomriiqo2a" Type="http://schemas.openxmlformats.org/officeDocument/2006/relationships/hyperlink" Target="https://consensus.app/papers/details/76f04b61f56c504baac3133760a4959a/?utm_source=claude_desktop" TargetMode="External"/><Relationship Id="rIdx2sdubsjuxgwf0bz8urub" Type="http://schemas.openxmlformats.org/officeDocument/2006/relationships/hyperlink" Target="https://doi.org/10.1021/acs.jcim.1c00292" TargetMode="External"/><Relationship Id="rId9rsa-bfzerwxzzakc0jal" Type="http://schemas.openxmlformats.org/officeDocument/2006/relationships/hyperlink" Target="https://consensus.app/papers/details/8f176869d69751d58436b667b82288d5/?utm_source=claude_desktop" TargetMode="External"/><Relationship Id="rIdrg8ahqj_hwxoc_bdcz-kg" Type="http://schemas.openxmlformats.org/officeDocument/2006/relationships/hyperlink" Target="https://doi.org/10.1039/d5ra05526a" TargetMode="External"/><Relationship Id="rId4xwpyzm5dmsedxe-1lqw5" Type="http://schemas.openxmlformats.org/officeDocument/2006/relationships/hyperlink" Target="https://consensus.app/papers/details/b2ae502da457554e89a7e27f4799664d/?utm_source=claude_desktop" TargetMode="External"/><Relationship Id="rIdvkzu6ehodkrz-7uwhh3pv" Type="http://schemas.openxmlformats.org/officeDocument/2006/relationships/hyperlink" Target="https://doi.org/10.3390/molecules28010175" TargetMode="External"/><Relationship Id="rId9dr8igxzygwhggp_xru8e" Type="http://schemas.openxmlformats.org/officeDocument/2006/relationships/hyperlink" Target="https://consensus.app/papers/details/a21df0ac12d558b1892f0180e2e7c523/?utm_source=claude_desktop" TargetMode="External"/><Relationship Id="rIdumrrnuqrqcj8hgo2gmk0i" Type="http://schemas.openxmlformats.org/officeDocument/2006/relationships/hyperlink" Target="https://doi.org/10.1021/acsomega.5c04457" TargetMode="External"/><Relationship Id="rIdarcdpkgyu3czbkrt0j6a_" Type="http://schemas.openxmlformats.org/officeDocument/2006/relationships/hyperlink" Target="https://consensus.app/papers/details/b1d35c0f1a0c5209b7328a7f6da802f0/?utm_source=claude_desktop" TargetMode="External"/><Relationship Id="rIdskkzgyijsxaggcn9qfeef" Type="http://schemas.openxmlformats.org/officeDocument/2006/relationships/hyperlink" Target="https://doi.org/10.1016/bs.apha.2025.02.002" TargetMode="External"/><Relationship Id="rIdztluadxxvmvxeeslgfwxv" Type="http://schemas.openxmlformats.org/officeDocument/2006/relationships/hyperlink" Target="https://consensus.app/papers/details/308d45aea1a25f4b81c7683976b4a8cd/?utm_source=claude_desktop" TargetMode="External"/><Relationship Id="rIdf3rlznu9vdijxdzhxfxws" Type="http://schemas.openxmlformats.org/officeDocument/2006/relationships/hyperlink" Target="https://doi.org/10.1021/acs.chemrev.9b00055" TargetMode="External"/><Relationship Id="rIdtj3zpfylkkmongtfouscy" Type="http://schemas.openxmlformats.org/officeDocument/2006/relationships/hyperlink" Target="https://consensus.app/papers/details/470d737b30455908bbcca8c8e5e886d4/?utm_source=claude_desktop" TargetMode="External"/><Relationship Id="rIdkaajmntytshvjmt8kpjff" Type="http://schemas.openxmlformats.org/officeDocument/2006/relationships/hyperlink" Target="https://doi.org/10.1080/17460441.2021.1942836" TargetMode="External"/><Relationship Id="rIdf597nqvppf5fsul6jkwpz" Type="http://schemas.openxmlformats.org/officeDocument/2006/relationships/hyperlink" Target="https://consensus.app/papers/details/8ece4f3a813e579d8baebc0fdbe38c0a/?utm_source=claude_desktop" TargetMode="External"/><Relationship Id="rIdvxrcys2urhcpdslna5oen" Type="http://schemas.openxmlformats.org/officeDocument/2006/relationships/hyperlink" Target="https://doi.org/10.1039/d3ra04916g" TargetMode="External"/><Relationship Id="rIdjswb9s7cmdnamnxwidjqv" Type="http://schemas.openxmlformats.org/officeDocument/2006/relationships/hyperlink" Target="https://consensus.app/papers/details/fbfff256a28955cf94513fc5ea098f2d/?utm_source=claude_desktop" TargetMode="External"/><Relationship Id="rIdjxzsxz-mocq7zajbg2tny" Type="http://schemas.openxmlformats.org/officeDocument/2006/relationships/hyperlink" Target="https://doi.org/10.1007/s10822-023-00499-0" TargetMode="External"/><Relationship Id="rId4lrc-emq-k22lqftm4p1e" Type="http://schemas.openxmlformats.org/officeDocument/2006/relationships/hyperlink" Target="https://consensus.app/papers/details/b5825cbf5fbb599fb72392de9681cb23/?utm_source=claude_desktop" TargetMode="External"/><Relationship Id="rIdaziwmwo-cdi29uwan48wl" Type="http://schemas.openxmlformats.org/officeDocument/2006/relationships/hyperlink" Target="https://doi.org/10.1007/s10822-021-00389-3" TargetMode="External"/><Relationship Id="rIdfduasklykappnhodlw1nn" Type="http://schemas.openxmlformats.org/officeDocument/2006/relationships/hyperlink" Target="https://consensus.app/papers/details/95bf5e032ac8501a842bb388983bd939/?utm_source=claude_desktop" TargetMode="External"/><Relationship Id="rIdsbmqlog3j1nlvrhcyhatl" Type="http://schemas.openxmlformats.org/officeDocument/2006/relationships/hyperlink" Target="https://doi.org/10.1038/s42004-023-01019-9" TargetMode="External"/><Relationship Id="rIdyswci5d8gib-uxcm-fu2s" Type="http://schemas.openxmlformats.org/officeDocument/2006/relationships/hyperlink" Target="https://consensus.app/papers/details/e12b88b9b0e15e6d94843becfc1bf34f/?utm_source=claude_desktop" TargetMode="External"/><Relationship Id="rId16yodda2nmhl14jqnxnml" Type="http://schemas.openxmlformats.org/officeDocument/2006/relationships/hyperlink" Target="https://doi.org/10.1038/srep42717" TargetMode="External"/><Relationship Id="rId8sqtecpivgrfg3tfh3hed" Type="http://schemas.openxmlformats.org/officeDocument/2006/relationships/hyperlink" Target="https://consensus.app/papers/details/5ef57755e3cd5dc382f4ebefc35fe4e5/?utm_source=claude_desktop" TargetMode="External"/><Relationship Id="rIdprszfsm7xuric-zpyeacp" Type="http://schemas.openxmlformats.org/officeDocument/2006/relationships/hyperlink" Target="https://doi.org/10.1093/nar/gkab255" TargetMode="External"/><Relationship Id="rIdcchjbpwuliluzefiopam-" Type="http://schemas.openxmlformats.org/officeDocument/2006/relationships/hyperlink" Target="https://consensus.app/papers/details/e6993de11da4555e8255475036d63be0/?utm_source=claude_desktop" TargetMode="External"/><Relationship Id="rId1nwjfn7nuepartbbz5j1k" Type="http://schemas.openxmlformats.org/officeDocument/2006/relationships/hyperlink" Target="https://doi.org/10.1016/j.drudis.2019.10.014" TargetMode="External"/><Relationship Id="rIdhsb4mbmazkx7nyhvscp87" Type="http://schemas.openxmlformats.org/officeDocument/2006/relationships/hyperlink" Target="https://consensus.app/papers/details/e77de6b3a134542e8621c1f9b0e8a62a/?utm_source=claude_desktop" TargetMode="External"/><Relationship Id="rId0bd4qc_rpfooqjtuzhyw4" Type="http://schemas.openxmlformats.org/officeDocument/2006/relationships/hyperlink" Target="https://doi.org/10.3389/fchem.2020.00726" TargetMode="External"/><Relationship Id="rIddlnbdiwgpr9jazcxf_g0m" Type="http://schemas.openxmlformats.org/officeDocument/2006/relationships/hyperlink" Target="https://consensus.app/papers/details/a8c7b7b8e6555fa7aca5fbea7fedf9e0/?utm_source=claude_desktop" TargetMode="External"/><Relationship Id="rIdkr3xlfxwvyew1xwkdelrk" Type="http://schemas.openxmlformats.org/officeDocument/2006/relationships/hyperlink" Target="https://doi.org/10.1080/17460441.2020.1798926" TargetMode="External"/><Relationship Id="rIde5ngnqbcf_jh9hxt1onof" Type="http://schemas.openxmlformats.org/officeDocument/2006/relationships/hyperlink" Target="https://consensus.app/papers/details/84b9741317fd547db786aa6f036fda57/?utm_source=claude_desktop" TargetMode="External"/><Relationship Id="rIdmtg92la1qwaijgdev95d1" Type="http://schemas.openxmlformats.org/officeDocument/2006/relationships/hyperlink" Target="https://doi.org/10.3390/molecules28020776" TargetMode="External"/><Relationship Id="rIdwa91ozwdj7ap6zteihplx" Type="http://schemas.openxmlformats.org/officeDocument/2006/relationships/hyperlink" Target="https://consensus.app/papers/details/275d5d5fe1d659e7b29a46ad747ae08f/?utm_source=claude_desktop" TargetMode="External"/><Relationship Id="rIdkszn1bwlu-uifjtppavao" Type="http://schemas.openxmlformats.org/officeDocument/2006/relationships/hyperlink" Target="https://doi.org/10.3390/ph19060840" TargetMode="External"/><Relationship Id="rIdd-4ii1-pbdhegjdgpf038" Type="http://schemas.openxmlformats.org/officeDocument/2006/relationships/hyperlink" Target="https://consensus.app/papers/details/602fcbc8ed15505e94d8e4f1cea3b0fb/?utm_source=claude_desktop" TargetMode="External"/><Relationship Id="rIdum_twve3ubiqk1-lnqmse" Type="http://schemas.openxmlformats.org/officeDocument/2006/relationships/hyperlink" Target="https://doi.org/10.1016/j.drudis.2023.103728" TargetMode="External"/><Relationship Id="rId-xdbxqp6ntpmfcjk8dnjb" Type="http://schemas.openxmlformats.org/officeDocument/2006/relationships/hyperlink" Target="https://consensus.app/papers/details/8d1b1faf6a44520a880baf4528877e44/?utm_source=claude_desktop" TargetMode="External"/><Relationship Id="rIdyoznhche83bdci-1hvkbk" Type="http://schemas.openxmlformats.org/officeDocument/2006/relationships/hyperlink" Target="https://doi.org/10.1101/2025.02.17.638712" TargetMode="External"/><Relationship Id="rIdo0wlwludo4kcknnsua-bf" Type="http://schemas.openxmlformats.org/officeDocument/2006/relationships/hyperlink" Target="https://consensus.app/papers/details/eaccd668831456eb8b657f4b14a75ac5/?utm_source=claude_desktop" TargetMode="External"/><Relationship Id="rIdlxs2tpinhku27rhhqinex" Type="http://schemas.openxmlformats.org/officeDocument/2006/relationships/hyperlink" Target="https://doi.org/10.1038/s41598-024-58122-7" TargetMode="External"/><Relationship Id="rIdg9t7uszqjdsnkkrnufmgy" Type="http://schemas.openxmlformats.org/officeDocument/2006/relationships/hyperlink" Target="https://consensus.app/papers/details/a68af1f0a4cb54b297ff29af24c18b5e/?utm_source=claude_desktop" TargetMode="External"/><Relationship Id="rIduasadcv3-ewloumj06kqv" Type="http://schemas.openxmlformats.org/officeDocument/2006/relationships/hyperlink" Target="https://doi.org/10.64062/ijpcat.vol2.issue4.2" TargetMode="External"/><Relationship Id="rIdpalc1o7hfsgp6bxcdq3lz" Type="http://schemas.openxmlformats.org/officeDocument/2006/relationships/hyperlink" Target="https://consensus.app/papers/details/3496ab70d9c45bbf93084d131dd8cc04/?utm_source=claude_desktop" TargetMode="External"/><Relationship Id="rIdlm1gd_v_xj3d5s3cvpafm" Type="http://schemas.openxmlformats.org/officeDocument/2006/relationships/hyperlink" Target="https://doi.org/10.1124/dmd.30.3.314" TargetMode="External"/><Relationship Id="rId0so73nhgbfjlacpfpcfya" Type="http://schemas.openxmlformats.org/officeDocument/2006/relationships/hyperlink" Target="https://consensus.app/papers/details/e6a4a3a3bb3859d7a779d3742348ce06/?utm_source=claude_desktop" TargetMode="External"/><Relationship Id="rIdg8uwdiifwmpq_gpaesmvl" Type="http://schemas.openxmlformats.org/officeDocument/2006/relationships/hyperlink" Target="https://doi.org/10.1124/dmd.118.082032" TargetMode="External"/><Relationship Id="rIdtywos34imhd5oqsq07ovb" Type="http://schemas.openxmlformats.org/officeDocument/2006/relationships/hyperlink" Target="https://consensus.app/papers/details/85ae4729a81f50f19f74ae16ea0e0d21/?utm_source=claude_desktop" TargetMode="External"/><Relationship Id="rIdf7nu6xrfnug5a3dxallzy" Type="http://schemas.openxmlformats.org/officeDocument/2006/relationships/hyperlink" Target="https://doi.org/10.1124/mol.113.085902" TargetMode="External"/><Relationship Id="rIdd2l7wbac-npvyhh5tzu6u" Type="http://schemas.openxmlformats.org/officeDocument/2006/relationships/hyperlink" Target="https://consensus.app/papers/details/a4c11b33962056c590c8c67f94f10bd6/?utm_source=claude_desktop" TargetMode="External"/><Relationship Id="rIdxmdycmrtmzzju405x8u2k" Type="http://schemas.openxmlformats.org/officeDocument/2006/relationships/hyperlink" Target="https://doi.org/10.1016/j.jbc.2022.102344" TargetMode="External"/><Relationship Id="rIdj4yvs09lhsbmwpu-nl52i" Type="http://schemas.openxmlformats.org/officeDocument/2006/relationships/hyperlink" Target="https://consensus.app/papers/details/ce45e1b4d0bc593cb26a653d0c174701/?utm_source=claude_desktop" TargetMode="External"/><Relationship Id="rId6k4ytsdlowu9viexuqpx9" Type="http://schemas.openxmlformats.org/officeDocument/2006/relationships/hyperlink" Target="https://doi.org/10.1021/acs.biochem.8b01221" TargetMode="External"/><Relationship Id="rId8mofxqjsjatqdbj901pdt" Type="http://schemas.openxmlformats.org/officeDocument/2006/relationships/hyperlink" Target="https://consensus.app/papers/details/e689dd6dbe625e4fa0702e996af9e866/?utm_source=claude_desktop" TargetMode="External"/><Relationship Id="rIdk8sq1d1y9dn0xijumo6n1" Type="http://schemas.openxmlformats.org/officeDocument/2006/relationships/hyperlink" Target="https://doi.org/10.1021/bi300744z" TargetMode="External"/><Relationship Id="rIdhlhe3jul5_if29jdbbc7w" Type="http://schemas.openxmlformats.org/officeDocument/2006/relationships/hyperlink" Target="https://consensus.app/papers/details/e3137d2c45ad54f0bcb5e661afc25ccd/?utm_source=claude_desktop" TargetMode="External"/><Relationship Id="rIdiw4udfgjo-0qtodmefhe4" Type="http://schemas.openxmlformats.org/officeDocument/2006/relationships/hyperlink" Target="https://doi.org/10.1021/acs.inorgchem.1c02786" TargetMode="External"/><Relationship Id="rIdh2ngppadbn5rpui-l0a1f" Type="http://schemas.openxmlformats.org/officeDocument/2006/relationships/hyperlink" Target="https://consensus.app/papers/details/8a8e2485aa7a5101940937f6196e17a5/?utm_source=claude_desktop" TargetMode="External"/><Relationship Id="rIdq0y_lnz6ehwjwcj-8bmsk" Type="http://schemas.openxmlformats.org/officeDocument/2006/relationships/hyperlink" Target="https://doi.org/10.1016/j.jbc.2024.107799" TargetMode="External"/><Relationship Id="rId3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Imidazole-derived molecules: in silico–guided design and synthesis (review draft)</dc:title>
  <dc:creator>Claude (Anthropic) for the requesting researcher</dc:creator>
  <cp:lastModifiedBy>Un-named</cp:lastModifiedBy>
  <cp:revision>1</cp:revision>
  <dcterms:created xsi:type="dcterms:W3CDTF">2026-10-19T04:15:18.529Z</dcterms:created>
  <dcterms:modified xsi:type="dcterms:W3CDTF">2026-10-19T04:15:18.529Z</dcterms:modified>
</cp:coreProperties>
</file>

<file path=docProps/custom.xml><?xml version="1.0" encoding="utf-8"?>
<Properties xmlns="http://schemas.openxmlformats.org/officeDocument/2006/custom-properties" xmlns:vt="http://schemas.openxmlformats.org/officeDocument/2006/docPropsVTypes"/>
</file>