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3E6E3682" w14:textId="77777777" w:rsidR="00242F2D" w:rsidRDefault="00000000">
      <w:pPr>
        <w:spacing w:before="240"/>
        <w:jc w:val="center"/>
        <w:rPr>
          <w:b/>
          <w:bCs/>
          <w:sz w:val="40"/>
          <w:szCs w:val="40"/>
        </w:rPr>
      </w:pPr>
      <w:r>
        <w:rPr>
          <w:b/>
          <w:bCs/>
          <w:sz w:val="40"/>
          <w:szCs w:val="40"/>
        </w:rPr>
        <w:t>MUKESH PATEL SCHOOL OF TECHNOLOGY MANAGEMENT AND ENGINEERING</w:t>
      </w:r>
    </w:p>
    <w:p w14:paraId="252DFBE9" w14:textId="77777777" w:rsidR="00242F2D" w:rsidRDefault="00000000">
      <w:pPr>
        <w:spacing w:line="360" w:lineRule="auto"/>
        <w:jc w:val="center"/>
        <w:rPr>
          <w:sz w:val="32"/>
          <w:szCs w:val="32"/>
        </w:rPr>
      </w:pPr>
      <w:r>
        <w:rPr>
          <w:sz w:val="28"/>
          <w:szCs w:val="28"/>
        </w:rPr>
        <w:t>(Affiliated to NMIMS Deemed to be University, Mumbai)</w:t>
      </w:r>
      <w:r>
        <w:rPr>
          <w:sz w:val="32"/>
          <w:szCs w:val="32"/>
        </w:rPr>
        <w:t xml:space="preserve"> </w:t>
      </w:r>
    </w:p>
    <w:p w14:paraId="7025D596" w14:textId="77777777" w:rsidR="00242F2D" w:rsidRDefault="00000000">
      <w:pPr>
        <w:jc w:val="center"/>
        <w:rPr>
          <w:sz w:val="32"/>
          <w:szCs w:val="32"/>
        </w:rPr>
      </w:pPr>
      <w:r>
        <w:rPr>
          <w:sz w:val="32"/>
          <w:szCs w:val="32"/>
        </w:rPr>
        <w:t xml:space="preserve"> </w:t>
      </w:r>
    </w:p>
    <w:p w14:paraId="767FC151" w14:textId="77777777" w:rsidR="00242F2D" w:rsidRDefault="00000000">
      <w:pPr>
        <w:jc w:val="center"/>
        <w:rPr>
          <w:sz w:val="32"/>
          <w:szCs w:val="32"/>
        </w:rPr>
      </w:pPr>
      <w:r>
        <w:rPr>
          <w:sz w:val="32"/>
          <w:szCs w:val="32"/>
        </w:rPr>
        <w:t xml:space="preserve"> </w:t>
      </w:r>
      <w:r>
        <w:rPr>
          <w:noProof/>
          <w:sz w:val="32"/>
          <w:szCs w:val="32"/>
        </w:rPr>
        <w:drawing>
          <wp:inline distT="114300" distB="114300" distL="114300" distR="114300" wp14:anchorId="3CFC058E" wp14:editId="2B6DE6D0">
            <wp:extent cx="1148150" cy="1346392"/>
            <wp:effectExtent l="0" t="0" r="0" b="0"/>
            <wp:docPr id="32"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10"/>
                    <a:srcRect/>
                    <a:stretch>
                      <a:fillRect/>
                    </a:stretch>
                  </pic:blipFill>
                  <pic:spPr>
                    <a:xfrm>
                      <a:off x="0" y="0"/>
                      <a:ext cx="1148150" cy="1346392"/>
                    </a:xfrm>
                    <a:prstGeom prst="rect">
                      <a:avLst/>
                    </a:prstGeom>
                    <a:ln/>
                  </pic:spPr>
                </pic:pic>
              </a:graphicData>
            </a:graphic>
          </wp:inline>
        </w:drawing>
      </w:r>
    </w:p>
    <w:p w14:paraId="1E283AF0" w14:textId="77777777" w:rsidR="00242F2D" w:rsidRDefault="00000000">
      <w:pPr>
        <w:spacing w:before="240" w:after="240"/>
        <w:jc w:val="center"/>
        <w:rPr>
          <w:sz w:val="28"/>
          <w:szCs w:val="28"/>
        </w:rPr>
      </w:pPr>
      <w:r>
        <w:t xml:space="preserve"> </w:t>
      </w:r>
    </w:p>
    <w:p w14:paraId="0869BC11" w14:textId="77777777" w:rsidR="00242F2D" w:rsidRDefault="00000000">
      <w:pPr>
        <w:spacing w:before="240" w:line="360" w:lineRule="auto"/>
        <w:jc w:val="center"/>
      </w:pPr>
      <w:r>
        <w:t>A  REPORT</w:t>
      </w:r>
    </w:p>
    <w:p w14:paraId="5B609877" w14:textId="77777777" w:rsidR="00242F2D" w:rsidRDefault="00000000">
      <w:pPr>
        <w:spacing w:before="240" w:line="360" w:lineRule="auto"/>
        <w:jc w:val="center"/>
      </w:pPr>
      <w:r>
        <w:t xml:space="preserve">ON </w:t>
      </w:r>
    </w:p>
    <w:p w14:paraId="23C5E13A" w14:textId="77777777" w:rsidR="00242F2D" w:rsidRDefault="00000000">
      <w:pPr>
        <w:spacing w:line="360" w:lineRule="auto"/>
        <w:jc w:val="center"/>
        <w:rPr>
          <w:b/>
          <w:bCs/>
          <w:sz w:val="28"/>
          <w:szCs w:val="28"/>
        </w:rPr>
      </w:pPr>
      <w:r>
        <w:rPr>
          <w:b/>
          <w:bCs/>
          <w:sz w:val="28"/>
          <w:szCs w:val="28"/>
        </w:rPr>
        <w:t>PROPHET MODEL IMPLEMENTATION FOR DIGITAL PAYMENT VOLUME FORECASTING WITH HOLIDAY AND EVENT EFFECTS</w:t>
      </w:r>
    </w:p>
    <w:p w14:paraId="795E394C" w14:textId="77777777" w:rsidR="00242F2D" w:rsidRDefault="00242F2D">
      <w:pPr>
        <w:spacing w:before="240" w:line="19" w:lineRule="auto"/>
        <w:jc w:val="center"/>
      </w:pPr>
    </w:p>
    <w:p w14:paraId="2EC90089" w14:textId="77777777" w:rsidR="00242F2D" w:rsidRDefault="00242F2D">
      <w:pPr>
        <w:spacing w:before="240" w:line="19" w:lineRule="auto"/>
        <w:jc w:val="center"/>
      </w:pPr>
    </w:p>
    <w:p w14:paraId="70265F35" w14:textId="77777777" w:rsidR="00242F2D" w:rsidRDefault="00242F2D">
      <w:pPr>
        <w:spacing w:before="240" w:line="19" w:lineRule="auto"/>
        <w:jc w:val="center"/>
      </w:pPr>
    </w:p>
    <w:p w14:paraId="0B1F737C" w14:textId="77777777" w:rsidR="00242F2D" w:rsidRDefault="00242F2D">
      <w:pPr>
        <w:spacing w:before="240" w:line="19" w:lineRule="auto"/>
        <w:jc w:val="center"/>
      </w:pPr>
    </w:p>
    <w:p w14:paraId="509E1FDB" w14:textId="77777777" w:rsidR="00242F2D" w:rsidRDefault="00242F2D">
      <w:pPr>
        <w:spacing w:before="240" w:line="19" w:lineRule="auto"/>
        <w:jc w:val="center"/>
      </w:pPr>
    </w:p>
    <w:p w14:paraId="5D38FD28" w14:textId="77777777" w:rsidR="00242F2D" w:rsidRDefault="00000000">
      <w:pPr>
        <w:spacing w:before="240" w:line="19" w:lineRule="auto"/>
        <w:ind w:left="0" w:firstLine="0"/>
        <w:jc w:val="left"/>
      </w:pPr>
      <w:r>
        <w:t xml:space="preserve"> </w:t>
      </w:r>
    </w:p>
    <w:p w14:paraId="6E54D73F" w14:textId="77777777" w:rsidR="00242F2D" w:rsidRDefault="00000000">
      <w:pPr>
        <w:spacing w:before="240" w:line="19" w:lineRule="auto"/>
        <w:jc w:val="center"/>
        <w:rPr>
          <w:sz w:val="30"/>
          <w:szCs w:val="30"/>
        </w:rPr>
      </w:pPr>
      <w:r>
        <w:rPr>
          <w:sz w:val="30"/>
          <w:szCs w:val="30"/>
        </w:rPr>
        <w:t>Submitted by:</w:t>
      </w:r>
    </w:p>
    <w:p w14:paraId="47D2856C" w14:textId="77777777" w:rsidR="00242F2D" w:rsidRDefault="00242F2D">
      <w:pPr>
        <w:spacing w:before="240" w:line="19" w:lineRule="auto"/>
        <w:jc w:val="center"/>
        <w:rPr>
          <w:sz w:val="30"/>
          <w:szCs w:val="30"/>
        </w:rPr>
      </w:pPr>
    </w:p>
    <w:p w14:paraId="72554B89" w14:textId="77777777" w:rsidR="00242F2D" w:rsidRDefault="00000000">
      <w:pPr>
        <w:spacing w:before="240" w:line="19" w:lineRule="auto"/>
        <w:jc w:val="center"/>
        <w:rPr>
          <w:sz w:val="30"/>
          <w:szCs w:val="30"/>
        </w:rPr>
      </w:pPr>
      <w:r>
        <w:rPr>
          <w:sz w:val="30"/>
          <w:szCs w:val="30"/>
        </w:rPr>
        <w:t>Rohan Dedhia E004</w:t>
      </w:r>
    </w:p>
    <w:p w14:paraId="4D3FB5AA" w14:textId="77777777" w:rsidR="00242F2D" w:rsidRDefault="00000000">
      <w:pPr>
        <w:spacing w:before="240" w:line="19" w:lineRule="auto"/>
        <w:jc w:val="center"/>
        <w:rPr>
          <w:sz w:val="30"/>
          <w:szCs w:val="30"/>
        </w:rPr>
      </w:pPr>
      <w:r>
        <w:rPr>
          <w:sz w:val="30"/>
          <w:szCs w:val="30"/>
        </w:rPr>
        <w:t>Duncan D'lima E026</w:t>
      </w:r>
    </w:p>
    <w:p w14:paraId="20290E01" w14:textId="77777777" w:rsidR="00242F2D" w:rsidRDefault="00000000">
      <w:pPr>
        <w:spacing w:before="240" w:line="19" w:lineRule="auto"/>
        <w:jc w:val="center"/>
        <w:rPr>
          <w:sz w:val="30"/>
          <w:szCs w:val="30"/>
        </w:rPr>
      </w:pPr>
      <w:r>
        <w:rPr>
          <w:sz w:val="30"/>
          <w:szCs w:val="30"/>
        </w:rPr>
        <w:t>Sanaz Katpitia E020</w:t>
      </w:r>
    </w:p>
    <w:p w14:paraId="620B0EA2" w14:textId="77777777" w:rsidR="00242F2D" w:rsidRDefault="00000000">
      <w:pPr>
        <w:spacing w:before="240"/>
      </w:pPr>
      <w:r>
        <w:t xml:space="preserve">                                                                       </w:t>
      </w:r>
      <w:r>
        <w:tab/>
      </w:r>
    </w:p>
    <w:p w14:paraId="5D3D479F" w14:textId="77777777" w:rsidR="00242F2D" w:rsidRDefault="00242F2D">
      <w:pPr>
        <w:spacing w:before="240"/>
        <w:ind w:left="0" w:firstLine="0"/>
      </w:pPr>
    </w:p>
    <w:p w14:paraId="12F198C0" w14:textId="77777777" w:rsidR="00242F2D" w:rsidRDefault="00000000">
      <w:pPr>
        <w:spacing w:line="360" w:lineRule="auto"/>
        <w:ind w:left="0" w:firstLine="0"/>
        <w:jc w:val="left"/>
        <w:rPr>
          <w:b/>
          <w:bCs/>
          <w:sz w:val="32"/>
          <w:szCs w:val="32"/>
        </w:rPr>
      </w:pPr>
      <w:r>
        <w:t xml:space="preserve">      </w:t>
      </w:r>
      <w:r>
        <w:tab/>
      </w:r>
      <w:r>
        <w:tab/>
      </w:r>
      <w:r>
        <w:tab/>
        <w:t xml:space="preserve">       </w:t>
      </w:r>
      <w:r>
        <w:rPr>
          <w:b/>
          <w:bCs/>
          <w:sz w:val="32"/>
          <w:szCs w:val="32"/>
        </w:rPr>
        <w:t>B. Tech Integrated – Semester IX</w:t>
      </w:r>
    </w:p>
    <w:p w14:paraId="597DA623" w14:textId="77777777" w:rsidR="00242F2D" w:rsidRDefault="00000000">
      <w:pPr>
        <w:ind w:left="0" w:firstLine="0"/>
      </w:pPr>
      <w:r>
        <w:br w:type="page"/>
      </w:r>
    </w:p>
    <w:p w14:paraId="445B62E2" w14:textId="77777777" w:rsidR="00242F2D" w:rsidRDefault="00000000">
      <w:pPr>
        <w:spacing w:line="360" w:lineRule="auto"/>
        <w:ind w:left="0" w:firstLine="0"/>
        <w:jc w:val="center"/>
      </w:pPr>
      <w:r>
        <w:lastRenderedPageBreak/>
        <w:t>AY 2026-2027</w:t>
      </w:r>
    </w:p>
    <w:p w14:paraId="00ED4D99" w14:textId="77777777" w:rsidR="00242F2D" w:rsidRDefault="00242F2D">
      <w:pPr>
        <w:ind w:left="0" w:firstLine="0"/>
      </w:pPr>
    </w:p>
    <w:p w14:paraId="2AC6A3BA" w14:textId="77777777" w:rsidR="00242F2D" w:rsidRDefault="00000000">
      <w:pPr>
        <w:tabs>
          <w:tab w:val="right" w:leader="dot" w:pos="9960"/>
        </w:tabs>
        <w:spacing w:before="60" w:line="240" w:lineRule="auto"/>
        <w:ind w:left="0" w:firstLine="0"/>
        <w:jc w:val="left"/>
      </w:pPr>
      <w:r>
        <w:fldChar w:fldCharType="begin"/>
      </w:r>
      <w:r>
        <w:instrText xml:space="preserve"> TOC \h \u \z \t "Heading 1,1,Heading 3,2" </w:instrText>
      </w:r>
      <w:r>
        <w:fldChar w:fldCharType="separate"/>
      </w:r>
      <w:hyperlink w:anchor="_Toc001" w:history="1">
        <w:r>
          <w:rPr>
            <w:b/>
            <w:bCs/>
            <w:color w:val="000000"/>
            <w:sz w:val="22"/>
            <w:szCs w:val="22"/>
          </w:rPr>
          <w:t>1.0 Abstract</w:t>
        </w:r>
        <w:r>
          <w:rPr>
            <w:b/>
            <w:bCs/>
            <w:color w:val="000000"/>
            <w:sz w:val="22"/>
            <w:szCs w:val="22"/>
          </w:rPr>
          <w:tab/>
          <w:t>3</w:t>
        </w:r>
      </w:hyperlink>
    </w:p>
    <w:p w14:paraId="2183D271" w14:textId="77777777" w:rsidR="00242F2D" w:rsidRDefault="00000000">
      <w:pPr>
        <w:tabs>
          <w:tab w:val="right" w:leader="dot" w:pos="9960"/>
        </w:tabs>
        <w:spacing w:before="60" w:line="240" w:lineRule="auto"/>
        <w:ind w:left="0" w:firstLine="0"/>
        <w:jc w:val="left"/>
      </w:pPr>
      <w:hyperlink w:anchor="_Toc002" w:history="1">
        <w:r>
          <w:rPr>
            <w:b/>
            <w:bCs/>
            <w:color w:val="000000"/>
            <w:sz w:val="22"/>
            <w:szCs w:val="22"/>
          </w:rPr>
          <w:t>2.0 Introduction</w:t>
        </w:r>
        <w:r>
          <w:rPr>
            <w:b/>
            <w:bCs/>
            <w:color w:val="000000"/>
            <w:sz w:val="22"/>
            <w:szCs w:val="22"/>
          </w:rPr>
          <w:tab/>
          <w:t>3</w:t>
        </w:r>
      </w:hyperlink>
    </w:p>
    <w:p w14:paraId="592CFD0C" w14:textId="77777777" w:rsidR="00242F2D" w:rsidRDefault="00000000">
      <w:pPr>
        <w:tabs>
          <w:tab w:val="right" w:leader="dot" w:pos="9960"/>
        </w:tabs>
        <w:spacing w:before="60" w:line="240" w:lineRule="auto"/>
        <w:ind w:left="0" w:firstLine="0"/>
        <w:jc w:val="left"/>
      </w:pPr>
      <w:hyperlink w:anchor="_Toc003" w:history="1">
        <w:r>
          <w:rPr>
            <w:b/>
            <w:bCs/>
            <w:color w:val="000000"/>
            <w:sz w:val="22"/>
            <w:szCs w:val="22"/>
          </w:rPr>
          <w:t>3.0 Literature Review</w:t>
        </w:r>
        <w:r>
          <w:rPr>
            <w:b/>
            <w:bCs/>
            <w:color w:val="000000"/>
            <w:sz w:val="22"/>
            <w:szCs w:val="22"/>
          </w:rPr>
          <w:tab/>
          <w:t>4</w:t>
        </w:r>
      </w:hyperlink>
    </w:p>
    <w:p w14:paraId="2DF49C33" w14:textId="77777777" w:rsidR="00242F2D" w:rsidRDefault="00000000">
      <w:pPr>
        <w:tabs>
          <w:tab w:val="right" w:leader="dot" w:pos="9960"/>
        </w:tabs>
        <w:spacing w:before="60" w:line="240" w:lineRule="auto"/>
        <w:ind w:firstLine="0"/>
        <w:jc w:val="left"/>
      </w:pPr>
      <w:hyperlink w:anchor="_Toc004" w:history="1">
        <w:r>
          <w:rPr>
            <w:color w:val="000000"/>
            <w:sz w:val="22"/>
            <w:szCs w:val="22"/>
          </w:rPr>
          <w:t>3.1 ARIMA and SARIMAX Models</w:t>
        </w:r>
        <w:r>
          <w:rPr>
            <w:color w:val="000000"/>
            <w:sz w:val="22"/>
            <w:szCs w:val="22"/>
          </w:rPr>
          <w:tab/>
          <w:t>4</w:t>
        </w:r>
      </w:hyperlink>
    </w:p>
    <w:p w14:paraId="1C1922CD" w14:textId="77777777" w:rsidR="00242F2D" w:rsidRDefault="00000000">
      <w:pPr>
        <w:tabs>
          <w:tab w:val="right" w:leader="dot" w:pos="9960"/>
        </w:tabs>
        <w:spacing w:before="60" w:line="240" w:lineRule="auto"/>
        <w:ind w:firstLine="0"/>
        <w:jc w:val="left"/>
      </w:pPr>
      <w:hyperlink w:anchor="_Toc005" w:history="1">
        <w:r>
          <w:rPr>
            <w:color w:val="000000"/>
            <w:sz w:val="22"/>
            <w:szCs w:val="22"/>
          </w:rPr>
          <w:t>3.2 The Prophet Model</w:t>
        </w:r>
        <w:r>
          <w:rPr>
            <w:color w:val="000000"/>
            <w:sz w:val="22"/>
            <w:szCs w:val="22"/>
          </w:rPr>
          <w:tab/>
          <w:t>4</w:t>
        </w:r>
      </w:hyperlink>
    </w:p>
    <w:p w14:paraId="0B58D6E3" w14:textId="77777777" w:rsidR="00242F2D" w:rsidRDefault="00000000">
      <w:pPr>
        <w:tabs>
          <w:tab w:val="right" w:leader="dot" w:pos="9960"/>
        </w:tabs>
        <w:spacing w:before="60" w:line="240" w:lineRule="auto"/>
        <w:ind w:firstLine="0"/>
        <w:jc w:val="left"/>
      </w:pPr>
      <w:hyperlink w:anchor="_Toc006" w:history="1">
        <w:r>
          <w:rPr>
            <w:color w:val="000000"/>
            <w:sz w:val="22"/>
            <w:szCs w:val="22"/>
          </w:rPr>
          <w:t>3.3 Holiday and Event Effects</w:t>
        </w:r>
        <w:r>
          <w:rPr>
            <w:color w:val="000000"/>
            <w:sz w:val="22"/>
            <w:szCs w:val="22"/>
          </w:rPr>
          <w:tab/>
          <w:t>4</w:t>
        </w:r>
      </w:hyperlink>
    </w:p>
    <w:p w14:paraId="6A386FB8" w14:textId="77777777" w:rsidR="00242F2D" w:rsidRDefault="00000000">
      <w:pPr>
        <w:tabs>
          <w:tab w:val="right" w:leader="dot" w:pos="9960"/>
        </w:tabs>
        <w:spacing w:before="60" w:line="240" w:lineRule="auto"/>
        <w:ind w:firstLine="0"/>
        <w:jc w:val="left"/>
      </w:pPr>
      <w:hyperlink w:anchor="_Toc007" w:history="1">
        <w:r>
          <w:rPr>
            <w:color w:val="000000"/>
            <w:sz w:val="22"/>
            <w:szCs w:val="22"/>
          </w:rPr>
          <w:t>3.4 Forecast Evaluation</w:t>
        </w:r>
        <w:r>
          <w:rPr>
            <w:color w:val="000000"/>
            <w:sz w:val="22"/>
            <w:szCs w:val="22"/>
          </w:rPr>
          <w:tab/>
          <w:t>4</w:t>
        </w:r>
      </w:hyperlink>
    </w:p>
    <w:p w14:paraId="1222DAF6" w14:textId="77777777" w:rsidR="00242F2D" w:rsidRDefault="00000000">
      <w:pPr>
        <w:tabs>
          <w:tab w:val="right" w:leader="dot" w:pos="9960"/>
        </w:tabs>
        <w:spacing w:before="60" w:line="240" w:lineRule="auto"/>
        <w:ind w:firstLine="0"/>
        <w:jc w:val="left"/>
      </w:pPr>
      <w:hyperlink w:anchor="_Toc008" w:history="1">
        <w:r>
          <w:rPr>
            <w:color w:val="000000"/>
            <w:sz w:val="22"/>
            <w:szCs w:val="22"/>
          </w:rPr>
          <w:t>3.5 Research Gap</w:t>
        </w:r>
        <w:r>
          <w:rPr>
            <w:color w:val="000000"/>
            <w:sz w:val="22"/>
            <w:szCs w:val="22"/>
          </w:rPr>
          <w:tab/>
          <w:t>4</w:t>
        </w:r>
      </w:hyperlink>
    </w:p>
    <w:p w14:paraId="5E36BF2C" w14:textId="77777777" w:rsidR="00242F2D" w:rsidRDefault="00000000">
      <w:pPr>
        <w:tabs>
          <w:tab w:val="right" w:leader="dot" w:pos="9960"/>
        </w:tabs>
        <w:spacing w:before="60" w:line="240" w:lineRule="auto"/>
        <w:ind w:left="0" w:firstLine="0"/>
        <w:jc w:val="left"/>
      </w:pPr>
      <w:hyperlink w:anchor="_Toc009" w:history="1">
        <w:r>
          <w:rPr>
            <w:b/>
            <w:bCs/>
            <w:color w:val="000000"/>
            <w:sz w:val="22"/>
            <w:szCs w:val="22"/>
          </w:rPr>
          <w:t>4.0 Data</w:t>
        </w:r>
        <w:r>
          <w:rPr>
            <w:b/>
            <w:bCs/>
            <w:color w:val="000000"/>
            <w:sz w:val="22"/>
            <w:szCs w:val="22"/>
          </w:rPr>
          <w:tab/>
          <w:t>5</w:t>
        </w:r>
      </w:hyperlink>
    </w:p>
    <w:p w14:paraId="7550D07A" w14:textId="77777777" w:rsidR="00242F2D" w:rsidRDefault="00000000">
      <w:pPr>
        <w:tabs>
          <w:tab w:val="right" w:leader="dot" w:pos="9960"/>
        </w:tabs>
        <w:spacing w:before="60" w:line="240" w:lineRule="auto"/>
        <w:ind w:firstLine="0"/>
        <w:jc w:val="left"/>
      </w:pPr>
      <w:hyperlink w:anchor="_Toc010" w:history="1">
        <w:r>
          <w:rPr>
            <w:color w:val="000000"/>
            <w:sz w:val="22"/>
            <w:szCs w:val="22"/>
          </w:rPr>
          <w:t>4.1 NPCI Monthly Data</w:t>
        </w:r>
        <w:r>
          <w:rPr>
            <w:color w:val="000000"/>
            <w:sz w:val="22"/>
            <w:szCs w:val="22"/>
          </w:rPr>
          <w:tab/>
          <w:t>5</w:t>
        </w:r>
      </w:hyperlink>
    </w:p>
    <w:p w14:paraId="385ABBD3" w14:textId="77777777" w:rsidR="00242F2D" w:rsidRDefault="00000000">
      <w:pPr>
        <w:tabs>
          <w:tab w:val="right" w:leader="dot" w:pos="9960"/>
        </w:tabs>
        <w:spacing w:before="60" w:line="240" w:lineRule="auto"/>
        <w:ind w:firstLine="0"/>
        <w:jc w:val="left"/>
      </w:pPr>
      <w:hyperlink w:anchor="_Toc011" w:history="1">
        <w:r>
          <w:rPr>
            <w:color w:val="000000"/>
            <w:sz w:val="22"/>
            <w:szCs w:val="22"/>
          </w:rPr>
          <w:t>4.2 Synthetic Daily Series</w:t>
        </w:r>
        <w:r>
          <w:rPr>
            <w:color w:val="000000"/>
            <w:sz w:val="22"/>
            <w:szCs w:val="22"/>
          </w:rPr>
          <w:tab/>
          <w:t>5</w:t>
        </w:r>
      </w:hyperlink>
    </w:p>
    <w:p w14:paraId="0BE46FE3" w14:textId="77777777" w:rsidR="00242F2D" w:rsidRDefault="00000000">
      <w:pPr>
        <w:tabs>
          <w:tab w:val="right" w:leader="dot" w:pos="9960"/>
        </w:tabs>
        <w:spacing w:before="60" w:line="240" w:lineRule="auto"/>
        <w:ind w:firstLine="0"/>
        <w:jc w:val="left"/>
      </w:pPr>
      <w:hyperlink w:anchor="_Toc012" w:history="1">
        <w:r>
          <w:rPr>
            <w:color w:val="000000"/>
            <w:sz w:val="22"/>
            <w:szCs w:val="22"/>
          </w:rPr>
          <w:t>4.3 Anchoring to NPCI Totals and a Correction</w:t>
        </w:r>
        <w:r>
          <w:rPr>
            <w:color w:val="000000"/>
            <w:sz w:val="22"/>
            <w:szCs w:val="22"/>
          </w:rPr>
          <w:tab/>
          <w:t>5</w:t>
        </w:r>
      </w:hyperlink>
    </w:p>
    <w:p w14:paraId="55A50FF6" w14:textId="77777777" w:rsidR="00242F2D" w:rsidRDefault="00000000">
      <w:pPr>
        <w:tabs>
          <w:tab w:val="right" w:leader="dot" w:pos="9960"/>
        </w:tabs>
        <w:spacing w:before="60" w:line="240" w:lineRule="auto"/>
        <w:ind w:firstLine="0"/>
        <w:jc w:val="left"/>
      </w:pPr>
      <w:hyperlink w:anchor="_Toc013" w:history="1">
        <w:r>
          <w:rPr>
            <w:color w:val="000000"/>
            <w:sz w:val="22"/>
            <w:szCs w:val="22"/>
          </w:rPr>
          <w:t>4.4 Holidays and Events</w:t>
        </w:r>
        <w:r>
          <w:rPr>
            <w:color w:val="000000"/>
            <w:sz w:val="22"/>
            <w:szCs w:val="22"/>
          </w:rPr>
          <w:tab/>
          <w:t>6</w:t>
        </w:r>
      </w:hyperlink>
    </w:p>
    <w:p w14:paraId="3862288F" w14:textId="77777777" w:rsidR="00242F2D" w:rsidRDefault="00000000">
      <w:pPr>
        <w:tabs>
          <w:tab w:val="right" w:leader="dot" w:pos="9960"/>
        </w:tabs>
        <w:spacing w:before="60" w:line="240" w:lineRule="auto"/>
        <w:ind w:left="0" w:firstLine="0"/>
        <w:jc w:val="left"/>
      </w:pPr>
      <w:hyperlink w:anchor="_Toc014" w:history="1">
        <w:r>
          <w:rPr>
            <w:b/>
            <w:bCs/>
            <w:color w:val="000000"/>
            <w:sz w:val="22"/>
            <w:szCs w:val="22"/>
          </w:rPr>
          <w:t>5.0 Methodology</w:t>
        </w:r>
        <w:r>
          <w:rPr>
            <w:b/>
            <w:bCs/>
            <w:color w:val="000000"/>
            <w:sz w:val="22"/>
            <w:szCs w:val="22"/>
          </w:rPr>
          <w:tab/>
          <w:t>7</w:t>
        </w:r>
      </w:hyperlink>
    </w:p>
    <w:p w14:paraId="28BAC7C6" w14:textId="77777777" w:rsidR="00242F2D" w:rsidRDefault="00000000">
      <w:pPr>
        <w:tabs>
          <w:tab w:val="right" w:leader="dot" w:pos="9960"/>
        </w:tabs>
        <w:spacing w:before="60" w:line="240" w:lineRule="auto"/>
        <w:ind w:firstLine="0"/>
        <w:jc w:val="left"/>
      </w:pPr>
      <w:hyperlink w:anchor="_Toc015" w:history="1">
        <w:r>
          <w:rPr>
            <w:color w:val="000000"/>
            <w:sz w:val="22"/>
            <w:szCs w:val="22"/>
          </w:rPr>
          <w:t>5.1 Exploratory Analysis</w:t>
        </w:r>
        <w:r>
          <w:rPr>
            <w:color w:val="000000"/>
            <w:sz w:val="22"/>
            <w:szCs w:val="22"/>
          </w:rPr>
          <w:tab/>
          <w:t>7</w:t>
        </w:r>
      </w:hyperlink>
    </w:p>
    <w:p w14:paraId="208EB7E5" w14:textId="77777777" w:rsidR="00242F2D" w:rsidRDefault="00000000">
      <w:pPr>
        <w:tabs>
          <w:tab w:val="right" w:leader="dot" w:pos="9960"/>
        </w:tabs>
        <w:spacing w:before="60" w:line="240" w:lineRule="auto"/>
        <w:ind w:firstLine="0"/>
        <w:jc w:val="left"/>
      </w:pPr>
      <w:hyperlink w:anchor="_Toc016" w:history="1">
        <w:r>
          <w:rPr>
            <w:color w:val="000000"/>
            <w:sz w:val="22"/>
            <w:szCs w:val="22"/>
          </w:rPr>
          <w:t>5.2 Prophet</w:t>
        </w:r>
        <w:r>
          <w:rPr>
            <w:color w:val="000000"/>
            <w:sz w:val="22"/>
            <w:szCs w:val="22"/>
          </w:rPr>
          <w:tab/>
          <w:t>7</w:t>
        </w:r>
      </w:hyperlink>
    </w:p>
    <w:p w14:paraId="1E31922D" w14:textId="77777777" w:rsidR="00242F2D" w:rsidRDefault="00000000">
      <w:pPr>
        <w:tabs>
          <w:tab w:val="right" w:leader="dot" w:pos="9960"/>
        </w:tabs>
        <w:spacing w:before="60" w:line="240" w:lineRule="auto"/>
        <w:ind w:firstLine="0"/>
        <w:jc w:val="left"/>
      </w:pPr>
      <w:hyperlink w:anchor="_Toc017" w:history="1">
        <w:r>
          <w:rPr>
            <w:color w:val="000000"/>
            <w:sz w:val="22"/>
            <w:szCs w:val="22"/>
          </w:rPr>
          <w:t>5.3 SARIMAX</w:t>
        </w:r>
        <w:r>
          <w:rPr>
            <w:color w:val="000000"/>
            <w:sz w:val="22"/>
            <w:szCs w:val="22"/>
          </w:rPr>
          <w:tab/>
          <w:t>7</w:t>
        </w:r>
      </w:hyperlink>
    </w:p>
    <w:p w14:paraId="6EC194D9" w14:textId="77777777" w:rsidR="00242F2D" w:rsidRDefault="00000000">
      <w:pPr>
        <w:tabs>
          <w:tab w:val="right" w:leader="dot" w:pos="9960"/>
        </w:tabs>
        <w:spacing w:before="60" w:line="240" w:lineRule="auto"/>
        <w:ind w:firstLine="0"/>
        <w:jc w:val="left"/>
      </w:pPr>
      <w:hyperlink w:anchor="_Toc018" w:history="1">
        <w:r>
          <w:rPr>
            <w:color w:val="000000"/>
            <w:sz w:val="22"/>
            <w:szCs w:val="22"/>
          </w:rPr>
          <w:t>5.4 Baseline</w:t>
        </w:r>
        <w:r>
          <w:rPr>
            <w:color w:val="000000"/>
            <w:sz w:val="22"/>
            <w:szCs w:val="22"/>
          </w:rPr>
          <w:tab/>
          <w:t>7</w:t>
        </w:r>
      </w:hyperlink>
    </w:p>
    <w:p w14:paraId="13783422" w14:textId="77777777" w:rsidR="00242F2D" w:rsidRDefault="00000000">
      <w:pPr>
        <w:tabs>
          <w:tab w:val="right" w:leader="dot" w:pos="9960"/>
        </w:tabs>
        <w:spacing w:before="60" w:line="240" w:lineRule="auto"/>
        <w:ind w:firstLine="0"/>
        <w:jc w:val="left"/>
      </w:pPr>
      <w:r>
        <w:t>5.5 Evaluation Design and Metrics</w:t>
      </w:r>
      <w:r>
        <w:tab/>
        <w:t>7</w:t>
      </w:r>
    </w:p>
    <w:p w14:paraId="0574B407" w14:textId="77777777" w:rsidR="00242F2D" w:rsidRDefault="00000000">
      <w:pPr>
        <w:tabs>
          <w:tab w:val="right" w:leader="dot" w:pos="9960"/>
        </w:tabs>
        <w:spacing w:before="60" w:line="240" w:lineRule="auto"/>
        <w:ind w:firstLine="0"/>
        <w:jc w:val="left"/>
      </w:pPr>
      <w:r>
        <w:t>5.6 Effect Recovery and Diagnostics</w:t>
      </w:r>
      <w:r>
        <w:tab/>
        <w:t>8</w:t>
      </w:r>
    </w:p>
    <w:p w14:paraId="692B2271" w14:textId="77777777" w:rsidR="00242F2D" w:rsidRDefault="00000000">
      <w:pPr>
        <w:tabs>
          <w:tab w:val="right" w:leader="dot" w:pos="9960"/>
        </w:tabs>
        <w:spacing w:before="60" w:line="240" w:lineRule="auto"/>
        <w:ind w:left="0" w:firstLine="0"/>
        <w:jc w:val="left"/>
      </w:pPr>
      <w:hyperlink w:anchor="_Toc021" w:history="1">
        <w:r>
          <w:rPr>
            <w:b/>
            <w:bCs/>
            <w:color w:val="000000"/>
            <w:sz w:val="22"/>
            <w:szCs w:val="22"/>
          </w:rPr>
          <w:t>6.0 Results and Analysis</w:t>
        </w:r>
        <w:r>
          <w:rPr>
            <w:b/>
            <w:bCs/>
            <w:color w:val="000000"/>
            <w:sz w:val="22"/>
            <w:szCs w:val="22"/>
          </w:rPr>
          <w:tab/>
          <w:t>9</w:t>
        </w:r>
      </w:hyperlink>
    </w:p>
    <w:p w14:paraId="36D54834" w14:textId="77777777" w:rsidR="00242F2D" w:rsidRDefault="00000000">
      <w:pPr>
        <w:tabs>
          <w:tab w:val="right" w:leader="dot" w:pos="9960"/>
        </w:tabs>
        <w:spacing w:before="60" w:line="240" w:lineRule="auto"/>
        <w:ind w:firstLine="0"/>
        <w:jc w:val="left"/>
      </w:pPr>
      <w:hyperlink w:anchor="_Toc022" w:history="1">
        <w:r>
          <w:rPr>
            <w:color w:val="000000"/>
            <w:sz w:val="22"/>
            <w:szCs w:val="22"/>
          </w:rPr>
          <w:t>6.1 Exploratory Findings</w:t>
        </w:r>
        <w:r>
          <w:rPr>
            <w:color w:val="000000"/>
            <w:sz w:val="22"/>
            <w:szCs w:val="22"/>
          </w:rPr>
          <w:tab/>
          <w:t>9</w:t>
        </w:r>
      </w:hyperlink>
    </w:p>
    <w:p w14:paraId="2F3FD619" w14:textId="77777777" w:rsidR="00242F2D" w:rsidRDefault="00000000">
      <w:pPr>
        <w:tabs>
          <w:tab w:val="right" w:leader="dot" w:pos="9960"/>
        </w:tabs>
        <w:spacing w:before="60" w:line="240" w:lineRule="auto"/>
        <w:ind w:firstLine="0"/>
        <w:jc w:val="left"/>
      </w:pPr>
      <w:hyperlink w:anchor="_Toc023" w:history="1">
        <w:r>
          <w:rPr>
            <w:color w:val="000000"/>
            <w:sz w:val="22"/>
            <w:szCs w:val="22"/>
          </w:rPr>
          <w:t>6.2 SARIMAX Order Selection</w:t>
        </w:r>
        <w:r>
          <w:rPr>
            <w:color w:val="000000"/>
            <w:sz w:val="22"/>
            <w:szCs w:val="22"/>
          </w:rPr>
          <w:tab/>
          <w:t>10</w:t>
        </w:r>
      </w:hyperlink>
    </w:p>
    <w:p w14:paraId="3F054371" w14:textId="77777777" w:rsidR="00242F2D" w:rsidRDefault="00000000">
      <w:pPr>
        <w:tabs>
          <w:tab w:val="right" w:leader="dot" w:pos="9960"/>
        </w:tabs>
        <w:spacing w:before="60" w:line="240" w:lineRule="auto"/>
        <w:ind w:firstLine="0"/>
        <w:jc w:val="left"/>
      </w:pPr>
      <w:hyperlink w:anchor="_Toc024" w:history="1">
        <w:r>
          <w:rPr>
            <w:color w:val="000000"/>
            <w:sz w:val="22"/>
            <w:szCs w:val="22"/>
          </w:rPr>
          <w:t>6.3 Forecast Accuracy</w:t>
        </w:r>
        <w:r>
          <w:rPr>
            <w:color w:val="000000"/>
            <w:sz w:val="22"/>
            <w:szCs w:val="22"/>
          </w:rPr>
          <w:tab/>
          <w:t>11</w:t>
        </w:r>
      </w:hyperlink>
    </w:p>
    <w:p w14:paraId="47F90F08" w14:textId="77777777" w:rsidR="00242F2D" w:rsidRDefault="00000000">
      <w:pPr>
        <w:tabs>
          <w:tab w:val="right" w:leader="dot" w:pos="9960"/>
        </w:tabs>
        <w:spacing w:before="60" w:line="240" w:lineRule="auto"/>
        <w:ind w:firstLine="0"/>
        <w:jc w:val="left"/>
      </w:pPr>
      <w:hyperlink w:anchor="_Toc025" w:history="1">
        <w:r>
          <w:rPr>
            <w:color w:val="000000"/>
            <w:sz w:val="22"/>
            <w:szCs w:val="22"/>
          </w:rPr>
          <w:t>6.4 Holiday and Event Effects</w:t>
        </w:r>
        <w:r>
          <w:rPr>
            <w:color w:val="000000"/>
            <w:sz w:val="22"/>
            <w:szCs w:val="22"/>
          </w:rPr>
          <w:tab/>
          <w:t>12</w:t>
        </w:r>
      </w:hyperlink>
    </w:p>
    <w:p w14:paraId="38C27C99" w14:textId="77777777" w:rsidR="00242F2D" w:rsidRDefault="00000000">
      <w:pPr>
        <w:tabs>
          <w:tab w:val="right" w:leader="dot" w:pos="9960"/>
        </w:tabs>
        <w:spacing w:before="60" w:line="240" w:lineRule="auto"/>
        <w:ind w:firstLine="0"/>
        <w:jc w:val="left"/>
      </w:pPr>
      <w:hyperlink w:anchor="_Toc026" w:history="1">
        <w:r>
          <w:rPr>
            <w:color w:val="000000"/>
            <w:sz w:val="22"/>
            <w:szCs w:val="22"/>
          </w:rPr>
          <w:t>6.5 Residual Diagnostics</w:t>
        </w:r>
        <w:r>
          <w:rPr>
            <w:color w:val="000000"/>
            <w:sz w:val="22"/>
            <w:szCs w:val="22"/>
          </w:rPr>
          <w:tab/>
          <w:t>13</w:t>
        </w:r>
      </w:hyperlink>
    </w:p>
    <w:p w14:paraId="1832D97E" w14:textId="77777777" w:rsidR="00242F2D" w:rsidRDefault="00000000">
      <w:pPr>
        <w:tabs>
          <w:tab w:val="right" w:leader="dot" w:pos="9960"/>
        </w:tabs>
        <w:spacing w:before="60" w:line="240" w:lineRule="auto"/>
        <w:ind w:firstLine="0"/>
        <w:jc w:val="left"/>
      </w:pPr>
      <w:hyperlink w:anchor="_Toc027" w:history="1">
        <w:r>
          <w:rPr>
            <w:color w:val="000000"/>
            <w:sz w:val="22"/>
            <w:szCs w:val="22"/>
          </w:rPr>
          <w:t>6.6 Final Forecast</w:t>
        </w:r>
        <w:r>
          <w:rPr>
            <w:color w:val="000000"/>
            <w:sz w:val="22"/>
            <w:szCs w:val="22"/>
          </w:rPr>
          <w:tab/>
          <w:t>14</w:t>
        </w:r>
      </w:hyperlink>
    </w:p>
    <w:p w14:paraId="71CE7D6E" w14:textId="77777777" w:rsidR="00242F2D" w:rsidRDefault="00000000">
      <w:pPr>
        <w:tabs>
          <w:tab w:val="right" w:leader="dot" w:pos="9960"/>
        </w:tabs>
        <w:spacing w:before="60" w:line="240" w:lineRule="auto"/>
        <w:ind w:left="0" w:firstLine="0"/>
        <w:jc w:val="left"/>
      </w:pPr>
      <w:hyperlink w:anchor="_Toc028" w:history="1">
        <w:r>
          <w:rPr>
            <w:b/>
            <w:bCs/>
            <w:color w:val="000000"/>
            <w:sz w:val="22"/>
            <w:szCs w:val="22"/>
          </w:rPr>
          <w:t>7.0 Discussion</w:t>
        </w:r>
        <w:r>
          <w:rPr>
            <w:b/>
            <w:bCs/>
            <w:color w:val="000000"/>
            <w:sz w:val="22"/>
            <w:szCs w:val="22"/>
          </w:rPr>
          <w:tab/>
          <w:t>15</w:t>
        </w:r>
      </w:hyperlink>
    </w:p>
    <w:p w14:paraId="19AEC9D1" w14:textId="77777777" w:rsidR="00242F2D" w:rsidRDefault="00000000">
      <w:pPr>
        <w:tabs>
          <w:tab w:val="right" w:leader="dot" w:pos="9960"/>
        </w:tabs>
        <w:spacing w:before="60" w:line="240" w:lineRule="auto"/>
        <w:ind w:firstLine="0"/>
        <w:jc w:val="left"/>
      </w:pPr>
      <w:hyperlink w:anchor="_Toc029" w:history="1">
        <w:r>
          <w:rPr>
            <w:color w:val="000000"/>
            <w:sz w:val="22"/>
            <w:szCs w:val="22"/>
          </w:rPr>
          <w:t>7.1 Why Holidays and Events Help</w:t>
        </w:r>
        <w:r>
          <w:rPr>
            <w:color w:val="000000"/>
            <w:sz w:val="22"/>
            <w:szCs w:val="22"/>
          </w:rPr>
          <w:tab/>
          <w:t>15</w:t>
        </w:r>
      </w:hyperlink>
    </w:p>
    <w:p w14:paraId="61811D22" w14:textId="77777777" w:rsidR="00242F2D" w:rsidRDefault="00000000">
      <w:pPr>
        <w:tabs>
          <w:tab w:val="right" w:leader="dot" w:pos="9960"/>
        </w:tabs>
        <w:spacing w:before="60" w:line="240" w:lineRule="auto"/>
        <w:ind w:firstLine="0"/>
        <w:jc w:val="left"/>
      </w:pPr>
      <w:hyperlink w:anchor="_Toc030" w:history="1">
        <w:r>
          <w:rPr>
            <w:color w:val="000000"/>
            <w:sz w:val="22"/>
            <w:szCs w:val="22"/>
          </w:rPr>
          <w:t>7.2 Prophet Versus SARIMAX</w:t>
        </w:r>
        <w:r>
          <w:rPr>
            <w:color w:val="000000"/>
            <w:sz w:val="22"/>
            <w:szCs w:val="22"/>
          </w:rPr>
          <w:tab/>
          <w:t>15</w:t>
        </w:r>
      </w:hyperlink>
    </w:p>
    <w:p w14:paraId="314782C2" w14:textId="77777777" w:rsidR="00242F2D" w:rsidRDefault="00000000">
      <w:pPr>
        <w:tabs>
          <w:tab w:val="right" w:leader="dot" w:pos="9960"/>
        </w:tabs>
        <w:spacing w:before="60" w:line="240" w:lineRule="auto"/>
        <w:ind w:firstLine="0"/>
        <w:jc w:val="left"/>
      </w:pPr>
      <w:hyperlink w:anchor="_Toc031" w:history="1">
        <w:r>
          <w:rPr>
            <w:color w:val="000000"/>
            <w:sz w:val="22"/>
            <w:szCs w:val="22"/>
          </w:rPr>
          <w:t>7.3 Why Diwali Is Underestimated</w:t>
        </w:r>
        <w:r>
          <w:rPr>
            <w:color w:val="000000"/>
            <w:sz w:val="22"/>
            <w:szCs w:val="22"/>
          </w:rPr>
          <w:tab/>
          <w:t>15</w:t>
        </w:r>
      </w:hyperlink>
    </w:p>
    <w:p w14:paraId="1F702B6A" w14:textId="77777777" w:rsidR="00242F2D" w:rsidRDefault="00000000">
      <w:pPr>
        <w:tabs>
          <w:tab w:val="right" w:leader="dot" w:pos="9960"/>
        </w:tabs>
        <w:spacing w:before="60" w:line="240" w:lineRule="auto"/>
        <w:ind w:firstLine="0"/>
        <w:jc w:val="left"/>
      </w:pPr>
      <w:hyperlink w:anchor="_Toc032" w:history="1">
        <w:r>
          <w:rPr>
            <w:color w:val="000000"/>
            <w:sz w:val="22"/>
            <w:szCs w:val="22"/>
          </w:rPr>
          <w:t>7.4 Limitations</w:t>
        </w:r>
        <w:r>
          <w:rPr>
            <w:color w:val="000000"/>
            <w:sz w:val="22"/>
            <w:szCs w:val="22"/>
          </w:rPr>
          <w:tab/>
          <w:t>15</w:t>
        </w:r>
      </w:hyperlink>
    </w:p>
    <w:p w14:paraId="2D3E3A4E" w14:textId="77777777" w:rsidR="00242F2D" w:rsidRDefault="00000000">
      <w:pPr>
        <w:tabs>
          <w:tab w:val="right" w:leader="dot" w:pos="9960"/>
        </w:tabs>
        <w:spacing w:before="60" w:line="240" w:lineRule="auto"/>
        <w:ind w:left="0" w:firstLine="0"/>
        <w:jc w:val="left"/>
      </w:pPr>
      <w:hyperlink w:anchor="_Toc033" w:history="1">
        <w:r>
          <w:rPr>
            <w:b/>
            <w:bCs/>
            <w:color w:val="000000"/>
            <w:sz w:val="22"/>
            <w:szCs w:val="22"/>
          </w:rPr>
          <w:t>8.0 Conclusion and Future Scope</w:t>
        </w:r>
        <w:r>
          <w:rPr>
            <w:b/>
            <w:bCs/>
            <w:color w:val="000000"/>
            <w:sz w:val="22"/>
            <w:szCs w:val="22"/>
          </w:rPr>
          <w:tab/>
          <w:t>16</w:t>
        </w:r>
      </w:hyperlink>
    </w:p>
    <w:p w14:paraId="474F9009" w14:textId="77777777" w:rsidR="00242F2D" w:rsidRDefault="00000000">
      <w:pPr>
        <w:tabs>
          <w:tab w:val="right" w:leader="dot" w:pos="9960"/>
        </w:tabs>
        <w:spacing w:before="60" w:line="240" w:lineRule="auto"/>
        <w:ind w:left="0" w:firstLine="0"/>
        <w:jc w:val="left"/>
      </w:pPr>
      <w:hyperlink w:anchor="_TocRefs" w:history="1">
        <w:r>
          <w:rPr>
            <w:b/>
            <w:bCs/>
            <w:color w:val="000000"/>
            <w:sz w:val="22"/>
            <w:szCs w:val="22"/>
          </w:rPr>
          <w:t>References</w:t>
        </w:r>
        <w:r>
          <w:rPr>
            <w:b/>
            <w:bCs/>
            <w:color w:val="000000"/>
            <w:sz w:val="22"/>
            <w:szCs w:val="22"/>
          </w:rPr>
          <w:tab/>
          <w:t>17</w:t>
        </w:r>
      </w:hyperlink>
      <w:r>
        <w:fldChar w:fldCharType="end"/>
      </w:r>
    </w:p>
    <w:p w14:paraId="525590F8" w14:textId="77777777" w:rsidR="00242F2D" w:rsidRDefault="00000000">
      <w:pPr>
        <w:ind w:left="0" w:firstLine="0"/>
      </w:pPr>
      <w:r>
        <w:br w:type="page"/>
      </w:r>
    </w:p>
    <w:p w14:paraId="37A762EB" w14:textId="77777777" w:rsidR="00242F2D" w:rsidRDefault="00000000">
      <w:pPr>
        <w:pStyle w:val="Heading1"/>
        <w:ind w:left="0" w:firstLine="0"/>
        <w:jc w:val="left"/>
      </w:pPr>
      <w:bookmarkStart w:id="0" w:name="_Toc001"/>
      <w:bookmarkEnd w:id="0"/>
      <w:r>
        <w:lastRenderedPageBreak/>
        <w:t>1.0 Abstract</w:t>
      </w:r>
    </w:p>
    <w:p w14:paraId="2B8AAFA2" w14:textId="77777777" w:rsidR="00242F2D" w:rsidRDefault="00000000">
      <w:pPr>
        <w:spacing w:after="160"/>
        <w:ind w:left="360" w:firstLine="0"/>
      </w:pPr>
      <w:r>
        <w:t>Daily forecasts of digital payment volume help banks and payment networks plan server capacity, fraud monitoring and settlement liquidity. Daily volume depends strongly on the calendar: weekends, salary days, festivals and online sales all move it. This report implements the Prophet model to forecast daily Unified Payments Interface (UPI) transaction volume and examines the contribution of holiday and event information. Since the National Payments Corporation of India (NPCI) publishes UPI figures monthly, the study uses a synthetic daily series anchored to real NPCI monthly totals from January 2022 to August 2026, with holiday and event effects of known size. Five models were compared with rolling-origin cross-validation (10 folds, 90-day horizon): a seasonal-naive baseline, SARIMAX and three Prophet variants. Accuracy was measured with MAPE, WAPE, sMAPE, MAE, RMSE and mean forecast error, at 7-, 30- and 90-day lead horizons. Prophet with holidays and events achieved the lowest error, with a MAPE of 2.44% against 5.54% for seasonal naive and 4.73% for SARIMAX, and it remained the most accurate model at every horizon (2.15% at 7 days). Prophet also recovered most injected effects closely, including the payday lift (6.2% estimated against 6.0% true). All conclusions are limited to the synthetic data-generating assumptions and are not claims about real-world daily UPI accuracy.</w:t>
      </w:r>
    </w:p>
    <w:p w14:paraId="0280A0AA" w14:textId="77777777" w:rsidR="00242F2D" w:rsidRDefault="00000000">
      <w:pPr>
        <w:pStyle w:val="Heading1"/>
        <w:ind w:left="0" w:firstLine="0"/>
        <w:jc w:val="left"/>
      </w:pPr>
      <w:bookmarkStart w:id="1" w:name="_Toc002"/>
      <w:bookmarkEnd w:id="1"/>
      <w:r>
        <w:t>2.0 Introduction</w:t>
      </w:r>
    </w:p>
    <w:p w14:paraId="1BA03FD3" w14:textId="77777777" w:rsidR="00242F2D" w:rsidRDefault="00000000">
      <w:pPr>
        <w:spacing w:after="160"/>
        <w:ind w:left="360" w:firstLine="0"/>
      </w:pPr>
      <w:r>
        <w:t>The Unified Payments Interface (UPI), launched by NPCI in 2016, has become India's main channel for digital payments. Monthly UPI volume grew from about 4.6 billion transactions in January 2022 to about 24.5 billion in August 2026, more than five times in under five years. At this scale, even a small forecasting error means millions of transactions that servers, fraud systems and settlement teams were not prepared for.</w:t>
      </w:r>
    </w:p>
    <w:p w14:paraId="6DBD3F9E" w14:textId="77777777" w:rsidR="00242F2D" w:rsidRDefault="00000000">
      <w:pPr>
        <w:spacing w:after="160"/>
        <w:ind w:left="360" w:firstLine="0"/>
      </w:pPr>
      <w:r>
        <w:t>Daily payment volume is not smooth. It is higher on Saturdays and lower on Sundays, rises when salaries are credited at the start of the month, ramps up for about two weeks before Diwali, dips on national holidays and jumps during e-commerce sales. A forecast that ignores these calendar effects is wrong on exactly the days that matter most.</w:t>
      </w:r>
    </w:p>
    <w:p w14:paraId="103E8990" w14:textId="77777777" w:rsidR="00242F2D" w:rsidRDefault="00000000">
      <w:pPr>
        <w:spacing w:after="160"/>
        <w:ind w:left="360" w:firstLine="0"/>
      </w:pPr>
      <w:r>
        <w:t>Prophet, developed at Facebook (now Meta), is a forecasting model built for this kind of business data. It splits a series into a trend, seasonal patterns, holiday effects and extra regressors, and it lets the analyst list holidays and events directly. This project tests how well Prophet uses that calendar information. It addresses four questions:</w:t>
      </w:r>
    </w:p>
    <w:p w14:paraId="4A3001D9" w14:textId="77777777" w:rsidR="00242F2D" w:rsidRDefault="00000000">
      <w:pPr>
        <w:numPr>
          <w:ilvl w:val="0"/>
          <w:numId w:val="1"/>
        </w:numPr>
        <w:spacing w:after="80"/>
        <w:ind w:left="1080"/>
      </w:pPr>
      <w:r>
        <w:t>Does adding holidays and events to Prophet improve forecast accuracy, and on which days?</w:t>
      </w:r>
    </w:p>
    <w:p w14:paraId="2EC3C5F0" w14:textId="77777777" w:rsidR="00242F2D" w:rsidRDefault="00000000">
      <w:pPr>
        <w:numPr>
          <w:ilvl w:val="0"/>
          <w:numId w:val="1"/>
        </w:numPr>
        <w:spacing w:after="80"/>
        <w:ind w:left="1080"/>
      </w:pPr>
      <w:r>
        <w:t>Does Prophet recover the true size of each holiday and event effect?</w:t>
      </w:r>
    </w:p>
    <w:p w14:paraId="278D5571" w14:textId="77777777" w:rsidR="00242F2D" w:rsidRDefault="00000000">
      <w:pPr>
        <w:numPr>
          <w:ilvl w:val="0"/>
          <w:numId w:val="1"/>
        </w:numPr>
        <w:spacing w:after="80"/>
        <w:ind w:left="1080"/>
      </w:pPr>
      <w:r>
        <w:t>How does Prophet compare with SARIMAX, the classical model covered in the course?</w:t>
      </w:r>
    </w:p>
    <w:p w14:paraId="74138DF0" w14:textId="77777777" w:rsidR="00242F2D" w:rsidRDefault="00000000">
      <w:pPr>
        <w:numPr>
          <w:ilvl w:val="0"/>
          <w:numId w:val="1"/>
        </w:numPr>
        <w:spacing w:after="80"/>
        <w:ind w:left="1080"/>
      </w:pPr>
      <w:r>
        <w:t>What does the model forecast for September 2026 to February 2027?</w:t>
      </w:r>
    </w:p>
    <w:p w14:paraId="2D3931BD" w14:textId="77777777" w:rsidR="00242F2D" w:rsidRDefault="00000000">
      <w:pPr>
        <w:spacing w:after="160"/>
        <w:ind w:left="360" w:firstLine="0"/>
      </w:pPr>
      <w:r>
        <w:t>Section 3 reviews the relevant literature. Section 4 describes the data, Section 5 the methods and evaluation metrics, Section 6 the results and additional horizon/fold analyses, Section 7 discusses the findings and limitations, and Section 8 concludes.</w:t>
      </w:r>
    </w:p>
    <w:p w14:paraId="0635FBC0" w14:textId="77777777" w:rsidR="00242F2D" w:rsidRDefault="00000000">
      <w:pPr>
        <w:ind w:left="0" w:firstLine="0"/>
      </w:pPr>
      <w:r>
        <w:lastRenderedPageBreak/>
        <w:br w:type="page"/>
      </w:r>
    </w:p>
    <w:p w14:paraId="6007B14A" w14:textId="77777777" w:rsidR="00242F2D" w:rsidRDefault="00000000">
      <w:pPr>
        <w:pStyle w:val="Heading1"/>
        <w:ind w:left="0" w:firstLine="0"/>
        <w:jc w:val="left"/>
      </w:pPr>
      <w:bookmarkStart w:id="2" w:name="_Toc003"/>
      <w:bookmarkEnd w:id="2"/>
      <w:r>
        <w:lastRenderedPageBreak/>
        <w:t>3.0 Literature Review</w:t>
      </w:r>
    </w:p>
    <w:p w14:paraId="22295B19" w14:textId="77777777" w:rsidR="00242F2D" w:rsidRDefault="00000000">
      <w:pPr>
        <w:pStyle w:val="Heading3"/>
        <w:ind w:left="0" w:firstLine="0"/>
        <w:jc w:val="left"/>
      </w:pPr>
      <w:bookmarkStart w:id="3" w:name="_Toc004"/>
      <w:bookmarkEnd w:id="3"/>
      <w:r>
        <w:t>3.1 ARIMA and SARIMAX Models</w:t>
      </w:r>
    </w:p>
    <w:p w14:paraId="2798812F" w14:textId="77777777" w:rsidR="00242F2D" w:rsidRDefault="00000000">
      <w:pPr>
        <w:spacing w:after="160"/>
        <w:ind w:left="360" w:firstLine="0"/>
      </w:pPr>
      <w:r>
        <w:t>The Box-Jenkins approach models a series through its own past values (autoregressive terms), past errors (moving average terms) and differencing to remove trends [2]. Seasonal ARIMA (SARIMA) adds the same terms at a seasonal lag, such as 7 days for weekly patterns. SARIMAX further adds exogenous variables, for example holiday indicators. Model orders are usually chosen by the Akaike Information Criterion (AIC) [10], and the residuals are checked with the Ljung-Box test for leftover autocorrelation [7]. These models describe short-term dependence well, but their forecast uncertainty grows quickly with the forecast horizon.</w:t>
      </w:r>
    </w:p>
    <w:p w14:paraId="20A0BD45" w14:textId="77777777" w:rsidR="00242F2D" w:rsidRDefault="00000000">
      <w:pPr>
        <w:pStyle w:val="Heading3"/>
        <w:ind w:left="0" w:firstLine="0"/>
        <w:jc w:val="left"/>
      </w:pPr>
      <w:bookmarkStart w:id="4" w:name="_Toc005"/>
      <w:bookmarkEnd w:id="4"/>
      <w:r>
        <w:t>3.2 The Prophet Model</w:t>
      </w:r>
    </w:p>
    <w:p w14:paraId="5189C7B2" w14:textId="77777777" w:rsidR="00242F2D" w:rsidRDefault="00000000">
      <w:pPr>
        <w:spacing w:after="160"/>
        <w:ind w:left="360" w:firstLine="0"/>
      </w:pPr>
      <w:r>
        <w:t>Taylor and Letham [1] proposed Prophet as a decomposable model: a piecewise-linear trend whose slope can change at points called changepoints, seasonal patterns written as Fourier series, holiday effects with a window of days around each date, and optional regressors. The model is fitted in the probabilistic language Stan, with prior distributions that keep each component from overfitting. Prophet was designed so that analysts with domain knowledge, such as which festivals matter, can feed that knowledge into the model directly instead of tuning ARIMA orders.</w:t>
      </w:r>
    </w:p>
    <w:p w14:paraId="2DBEEA61" w14:textId="77777777" w:rsidR="00242F2D" w:rsidRDefault="00000000">
      <w:pPr>
        <w:pStyle w:val="Heading3"/>
        <w:ind w:left="0" w:firstLine="0"/>
        <w:jc w:val="left"/>
      </w:pPr>
      <w:bookmarkStart w:id="5" w:name="_Toc006"/>
      <w:bookmarkEnd w:id="5"/>
      <w:r>
        <w:t>3.3 Holiday and Event Effects</w:t>
      </w:r>
    </w:p>
    <w:p w14:paraId="1032689A" w14:textId="77777777" w:rsidR="00242F2D" w:rsidRDefault="00000000">
      <w:pPr>
        <w:spacing w:after="160"/>
        <w:ind w:left="360" w:firstLine="0"/>
      </w:pPr>
      <w:r>
        <w:t>Calendar effects are central in retail sales, electricity demand and payment volumes [3]. Festivals that follow the lunar calendar, such as Diwali, Holi and Eid, move by several weeks from year to year, so a fixed yearly seasonal pattern cannot capture them. The standard approach is to add indicator variables for each holiday, often for several days before and after it, so that build-up and recovery effects are captured [3].</w:t>
      </w:r>
    </w:p>
    <w:p w14:paraId="78E39BDB" w14:textId="77777777" w:rsidR="00242F2D" w:rsidRDefault="00000000">
      <w:pPr>
        <w:pStyle w:val="Heading3"/>
        <w:ind w:left="0" w:firstLine="0"/>
        <w:jc w:val="left"/>
      </w:pPr>
      <w:bookmarkStart w:id="6" w:name="_Toc007"/>
      <w:bookmarkEnd w:id="6"/>
      <w:r>
        <w:t>3.4 Forecast Evaluation</w:t>
      </w:r>
    </w:p>
    <w:p w14:paraId="4EDF1E70" w14:textId="77777777" w:rsidR="00242F2D" w:rsidRDefault="00000000">
      <w:pPr>
        <w:spacing w:after="160"/>
        <w:ind w:left="360" w:firstLine="0"/>
      </w:pPr>
      <w:r>
        <w:t>A model that fits its training data well does not necessarily forecast well. Tashman [9] recommends rolling-origin evaluation: the model is trained up to a cutoff date, forecasts the period after it, and the cutoff is then moved forward. Every error is measured on data the model has not seen. We use this design throughout.</w:t>
      </w:r>
    </w:p>
    <w:p w14:paraId="609F8E85" w14:textId="77777777" w:rsidR="00242F2D" w:rsidRDefault="00000000">
      <w:pPr>
        <w:pStyle w:val="Heading3"/>
        <w:ind w:left="0" w:firstLine="0"/>
        <w:jc w:val="left"/>
      </w:pPr>
      <w:bookmarkStart w:id="7" w:name="_Toc008"/>
      <w:bookmarkEnd w:id="7"/>
      <w:r>
        <w:t>3.5 Research Gap</w:t>
      </w:r>
    </w:p>
    <w:p w14:paraId="642B6A5E" w14:textId="77777777" w:rsidR="00242F2D" w:rsidRDefault="00000000">
      <w:pPr>
        <w:spacing w:after="160"/>
        <w:ind w:left="360" w:firstLine="0"/>
      </w:pPr>
      <w:r>
        <w:t>There is no public daily UPI series, so the effect of festivals on daily UPI volume has not been measured directly. More generally, with real data the true size of a holiday effect is never known, so it is hard to tell whether a model estimates it correctly. A synthetic series with known effects, anchored to real monthly totals, allows both forecast accuracy and effect recovery to be tested.</w:t>
      </w:r>
    </w:p>
    <w:p w14:paraId="709C811F" w14:textId="77777777" w:rsidR="00242F2D" w:rsidRDefault="00000000">
      <w:pPr>
        <w:ind w:left="0" w:firstLine="0"/>
      </w:pPr>
      <w:r>
        <w:br w:type="page"/>
      </w:r>
    </w:p>
    <w:p w14:paraId="3F126E75" w14:textId="77777777" w:rsidR="00242F2D" w:rsidRDefault="00000000">
      <w:pPr>
        <w:pStyle w:val="Heading1"/>
        <w:ind w:left="0" w:firstLine="0"/>
        <w:jc w:val="left"/>
      </w:pPr>
      <w:bookmarkStart w:id="8" w:name="_Toc009"/>
      <w:bookmarkEnd w:id="8"/>
      <w:r>
        <w:lastRenderedPageBreak/>
        <w:t>4.0 Data</w:t>
      </w:r>
    </w:p>
    <w:p w14:paraId="4124636F" w14:textId="77777777" w:rsidR="00242F2D" w:rsidRDefault="00000000">
      <w:pPr>
        <w:pStyle w:val="Heading3"/>
        <w:ind w:left="0" w:firstLine="0"/>
        <w:jc w:val="left"/>
      </w:pPr>
      <w:bookmarkStart w:id="9" w:name="_Toc010"/>
      <w:bookmarkEnd w:id="9"/>
      <w:r>
        <w:t>4.1 NPCI Monthly Data</w:t>
      </w:r>
    </w:p>
    <w:p w14:paraId="2C076680" w14:textId="77777777" w:rsidR="00242F2D" w:rsidRDefault="00000000">
      <w:pPr>
        <w:spacing w:after="160"/>
        <w:ind w:left="360" w:firstLine="0"/>
      </w:pPr>
      <w:r>
        <w:t>NPCI publishes UPI ecosystem statistics on its website [11], one month at a time. We collected total, person-to-person (P2P) and person-to-merchant (P2M) volume and value for January 2022 to August 2026 (56 months), using an automated browser (Playwright) because the page is rendered with JavaScript. Every month passed the check P2P + P2M = total. Data before 2022 sits in an archived view that could not be collected reliably, so the study starts in January 2022, after the COVID-19 lockdowns.</w:t>
      </w:r>
    </w:p>
    <w:p w14:paraId="32F419C9" w14:textId="77777777" w:rsidR="00242F2D" w:rsidRDefault="00000000">
      <w:pPr>
        <w:pStyle w:val="Heading3"/>
        <w:ind w:left="0" w:firstLine="0"/>
        <w:jc w:val="left"/>
      </w:pPr>
      <w:bookmarkStart w:id="10" w:name="_Toc011"/>
      <w:bookmarkEnd w:id="10"/>
      <w:r>
        <w:t>4.2 Synthetic Daily Series</w:t>
      </w:r>
    </w:p>
    <w:p w14:paraId="598E1354" w14:textId="77777777" w:rsidR="00242F2D" w:rsidRDefault="00000000">
      <w:pPr>
        <w:spacing w:after="160"/>
        <w:ind w:left="360" w:firstLine="0"/>
      </w:pPr>
      <w:r>
        <w:t>Prophet's holiday modelling needs daily data, because a two-week festival effect disappears inside a monthly total. We therefore generated a daily series in which each day's volume is the product of six components:</w:t>
      </w:r>
    </w:p>
    <w:p w14:paraId="3A885927" w14:textId="77777777" w:rsidR="00242F2D" w:rsidRDefault="00000000">
      <w:pPr>
        <w:spacing w:after="200"/>
        <w:ind w:left="0" w:firstLine="0"/>
        <w:jc w:val="center"/>
      </w:pPr>
      <w:r>
        <w:rPr>
          <w:i/>
          <w:iCs/>
        </w:rPr>
        <w:t>y(t) = trend(t) × weekday(t) × monthday(t) × holiday(t) × sale(t) × noise(t)</w:t>
      </w:r>
    </w:p>
    <w:p w14:paraId="1BD10CA1" w14:textId="77777777" w:rsidR="00242F2D" w:rsidRDefault="00000000">
      <w:pPr>
        <w:keepNext/>
        <w:spacing w:before="120" w:after="80" w:line="240" w:lineRule="auto"/>
        <w:ind w:left="0" w:firstLine="0"/>
        <w:jc w:val="center"/>
      </w:pPr>
      <w:r>
        <w:rPr>
          <w:b/>
          <w:bCs/>
          <w:sz w:val="18"/>
          <w:szCs w:val="18"/>
        </w:rPr>
        <w:t>Table 1: Components of the synthetic daily series</w:t>
      </w:r>
    </w:p>
    <w:tbl>
      <w:tblPr>
        <w:tblStyle w:val="TableNormal0"/>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872"/>
        <w:gridCol w:w="4608"/>
        <w:gridCol w:w="2880"/>
      </w:tblGrid>
      <w:tr w:rsidR="00242F2D" w14:paraId="722BEE01" w14:textId="77777777">
        <w:trPr>
          <w:tblHeader/>
          <w:jc w:val="center"/>
        </w:trPr>
        <w:tc>
          <w:tcPr>
            <w:tcW w:w="1872" w:type="dxa"/>
            <w:shd w:val="clear" w:color="auto" w:fill="D9D9D9"/>
            <w:vAlign w:val="center"/>
          </w:tcPr>
          <w:p w14:paraId="3DDE3FB3" w14:textId="77777777" w:rsidR="00242F2D" w:rsidRDefault="00000000">
            <w:pPr>
              <w:spacing w:before="40" w:after="40" w:line="240" w:lineRule="auto"/>
              <w:ind w:left="0" w:firstLine="0"/>
              <w:jc w:val="left"/>
            </w:pPr>
            <w:r>
              <w:rPr>
                <w:b/>
                <w:bCs/>
                <w:sz w:val="20"/>
                <w:szCs w:val="20"/>
              </w:rPr>
              <w:t>Component</w:t>
            </w:r>
          </w:p>
        </w:tc>
        <w:tc>
          <w:tcPr>
            <w:tcW w:w="4608" w:type="dxa"/>
            <w:shd w:val="clear" w:color="auto" w:fill="D9D9D9"/>
            <w:vAlign w:val="center"/>
          </w:tcPr>
          <w:p w14:paraId="123E8D3F" w14:textId="77777777" w:rsidR="00242F2D" w:rsidRDefault="00000000">
            <w:pPr>
              <w:spacing w:before="40" w:after="40" w:line="240" w:lineRule="auto"/>
              <w:ind w:left="0" w:firstLine="0"/>
              <w:jc w:val="center"/>
            </w:pPr>
            <w:r>
              <w:rPr>
                <w:b/>
                <w:bCs/>
                <w:sz w:val="20"/>
                <w:szCs w:val="20"/>
              </w:rPr>
              <w:t>How it is built</w:t>
            </w:r>
          </w:p>
        </w:tc>
        <w:tc>
          <w:tcPr>
            <w:tcW w:w="2880" w:type="dxa"/>
            <w:shd w:val="clear" w:color="auto" w:fill="D9D9D9"/>
            <w:vAlign w:val="center"/>
          </w:tcPr>
          <w:p w14:paraId="04BD6DDA" w14:textId="77777777" w:rsidR="00242F2D" w:rsidRDefault="00000000">
            <w:pPr>
              <w:spacing w:before="40" w:after="40" w:line="240" w:lineRule="auto"/>
              <w:ind w:left="0" w:firstLine="0"/>
              <w:jc w:val="center"/>
            </w:pPr>
            <w:r>
              <w:rPr>
                <w:b/>
                <w:bCs/>
                <w:sz w:val="20"/>
                <w:szCs w:val="20"/>
              </w:rPr>
              <w:t>Size</w:t>
            </w:r>
          </w:p>
        </w:tc>
      </w:tr>
      <w:tr w:rsidR="00242F2D" w14:paraId="0999996A" w14:textId="77777777">
        <w:trPr>
          <w:jc w:val="center"/>
        </w:trPr>
        <w:tc>
          <w:tcPr>
            <w:tcW w:w="1872" w:type="dxa"/>
            <w:vAlign w:val="center"/>
          </w:tcPr>
          <w:p w14:paraId="1A5683D8" w14:textId="77777777" w:rsidR="00242F2D" w:rsidRDefault="00000000">
            <w:pPr>
              <w:spacing w:before="40" w:after="40" w:line="240" w:lineRule="auto"/>
              <w:ind w:left="0" w:firstLine="0"/>
              <w:jc w:val="left"/>
            </w:pPr>
            <w:r>
              <w:rPr>
                <w:sz w:val="20"/>
                <w:szCs w:val="20"/>
              </w:rPr>
              <w:t>Trend</w:t>
            </w:r>
          </w:p>
        </w:tc>
        <w:tc>
          <w:tcPr>
            <w:tcW w:w="4608" w:type="dxa"/>
            <w:vAlign w:val="center"/>
          </w:tcPr>
          <w:p w14:paraId="040CA31B" w14:textId="77777777" w:rsidR="00242F2D" w:rsidRDefault="00000000">
            <w:pPr>
              <w:spacing w:before="40" w:after="40" w:line="240" w:lineRule="auto"/>
              <w:ind w:left="0" w:firstLine="0"/>
              <w:jc w:val="center"/>
            </w:pPr>
            <w:r>
              <w:rPr>
                <w:sz w:val="20"/>
                <w:szCs w:val="20"/>
              </w:rPr>
              <w:t>Smooth curve through NPCI monthly averages (log scale)</w:t>
            </w:r>
          </w:p>
        </w:tc>
        <w:tc>
          <w:tcPr>
            <w:tcW w:w="2880" w:type="dxa"/>
            <w:vAlign w:val="center"/>
          </w:tcPr>
          <w:p w14:paraId="73D9E7AC" w14:textId="77777777" w:rsidR="00242F2D" w:rsidRDefault="00000000">
            <w:pPr>
              <w:spacing w:before="40" w:after="40" w:line="240" w:lineRule="auto"/>
              <w:ind w:left="0" w:firstLine="0"/>
              <w:jc w:val="center"/>
            </w:pPr>
            <w:r>
              <w:rPr>
                <w:sz w:val="20"/>
                <w:szCs w:val="20"/>
              </w:rPr>
              <w:t>About 150 to 790 million a day</w:t>
            </w:r>
          </w:p>
        </w:tc>
      </w:tr>
      <w:tr w:rsidR="00242F2D" w14:paraId="7B07EC08" w14:textId="77777777">
        <w:trPr>
          <w:jc w:val="center"/>
        </w:trPr>
        <w:tc>
          <w:tcPr>
            <w:tcW w:w="1872" w:type="dxa"/>
            <w:vAlign w:val="center"/>
          </w:tcPr>
          <w:p w14:paraId="649F2895" w14:textId="77777777" w:rsidR="00242F2D" w:rsidRDefault="00000000">
            <w:pPr>
              <w:spacing w:before="40" w:after="40" w:line="240" w:lineRule="auto"/>
              <w:ind w:left="0" w:firstLine="0"/>
              <w:jc w:val="left"/>
            </w:pPr>
            <w:r>
              <w:rPr>
                <w:sz w:val="20"/>
                <w:szCs w:val="20"/>
              </w:rPr>
              <w:t>Weekday</w:t>
            </w:r>
          </w:p>
        </w:tc>
        <w:tc>
          <w:tcPr>
            <w:tcW w:w="4608" w:type="dxa"/>
            <w:vAlign w:val="center"/>
          </w:tcPr>
          <w:p w14:paraId="48E4DB5B" w14:textId="77777777" w:rsidR="00242F2D" w:rsidRDefault="00000000">
            <w:pPr>
              <w:spacing w:before="40" w:after="40" w:line="240" w:lineRule="auto"/>
              <w:ind w:left="0" w:firstLine="0"/>
              <w:jc w:val="center"/>
            </w:pPr>
            <w:r>
              <w:rPr>
                <w:sz w:val="20"/>
                <w:szCs w:val="20"/>
              </w:rPr>
              <w:t>Fixed multiplier per day of week</w:t>
            </w:r>
          </w:p>
        </w:tc>
        <w:tc>
          <w:tcPr>
            <w:tcW w:w="2880" w:type="dxa"/>
            <w:vAlign w:val="center"/>
          </w:tcPr>
          <w:p w14:paraId="0EC01C3C" w14:textId="77777777" w:rsidR="00242F2D" w:rsidRDefault="00000000">
            <w:pPr>
              <w:spacing w:before="40" w:after="40" w:line="240" w:lineRule="auto"/>
              <w:ind w:left="0" w:firstLine="0"/>
              <w:jc w:val="center"/>
            </w:pPr>
            <w:r>
              <w:rPr>
                <w:sz w:val="20"/>
                <w:szCs w:val="20"/>
              </w:rPr>
              <w:t>Saturday +3%, Sunday -7%</w:t>
            </w:r>
          </w:p>
        </w:tc>
      </w:tr>
      <w:tr w:rsidR="00242F2D" w14:paraId="1F96244D" w14:textId="77777777">
        <w:trPr>
          <w:jc w:val="center"/>
        </w:trPr>
        <w:tc>
          <w:tcPr>
            <w:tcW w:w="1872" w:type="dxa"/>
            <w:vAlign w:val="center"/>
          </w:tcPr>
          <w:p w14:paraId="79F6DE9F" w14:textId="77777777" w:rsidR="00242F2D" w:rsidRDefault="00000000">
            <w:pPr>
              <w:spacing w:before="40" w:after="40" w:line="240" w:lineRule="auto"/>
              <w:ind w:left="0" w:firstLine="0"/>
              <w:jc w:val="left"/>
            </w:pPr>
            <w:r>
              <w:rPr>
                <w:sz w:val="20"/>
                <w:szCs w:val="20"/>
              </w:rPr>
              <w:t>Payday</w:t>
            </w:r>
          </w:p>
        </w:tc>
        <w:tc>
          <w:tcPr>
            <w:tcW w:w="4608" w:type="dxa"/>
            <w:vAlign w:val="center"/>
          </w:tcPr>
          <w:p w14:paraId="0EC77360" w14:textId="77777777" w:rsidR="00242F2D" w:rsidRDefault="00000000">
            <w:pPr>
              <w:spacing w:before="40" w:after="40" w:line="240" w:lineRule="auto"/>
              <w:ind w:left="0" w:firstLine="0"/>
              <w:jc w:val="center"/>
            </w:pPr>
            <w:r>
              <w:rPr>
                <w:sz w:val="20"/>
                <w:szCs w:val="20"/>
              </w:rPr>
              <w:t>Days 1 to 5 of each month</w:t>
            </w:r>
          </w:p>
        </w:tc>
        <w:tc>
          <w:tcPr>
            <w:tcW w:w="2880" w:type="dxa"/>
            <w:vAlign w:val="center"/>
          </w:tcPr>
          <w:p w14:paraId="14A1D5DC" w14:textId="77777777" w:rsidR="00242F2D" w:rsidRDefault="00000000">
            <w:pPr>
              <w:spacing w:before="40" w:after="40" w:line="240" w:lineRule="auto"/>
              <w:ind w:left="0" w:firstLine="0"/>
              <w:jc w:val="center"/>
            </w:pPr>
            <w:r>
              <w:rPr>
                <w:sz w:val="20"/>
                <w:szCs w:val="20"/>
              </w:rPr>
              <w:t>+6%</w:t>
            </w:r>
          </w:p>
        </w:tc>
      </w:tr>
      <w:tr w:rsidR="00242F2D" w14:paraId="5AFDD6AE" w14:textId="77777777">
        <w:trPr>
          <w:jc w:val="center"/>
        </w:trPr>
        <w:tc>
          <w:tcPr>
            <w:tcW w:w="1872" w:type="dxa"/>
            <w:vAlign w:val="center"/>
          </w:tcPr>
          <w:p w14:paraId="5DFB6D78" w14:textId="77777777" w:rsidR="00242F2D" w:rsidRDefault="00000000">
            <w:pPr>
              <w:spacing w:before="40" w:after="40" w:line="240" w:lineRule="auto"/>
              <w:ind w:left="0" w:firstLine="0"/>
              <w:jc w:val="left"/>
            </w:pPr>
            <w:r>
              <w:rPr>
                <w:sz w:val="20"/>
                <w:szCs w:val="20"/>
              </w:rPr>
              <w:t>Month-end</w:t>
            </w:r>
          </w:p>
        </w:tc>
        <w:tc>
          <w:tcPr>
            <w:tcW w:w="4608" w:type="dxa"/>
            <w:vAlign w:val="center"/>
          </w:tcPr>
          <w:p w14:paraId="11A38A16" w14:textId="77777777" w:rsidR="00242F2D" w:rsidRDefault="00000000">
            <w:pPr>
              <w:spacing w:before="40" w:after="40" w:line="240" w:lineRule="auto"/>
              <w:ind w:left="0" w:firstLine="0"/>
              <w:jc w:val="center"/>
            </w:pPr>
            <w:r>
              <w:rPr>
                <w:sz w:val="20"/>
                <w:szCs w:val="20"/>
              </w:rPr>
              <w:t>Last two days of each month</w:t>
            </w:r>
          </w:p>
        </w:tc>
        <w:tc>
          <w:tcPr>
            <w:tcW w:w="2880" w:type="dxa"/>
            <w:vAlign w:val="center"/>
          </w:tcPr>
          <w:p w14:paraId="49F51A46" w14:textId="77777777" w:rsidR="00242F2D" w:rsidRDefault="00000000">
            <w:pPr>
              <w:spacing w:before="40" w:after="40" w:line="240" w:lineRule="auto"/>
              <w:ind w:left="0" w:firstLine="0"/>
              <w:jc w:val="center"/>
            </w:pPr>
            <w:r>
              <w:rPr>
                <w:sz w:val="20"/>
                <w:szCs w:val="20"/>
              </w:rPr>
              <w:t>+3%</w:t>
            </w:r>
          </w:p>
        </w:tc>
      </w:tr>
      <w:tr w:rsidR="00242F2D" w14:paraId="6B16FA14" w14:textId="77777777">
        <w:trPr>
          <w:jc w:val="center"/>
        </w:trPr>
        <w:tc>
          <w:tcPr>
            <w:tcW w:w="1872" w:type="dxa"/>
            <w:vAlign w:val="center"/>
          </w:tcPr>
          <w:p w14:paraId="5721B696" w14:textId="77777777" w:rsidR="00242F2D" w:rsidRDefault="00000000">
            <w:pPr>
              <w:spacing w:before="40" w:after="40" w:line="240" w:lineRule="auto"/>
              <w:ind w:left="0" w:firstLine="0"/>
              <w:jc w:val="left"/>
            </w:pPr>
            <w:r>
              <w:rPr>
                <w:sz w:val="20"/>
                <w:szCs w:val="20"/>
              </w:rPr>
              <w:t>Holidays</w:t>
            </w:r>
          </w:p>
        </w:tc>
        <w:tc>
          <w:tcPr>
            <w:tcW w:w="4608" w:type="dxa"/>
            <w:vAlign w:val="center"/>
          </w:tcPr>
          <w:p w14:paraId="43668F7A" w14:textId="77777777" w:rsidR="00242F2D" w:rsidRDefault="00000000">
            <w:pPr>
              <w:spacing w:before="40" w:after="40" w:line="240" w:lineRule="auto"/>
              <w:ind w:left="0" w:firstLine="0"/>
              <w:jc w:val="center"/>
            </w:pPr>
            <w:r>
              <w:rPr>
                <w:sz w:val="20"/>
                <w:szCs w:val="20"/>
              </w:rPr>
              <w:t>Festival and national holiday windows (Table 2)</w:t>
            </w:r>
          </w:p>
        </w:tc>
        <w:tc>
          <w:tcPr>
            <w:tcW w:w="2880" w:type="dxa"/>
            <w:vAlign w:val="center"/>
          </w:tcPr>
          <w:p w14:paraId="509B263E" w14:textId="77777777" w:rsidR="00242F2D" w:rsidRDefault="00000000">
            <w:pPr>
              <w:spacing w:before="40" w:after="40" w:line="240" w:lineRule="auto"/>
              <w:ind w:left="0" w:firstLine="0"/>
              <w:jc w:val="center"/>
            </w:pPr>
            <w:r>
              <w:rPr>
                <w:sz w:val="20"/>
                <w:szCs w:val="20"/>
              </w:rPr>
              <w:t>-10% to +20%</w:t>
            </w:r>
          </w:p>
        </w:tc>
      </w:tr>
      <w:tr w:rsidR="00242F2D" w14:paraId="14B38865" w14:textId="77777777">
        <w:trPr>
          <w:jc w:val="center"/>
        </w:trPr>
        <w:tc>
          <w:tcPr>
            <w:tcW w:w="1872" w:type="dxa"/>
            <w:vAlign w:val="center"/>
          </w:tcPr>
          <w:p w14:paraId="6B84BE22" w14:textId="77777777" w:rsidR="00242F2D" w:rsidRDefault="00000000">
            <w:pPr>
              <w:spacing w:before="40" w:after="40" w:line="240" w:lineRule="auto"/>
              <w:ind w:left="0" w:firstLine="0"/>
              <w:jc w:val="left"/>
            </w:pPr>
            <w:r>
              <w:rPr>
                <w:sz w:val="20"/>
                <w:szCs w:val="20"/>
              </w:rPr>
              <w:t>Sale</w:t>
            </w:r>
          </w:p>
        </w:tc>
        <w:tc>
          <w:tcPr>
            <w:tcW w:w="4608" w:type="dxa"/>
            <w:vAlign w:val="center"/>
          </w:tcPr>
          <w:p w14:paraId="5E7F1BB4" w14:textId="77777777" w:rsidR="00242F2D" w:rsidRDefault="00000000">
            <w:pPr>
              <w:spacing w:before="40" w:after="40" w:line="240" w:lineRule="auto"/>
              <w:ind w:left="0" w:firstLine="0"/>
              <w:jc w:val="center"/>
            </w:pPr>
            <w:r>
              <w:rPr>
                <w:sz w:val="20"/>
                <w:szCs w:val="20"/>
              </w:rPr>
              <w:t>One 4 to 6 day e-commerce sale per year</w:t>
            </w:r>
          </w:p>
        </w:tc>
        <w:tc>
          <w:tcPr>
            <w:tcW w:w="2880" w:type="dxa"/>
            <w:vAlign w:val="center"/>
          </w:tcPr>
          <w:p w14:paraId="4D56C43F" w14:textId="77777777" w:rsidR="00242F2D" w:rsidRDefault="00000000">
            <w:pPr>
              <w:spacing w:before="40" w:after="40" w:line="240" w:lineRule="auto"/>
              <w:ind w:left="0" w:firstLine="0"/>
              <w:jc w:val="center"/>
            </w:pPr>
            <w:r>
              <w:rPr>
                <w:sz w:val="20"/>
                <w:szCs w:val="20"/>
              </w:rPr>
              <w:t>+8% to +12%</w:t>
            </w:r>
          </w:p>
        </w:tc>
      </w:tr>
      <w:tr w:rsidR="00242F2D" w14:paraId="3A282127" w14:textId="77777777">
        <w:trPr>
          <w:jc w:val="center"/>
        </w:trPr>
        <w:tc>
          <w:tcPr>
            <w:tcW w:w="1872" w:type="dxa"/>
            <w:vAlign w:val="center"/>
          </w:tcPr>
          <w:p w14:paraId="4684468F" w14:textId="77777777" w:rsidR="00242F2D" w:rsidRDefault="00000000">
            <w:pPr>
              <w:spacing w:before="40" w:after="40" w:line="240" w:lineRule="auto"/>
              <w:ind w:left="0" w:firstLine="0"/>
              <w:jc w:val="left"/>
            </w:pPr>
            <w:r>
              <w:rPr>
                <w:sz w:val="20"/>
                <w:szCs w:val="20"/>
              </w:rPr>
              <w:t>Noise</w:t>
            </w:r>
          </w:p>
        </w:tc>
        <w:tc>
          <w:tcPr>
            <w:tcW w:w="4608" w:type="dxa"/>
            <w:vAlign w:val="center"/>
          </w:tcPr>
          <w:p w14:paraId="5B93BACF" w14:textId="77777777" w:rsidR="00242F2D" w:rsidRDefault="00000000">
            <w:pPr>
              <w:spacing w:before="40" w:after="40" w:line="240" w:lineRule="auto"/>
              <w:ind w:left="0" w:firstLine="0"/>
              <w:jc w:val="center"/>
            </w:pPr>
            <w:r>
              <w:rPr>
                <w:sz w:val="20"/>
                <w:szCs w:val="20"/>
              </w:rPr>
              <w:t>Autocorrelated noise, AR(1)</w:t>
            </w:r>
          </w:p>
        </w:tc>
        <w:tc>
          <w:tcPr>
            <w:tcW w:w="2880" w:type="dxa"/>
            <w:vAlign w:val="center"/>
          </w:tcPr>
          <w:p w14:paraId="4D726F64" w14:textId="77777777" w:rsidR="00242F2D" w:rsidRDefault="00000000">
            <w:pPr>
              <w:spacing w:before="40" w:after="40" w:line="240" w:lineRule="auto"/>
              <w:ind w:left="0" w:firstLine="0"/>
              <w:jc w:val="center"/>
            </w:pPr>
            <w:r>
              <w:rPr>
                <w:sz w:val="20"/>
                <w:szCs w:val="20"/>
              </w:rPr>
              <w:t>phi = 0.3, sigma = 2.5%</w:t>
            </w:r>
          </w:p>
        </w:tc>
      </w:tr>
    </w:tbl>
    <w:p w14:paraId="308C9622" w14:textId="77777777" w:rsidR="00242F2D" w:rsidRDefault="00242F2D">
      <w:pPr>
        <w:spacing w:after="120"/>
        <w:ind w:left="0" w:firstLine="0"/>
      </w:pPr>
    </w:p>
    <w:p w14:paraId="1C685C56" w14:textId="77777777" w:rsidR="00242F2D" w:rsidRDefault="00000000">
      <w:pPr>
        <w:spacing w:after="160"/>
        <w:ind w:left="360" w:firstLine="0"/>
      </w:pPr>
      <w:r>
        <w:t>Because every effect is injected with a known size, the true effect on each day is stored with the data. This is the ground truth that Prophet's estimates are compared against in Section 6.4.</w:t>
      </w:r>
    </w:p>
    <w:p w14:paraId="6AAB1BBE" w14:textId="77777777" w:rsidR="00242F2D" w:rsidRDefault="00000000">
      <w:pPr>
        <w:pStyle w:val="Heading3"/>
        <w:ind w:left="0" w:firstLine="0"/>
        <w:jc w:val="left"/>
      </w:pPr>
      <w:bookmarkStart w:id="11" w:name="_Toc012"/>
      <w:bookmarkEnd w:id="11"/>
      <w:r>
        <w:t>4.3 Anchoring to NPCI Totals and a Correction</w:t>
      </w:r>
    </w:p>
    <w:p w14:paraId="41543352" w14:textId="77777777" w:rsidR="00242F2D" w:rsidRDefault="00000000">
      <w:pPr>
        <w:spacing w:after="160"/>
        <w:ind w:left="360" w:firstLine="0"/>
      </w:pPr>
      <w:r>
        <w:t>Each month of the synthetic series is scaled so that it sums exactly to the real NPCI total. In the first version of the generator, this was applied to every month, including festive months. NPCI's real data shows a festive bump of the injected size only in October 2024, so forcing the other festive months to match NPCI pushed their ordinary days about 5% below trend. Prophet then saw Diwali as only about 4% instead of the true 9.1%.</w:t>
      </w:r>
    </w:p>
    <w:p w14:paraId="5641AED3" w14:textId="77777777" w:rsidR="00242F2D" w:rsidRDefault="00000000">
      <w:pPr>
        <w:spacing w:after="160"/>
        <w:ind w:left="360" w:firstLine="0"/>
      </w:pPr>
      <w:r>
        <w:lastRenderedPageBreak/>
        <w:t>We corrected the generator. Five festive months (October 2022, October 2023, November 2023, October 2024 and October 2025) are no longer forced to match NPCI. Their ordinary days follow the trend and the festival sits on top. All other months still match NPCI exactly, and the festive months differ from it by between -1.4% and +6.5%.</w:t>
      </w:r>
    </w:p>
    <w:p w14:paraId="30DCACEB" w14:textId="77777777" w:rsidR="00242F2D" w:rsidRDefault="00000000">
      <w:pPr>
        <w:pStyle w:val="Heading3"/>
        <w:ind w:left="0" w:firstLine="0"/>
        <w:jc w:val="left"/>
      </w:pPr>
      <w:bookmarkStart w:id="12" w:name="_Toc013"/>
      <w:bookmarkEnd w:id="12"/>
      <w:r>
        <w:t>4.4 Holidays and Events</w:t>
      </w:r>
    </w:p>
    <w:p w14:paraId="1CE28C2A" w14:textId="77777777" w:rsidR="00242F2D" w:rsidRDefault="00000000">
      <w:pPr>
        <w:spacing w:after="160"/>
        <w:ind w:left="360" w:firstLine="0"/>
      </w:pPr>
      <w:r>
        <w:t>Table 2 lists the calendar effects given to the models. Holidays are recurring public or cultural dates, each with a window of days around it. Events are other calendar effects: the yearly e-commerce sale, payday and month-end. Other gazetted holidays such as Dussehra and Christmas were also given to the models as single days. Their true effect is zero, which tests whether a model invents effects that are not there.</w:t>
      </w:r>
    </w:p>
    <w:p w14:paraId="3A27E41A" w14:textId="77777777" w:rsidR="00242F2D" w:rsidRDefault="00000000">
      <w:pPr>
        <w:keepNext/>
        <w:spacing w:before="120" w:after="80" w:line="240" w:lineRule="auto"/>
        <w:ind w:left="0" w:firstLine="0"/>
        <w:jc w:val="center"/>
      </w:pPr>
      <w:r>
        <w:rPr>
          <w:b/>
          <w:bCs/>
          <w:sz w:val="18"/>
          <w:szCs w:val="18"/>
        </w:rPr>
        <w:t>Table 2: Holidays and events modelled</w:t>
      </w:r>
    </w:p>
    <w:tbl>
      <w:tblPr>
        <w:tblStyle w:val="TableNormal0"/>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456"/>
        <w:gridCol w:w="1440"/>
        <w:gridCol w:w="1872"/>
        <w:gridCol w:w="2592"/>
      </w:tblGrid>
      <w:tr w:rsidR="00242F2D" w14:paraId="3A9A305B" w14:textId="77777777">
        <w:trPr>
          <w:tblHeader/>
          <w:jc w:val="center"/>
        </w:trPr>
        <w:tc>
          <w:tcPr>
            <w:tcW w:w="3456" w:type="dxa"/>
            <w:shd w:val="clear" w:color="auto" w:fill="D9D9D9"/>
            <w:vAlign w:val="center"/>
          </w:tcPr>
          <w:p w14:paraId="27667FCE" w14:textId="77777777" w:rsidR="00242F2D" w:rsidRDefault="00000000">
            <w:pPr>
              <w:spacing w:before="40" w:after="40" w:line="240" w:lineRule="auto"/>
              <w:ind w:left="0" w:firstLine="0"/>
              <w:jc w:val="left"/>
            </w:pPr>
            <w:r>
              <w:rPr>
                <w:b/>
                <w:bCs/>
                <w:sz w:val="20"/>
                <w:szCs w:val="20"/>
              </w:rPr>
              <w:t>Name</w:t>
            </w:r>
          </w:p>
        </w:tc>
        <w:tc>
          <w:tcPr>
            <w:tcW w:w="1440" w:type="dxa"/>
            <w:shd w:val="clear" w:color="auto" w:fill="D9D9D9"/>
            <w:vAlign w:val="center"/>
          </w:tcPr>
          <w:p w14:paraId="2241CAD1" w14:textId="77777777" w:rsidR="00242F2D" w:rsidRDefault="00000000">
            <w:pPr>
              <w:spacing w:before="40" w:after="40" w:line="240" w:lineRule="auto"/>
              <w:ind w:left="0" w:firstLine="0"/>
              <w:jc w:val="center"/>
            </w:pPr>
            <w:r>
              <w:rPr>
                <w:b/>
                <w:bCs/>
                <w:sz w:val="20"/>
                <w:szCs w:val="20"/>
              </w:rPr>
              <w:t>Type</w:t>
            </w:r>
          </w:p>
        </w:tc>
        <w:tc>
          <w:tcPr>
            <w:tcW w:w="1872" w:type="dxa"/>
            <w:shd w:val="clear" w:color="auto" w:fill="D9D9D9"/>
            <w:vAlign w:val="center"/>
          </w:tcPr>
          <w:p w14:paraId="510E8A9E" w14:textId="77777777" w:rsidR="00242F2D" w:rsidRDefault="00000000">
            <w:pPr>
              <w:spacing w:before="40" w:after="40" w:line="240" w:lineRule="auto"/>
              <w:ind w:left="0" w:firstLine="0"/>
              <w:jc w:val="center"/>
            </w:pPr>
            <w:r>
              <w:rPr>
                <w:b/>
                <w:bCs/>
                <w:sz w:val="20"/>
                <w:szCs w:val="20"/>
              </w:rPr>
              <w:t>Window (days)</w:t>
            </w:r>
          </w:p>
        </w:tc>
        <w:tc>
          <w:tcPr>
            <w:tcW w:w="2592" w:type="dxa"/>
            <w:shd w:val="clear" w:color="auto" w:fill="D9D9D9"/>
            <w:vAlign w:val="center"/>
          </w:tcPr>
          <w:p w14:paraId="35E8AF4F" w14:textId="77777777" w:rsidR="00242F2D" w:rsidRDefault="00000000">
            <w:pPr>
              <w:spacing w:before="40" w:after="40" w:line="240" w:lineRule="auto"/>
              <w:ind w:left="0" w:firstLine="0"/>
              <w:jc w:val="center"/>
            </w:pPr>
            <w:r>
              <w:rPr>
                <w:b/>
                <w:bCs/>
                <w:sz w:val="20"/>
                <w:szCs w:val="20"/>
              </w:rPr>
              <w:t>True effect</w:t>
            </w:r>
          </w:p>
        </w:tc>
      </w:tr>
      <w:tr w:rsidR="00242F2D" w14:paraId="734EEBB6" w14:textId="77777777">
        <w:trPr>
          <w:jc w:val="center"/>
        </w:trPr>
        <w:tc>
          <w:tcPr>
            <w:tcW w:w="3456" w:type="dxa"/>
            <w:vAlign w:val="center"/>
          </w:tcPr>
          <w:p w14:paraId="483DF7E9" w14:textId="77777777" w:rsidR="00242F2D" w:rsidRDefault="00000000">
            <w:pPr>
              <w:spacing w:before="40" w:after="40" w:line="240" w:lineRule="auto"/>
              <w:ind w:left="0" w:firstLine="0"/>
              <w:jc w:val="left"/>
            </w:pPr>
            <w:r>
              <w:rPr>
                <w:sz w:val="20"/>
                <w:szCs w:val="20"/>
              </w:rPr>
              <w:t>Diwali</w:t>
            </w:r>
          </w:p>
        </w:tc>
        <w:tc>
          <w:tcPr>
            <w:tcW w:w="1440" w:type="dxa"/>
            <w:vAlign w:val="center"/>
          </w:tcPr>
          <w:p w14:paraId="0C5C9238" w14:textId="77777777" w:rsidR="00242F2D" w:rsidRDefault="00000000">
            <w:pPr>
              <w:spacing w:before="40" w:after="40" w:line="240" w:lineRule="auto"/>
              <w:ind w:left="0" w:firstLine="0"/>
              <w:jc w:val="center"/>
            </w:pPr>
            <w:r>
              <w:rPr>
                <w:sz w:val="20"/>
                <w:szCs w:val="20"/>
              </w:rPr>
              <w:t>Holiday</w:t>
            </w:r>
          </w:p>
        </w:tc>
        <w:tc>
          <w:tcPr>
            <w:tcW w:w="1872" w:type="dxa"/>
            <w:vAlign w:val="center"/>
          </w:tcPr>
          <w:p w14:paraId="56622963" w14:textId="77777777" w:rsidR="00242F2D" w:rsidRDefault="00000000">
            <w:pPr>
              <w:spacing w:before="40" w:after="40" w:line="240" w:lineRule="auto"/>
              <w:ind w:left="0" w:firstLine="0"/>
              <w:jc w:val="center"/>
            </w:pPr>
            <w:r>
              <w:rPr>
                <w:sz w:val="20"/>
                <w:szCs w:val="20"/>
              </w:rPr>
              <w:t>-10 to +3</w:t>
            </w:r>
          </w:p>
        </w:tc>
        <w:tc>
          <w:tcPr>
            <w:tcW w:w="2592" w:type="dxa"/>
            <w:vAlign w:val="center"/>
          </w:tcPr>
          <w:p w14:paraId="0EDA99E7" w14:textId="77777777" w:rsidR="00242F2D" w:rsidRDefault="00000000">
            <w:pPr>
              <w:spacing w:before="40" w:after="40" w:line="240" w:lineRule="auto"/>
              <w:ind w:left="0" w:firstLine="0"/>
              <w:jc w:val="center"/>
            </w:pPr>
            <w:r>
              <w:rPr>
                <w:sz w:val="20"/>
                <w:szCs w:val="20"/>
              </w:rPr>
              <w:t>Ramp to +20%, then a dip</w:t>
            </w:r>
          </w:p>
        </w:tc>
      </w:tr>
      <w:tr w:rsidR="00242F2D" w14:paraId="63E84B11" w14:textId="77777777">
        <w:trPr>
          <w:jc w:val="center"/>
        </w:trPr>
        <w:tc>
          <w:tcPr>
            <w:tcW w:w="3456" w:type="dxa"/>
            <w:vAlign w:val="center"/>
          </w:tcPr>
          <w:p w14:paraId="35B5992F" w14:textId="77777777" w:rsidR="00242F2D" w:rsidRDefault="00000000">
            <w:pPr>
              <w:spacing w:before="40" w:after="40" w:line="240" w:lineRule="auto"/>
              <w:ind w:left="0" w:firstLine="0"/>
              <w:jc w:val="left"/>
            </w:pPr>
            <w:r>
              <w:rPr>
                <w:sz w:val="20"/>
                <w:szCs w:val="20"/>
              </w:rPr>
              <w:t>Holi</w:t>
            </w:r>
          </w:p>
        </w:tc>
        <w:tc>
          <w:tcPr>
            <w:tcW w:w="1440" w:type="dxa"/>
            <w:vAlign w:val="center"/>
          </w:tcPr>
          <w:p w14:paraId="12C2617D" w14:textId="77777777" w:rsidR="00242F2D" w:rsidRDefault="00000000">
            <w:pPr>
              <w:spacing w:before="40" w:after="40" w:line="240" w:lineRule="auto"/>
              <w:ind w:left="0" w:firstLine="0"/>
              <w:jc w:val="center"/>
            </w:pPr>
            <w:r>
              <w:rPr>
                <w:sz w:val="20"/>
                <w:szCs w:val="20"/>
              </w:rPr>
              <w:t>Holiday</w:t>
            </w:r>
          </w:p>
        </w:tc>
        <w:tc>
          <w:tcPr>
            <w:tcW w:w="1872" w:type="dxa"/>
            <w:vAlign w:val="center"/>
          </w:tcPr>
          <w:p w14:paraId="4622C1D7" w14:textId="77777777" w:rsidR="00242F2D" w:rsidRDefault="00000000">
            <w:pPr>
              <w:spacing w:before="40" w:after="40" w:line="240" w:lineRule="auto"/>
              <w:ind w:left="0" w:firstLine="0"/>
              <w:jc w:val="center"/>
            </w:pPr>
            <w:r>
              <w:rPr>
                <w:sz w:val="20"/>
                <w:szCs w:val="20"/>
              </w:rPr>
              <w:t>-2 to +1</w:t>
            </w:r>
          </w:p>
        </w:tc>
        <w:tc>
          <w:tcPr>
            <w:tcW w:w="2592" w:type="dxa"/>
            <w:vAlign w:val="center"/>
          </w:tcPr>
          <w:p w14:paraId="3E732F3F" w14:textId="77777777" w:rsidR="00242F2D" w:rsidRDefault="00000000">
            <w:pPr>
              <w:spacing w:before="40" w:after="40" w:line="240" w:lineRule="auto"/>
              <w:ind w:left="0" w:firstLine="0"/>
              <w:jc w:val="center"/>
            </w:pPr>
            <w:r>
              <w:rPr>
                <w:sz w:val="20"/>
                <w:szCs w:val="20"/>
              </w:rPr>
              <w:t>+8% before, -10% on the day</w:t>
            </w:r>
          </w:p>
        </w:tc>
      </w:tr>
      <w:tr w:rsidR="00242F2D" w14:paraId="03443E80" w14:textId="77777777">
        <w:trPr>
          <w:jc w:val="center"/>
        </w:trPr>
        <w:tc>
          <w:tcPr>
            <w:tcW w:w="3456" w:type="dxa"/>
            <w:vAlign w:val="center"/>
          </w:tcPr>
          <w:p w14:paraId="6194BA71" w14:textId="77777777" w:rsidR="00242F2D" w:rsidRDefault="00000000">
            <w:pPr>
              <w:spacing w:before="40" w:after="40" w:line="240" w:lineRule="auto"/>
              <w:ind w:left="0" w:firstLine="0"/>
              <w:jc w:val="left"/>
            </w:pPr>
            <w:r>
              <w:rPr>
                <w:sz w:val="20"/>
                <w:szCs w:val="20"/>
              </w:rPr>
              <w:t>Eid al-Fitr</w:t>
            </w:r>
          </w:p>
        </w:tc>
        <w:tc>
          <w:tcPr>
            <w:tcW w:w="1440" w:type="dxa"/>
            <w:vAlign w:val="center"/>
          </w:tcPr>
          <w:p w14:paraId="21C17724" w14:textId="77777777" w:rsidR="00242F2D" w:rsidRDefault="00000000">
            <w:pPr>
              <w:spacing w:before="40" w:after="40" w:line="240" w:lineRule="auto"/>
              <w:ind w:left="0" w:firstLine="0"/>
              <w:jc w:val="center"/>
            </w:pPr>
            <w:r>
              <w:rPr>
                <w:sz w:val="20"/>
                <w:szCs w:val="20"/>
              </w:rPr>
              <w:t>Holiday</w:t>
            </w:r>
          </w:p>
        </w:tc>
        <w:tc>
          <w:tcPr>
            <w:tcW w:w="1872" w:type="dxa"/>
            <w:vAlign w:val="center"/>
          </w:tcPr>
          <w:p w14:paraId="16045DBF" w14:textId="77777777" w:rsidR="00242F2D" w:rsidRDefault="00000000">
            <w:pPr>
              <w:spacing w:before="40" w:after="40" w:line="240" w:lineRule="auto"/>
              <w:ind w:left="0" w:firstLine="0"/>
              <w:jc w:val="center"/>
            </w:pPr>
            <w:r>
              <w:rPr>
                <w:sz w:val="20"/>
                <w:szCs w:val="20"/>
              </w:rPr>
              <w:t>-3 to 0</w:t>
            </w:r>
          </w:p>
        </w:tc>
        <w:tc>
          <w:tcPr>
            <w:tcW w:w="2592" w:type="dxa"/>
            <w:vAlign w:val="center"/>
          </w:tcPr>
          <w:p w14:paraId="408D2EAB" w14:textId="77777777" w:rsidR="00242F2D" w:rsidRDefault="00000000">
            <w:pPr>
              <w:spacing w:before="40" w:after="40" w:line="240" w:lineRule="auto"/>
              <w:ind w:left="0" w:firstLine="0"/>
              <w:jc w:val="center"/>
            </w:pPr>
            <w:r>
              <w:rPr>
                <w:sz w:val="20"/>
                <w:szCs w:val="20"/>
              </w:rPr>
              <w:t>Ramp to +6%</w:t>
            </w:r>
          </w:p>
        </w:tc>
      </w:tr>
      <w:tr w:rsidR="00242F2D" w14:paraId="21D8B408" w14:textId="77777777">
        <w:trPr>
          <w:jc w:val="center"/>
        </w:trPr>
        <w:tc>
          <w:tcPr>
            <w:tcW w:w="3456" w:type="dxa"/>
            <w:vAlign w:val="center"/>
          </w:tcPr>
          <w:p w14:paraId="6C1E68F3" w14:textId="77777777" w:rsidR="00242F2D" w:rsidRDefault="00000000">
            <w:pPr>
              <w:spacing w:before="40" w:after="40" w:line="240" w:lineRule="auto"/>
              <w:ind w:left="0" w:firstLine="0"/>
              <w:jc w:val="left"/>
            </w:pPr>
            <w:r>
              <w:rPr>
                <w:sz w:val="20"/>
                <w:szCs w:val="20"/>
              </w:rPr>
              <w:t>Raksha Bandhan</w:t>
            </w:r>
          </w:p>
        </w:tc>
        <w:tc>
          <w:tcPr>
            <w:tcW w:w="1440" w:type="dxa"/>
            <w:vAlign w:val="center"/>
          </w:tcPr>
          <w:p w14:paraId="65AD11D0" w14:textId="77777777" w:rsidR="00242F2D" w:rsidRDefault="00000000">
            <w:pPr>
              <w:spacing w:before="40" w:after="40" w:line="240" w:lineRule="auto"/>
              <w:ind w:left="0" w:firstLine="0"/>
              <w:jc w:val="center"/>
            </w:pPr>
            <w:r>
              <w:rPr>
                <w:sz w:val="20"/>
                <w:szCs w:val="20"/>
              </w:rPr>
              <w:t>Holiday</w:t>
            </w:r>
          </w:p>
        </w:tc>
        <w:tc>
          <w:tcPr>
            <w:tcW w:w="1872" w:type="dxa"/>
            <w:vAlign w:val="center"/>
          </w:tcPr>
          <w:p w14:paraId="3B9139BF" w14:textId="77777777" w:rsidR="00242F2D" w:rsidRDefault="00000000">
            <w:pPr>
              <w:spacing w:before="40" w:after="40" w:line="240" w:lineRule="auto"/>
              <w:ind w:left="0" w:firstLine="0"/>
              <w:jc w:val="center"/>
            </w:pPr>
            <w:r>
              <w:rPr>
                <w:sz w:val="20"/>
                <w:szCs w:val="20"/>
              </w:rPr>
              <w:t>-3 to 0</w:t>
            </w:r>
          </w:p>
        </w:tc>
        <w:tc>
          <w:tcPr>
            <w:tcW w:w="2592" w:type="dxa"/>
            <w:vAlign w:val="center"/>
          </w:tcPr>
          <w:p w14:paraId="4D611E6A" w14:textId="77777777" w:rsidR="00242F2D" w:rsidRDefault="00000000">
            <w:pPr>
              <w:spacing w:before="40" w:after="40" w:line="240" w:lineRule="auto"/>
              <w:ind w:left="0" w:firstLine="0"/>
              <w:jc w:val="center"/>
            </w:pPr>
            <w:r>
              <w:rPr>
                <w:sz w:val="20"/>
                <w:szCs w:val="20"/>
              </w:rPr>
              <w:t>Ramp to +5%</w:t>
            </w:r>
          </w:p>
        </w:tc>
      </w:tr>
      <w:tr w:rsidR="00242F2D" w14:paraId="79E74B51" w14:textId="77777777">
        <w:trPr>
          <w:jc w:val="center"/>
        </w:trPr>
        <w:tc>
          <w:tcPr>
            <w:tcW w:w="3456" w:type="dxa"/>
            <w:vAlign w:val="center"/>
          </w:tcPr>
          <w:p w14:paraId="117F637C" w14:textId="77777777" w:rsidR="00242F2D" w:rsidRDefault="00000000">
            <w:pPr>
              <w:spacing w:before="40" w:after="40" w:line="240" w:lineRule="auto"/>
              <w:ind w:left="0" w:firstLine="0"/>
              <w:jc w:val="left"/>
            </w:pPr>
            <w:r>
              <w:rPr>
                <w:sz w:val="20"/>
                <w:szCs w:val="20"/>
              </w:rPr>
              <w:t>Republic Day, Independence Day, Gandhi Jayanti</w:t>
            </w:r>
          </w:p>
        </w:tc>
        <w:tc>
          <w:tcPr>
            <w:tcW w:w="1440" w:type="dxa"/>
            <w:vAlign w:val="center"/>
          </w:tcPr>
          <w:p w14:paraId="5F1857F3" w14:textId="77777777" w:rsidR="00242F2D" w:rsidRDefault="00000000">
            <w:pPr>
              <w:spacing w:before="40" w:after="40" w:line="240" w:lineRule="auto"/>
              <w:ind w:left="0" w:firstLine="0"/>
              <w:jc w:val="center"/>
            </w:pPr>
            <w:r>
              <w:rPr>
                <w:sz w:val="20"/>
                <w:szCs w:val="20"/>
              </w:rPr>
              <w:t>Holiday</w:t>
            </w:r>
          </w:p>
        </w:tc>
        <w:tc>
          <w:tcPr>
            <w:tcW w:w="1872" w:type="dxa"/>
            <w:vAlign w:val="center"/>
          </w:tcPr>
          <w:p w14:paraId="43F2DF31" w14:textId="77777777" w:rsidR="00242F2D" w:rsidRDefault="00000000">
            <w:pPr>
              <w:spacing w:before="40" w:after="40" w:line="240" w:lineRule="auto"/>
              <w:ind w:left="0" w:firstLine="0"/>
              <w:jc w:val="center"/>
            </w:pPr>
            <w:r>
              <w:rPr>
                <w:sz w:val="20"/>
                <w:szCs w:val="20"/>
              </w:rPr>
              <w:t>0</w:t>
            </w:r>
          </w:p>
        </w:tc>
        <w:tc>
          <w:tcPr>
            <w:tcW w:w="2592" w:type="dxa"/>
            <w:vAlign w:val="center"/>
          </w:tcPr>
          <w:p w14:paraId="57693371" w14:textId="77777777" w:rsidR="00242F2D" w:rsidRDefault="00000000">
            <w:pPr>
              <w:spacing w:before="40" w:after="40" w:line="240" w:lineRule="auto"/>
              <w:ind w:left="0" w:firstLine="0"/>
              <w:jc w:val="center"/>
            </w:pPr>
            <w:r>
              <w:rPr>
                <w:sz w:val="20"/>
                <w:szCs w:val="20"/>
              </w:rPr>
              <w:t>-5%</w:t>
            </w:r>
          </w:p>
        </w:tc>
      </w:tr>
      <w:tr w:rsidR="00242F2D" w14:paraId="0B12B9FF" w14:textId="77777777">
        <w:trPr>
          <w:jc w:val="center"/>
        </w:trPr>
        <w:tc>
          <w:tcPr>
            <w:tcW w:w="3456" w:type="dxa"/>
            <w:vAlign w:val="center"/>
          </w:tcPr>
          <w:p w14:paraId="39415764" w14:textId="77777777" w:rsidR="00242F2D" w:rsidRDefault="00000000">
            <w:pPr>
              <w:spacing w:before="40" w:after="40" w:line="240" w:lineRule="auto"/>
              <w:ind w:left="0" w:firstLine="0"/>
              <w:jc w:val="left"/>
            </w:pPr>
            <w:r>
              <w:rPr>
                <w:sz w:val="20"/>
                <w:szCs w:val="20"/>
              </w:rPr>
              <w:t>E-commerce sale</w:t>
            </w:r>
          </w:p>
        </w:tc>
        <w:tc>
          <w:tcPr>
            <w:tcW w:w="1440" w:type="dxa"/>
            <w:vAlign w:val="center"/>
          </w:tcPr>
          <w:p w14:paraId="1AC25FA3" w14:textId="77777777" w:rsidR="00242F2D" w:rsidRDefault="00000000">
            <w:pPr>
              <w:spacing w:before="40" w:after="40" w:line="240" w:lineRule="auto"/>
              <w:ind w:left="0" w:firstLine="0"/>
              <w:jc w:val="center"/>
            </w:pPr>
            <w:r>
              <w:rPr>
                <w:sz w:val="20"/>
                <w:szCs w:val="20"/>
              </w:rPr>
              <w:t>Event</w:t>
            </w:r>
          </w:p>
        </w:tc>
        <w:tc>
          <w:tcPr>
            <w:tcW w:w="1872" w:type="dxa"/>
            <w:vAlign w:val="center"/>
          </w:tcPr>
          <w:p w14:paraId="2DDBAE8E" w14:textId="77777777" w:rsidR="00242F2D" w:rsidRDefault="00000000">
            <w:pPr>
              <w:spacing w:before="40" w:after="40" w:line="240" w:lineRule="auto"/>
              <w:ind w:left="0" w:firstLine="0"/>
              <w:jc w:val="center"/>
            </w:pPr>
            <w:r>
              <w:rPr>
                <w:sz w:val="20"/>
                <w:szCs w:val="20"/>
              </w:rPr>
              <w:t>4 to 6 days</w:t>
            </w:r>
          </w:p>
        </w:tc>
        <w:tc>
          <w:tcPr>
            <w:tcW w:w="2592" w:type="dxa"/>
            <w:vAlign w:val="center"/>
          </w:tcPr>
          <w:p w14:paraId="5FC45C38" w14:textId="77777777" w:rsidR="00242F2D" w:rsidRDefault="00000000">
            <w:pPr>
              <w:spacing w:before="40" w:after="40" w:line="240" w:lineRule="auto"/>
              <w:ind w:left="0" w:firstLine="0"/>
              <w:jc w:val="center"/>
            </w:pPr>
            <w:r>
              <w:rPr>
                <w:sz w:val="20"/>
                <w:szCs w:val="20"/>
              </w:rPr>
              <w:t>+8% to +12%</w:t>
            </w:r>
          </w:p>
        </w:tc>
      </w:tr>
      <w:tr w:rsidR="00242F2D" w14:paraId="19D92BC7" w14:textId="77777777">
        <w:trPr>
          <w:jc w:val="center"/>
        </w:trPr>
        <w:tc>
          <w:tcPr>
            <w:tcW w:w="3456" w:type="dxa"/>
            <w:vAlign w:val="center"/>
          </w:tcPr>
          <w:p w14:paraId="68762375" w14:textId="77777777" w:rsidR="00242F2D" w:rsidRDefault="00000000">
            <w:pPr>
              <w:spacing w:before="40" w:after="40" w:line="240" w:lineRule="auto"/>
              <w:ind w:left="0" w:firstLine="0"/>
              <w:jc w:val="left"/>
            </w:pPr>
            <w:r>
              <w:rPr>
                <w:sz w:val="20"/>
                <w:szCs w:val="20"/>
              </w:rPr>
              <w:t>Payday</w:t>
            </w:r>
          </w:p>
        </w:tc>
        <w:tc>
          <w:tcPr>
            <w:tcW w:w="1440" w:type="dxa"/>
            <w:vAlign w:val="center"/>
          </w:tcPr>
          <w:p w14:paraId="173B25B5" w14:textId="77777777" w:rsidR="00242F2D" w:rsidRDefault="00000000">
            <w:pPr>
              <w:spacing w:before="40" w:after="40" w:line="240" w:lineRule="auto"/>
              <w:ind w:left="0" w:firstLine="0"/>
              <w:jc w:val="center"/>
            </w:pPr>
            <w:r>
              <w:rPr>
                <w:sz w:val="20"/>
                <w:szCs w:val="20"/>
              </w:rPr>
              <w:t>Event</w:t>
            </w:r>
          </w:p>
        </w:tc>
        <w:tc>
          <w:tcPr>
            <w:tcW w:w="1872" w:type="dxa"/>
            <w:vAlign w:val="center"/>
          </w:tcPr>
          <w:p w14:paraId="5322614D" w14:textId="77777777" w:rsidR="00242F2D" w:rsidRDefault="00000000">
            <w:pPr>
              <w:spacing w:before="40" w:after="40" w:line="240" w:lineRule="auto"/>
              <w:ind w:left="0" w:firstLine="0"/>
              <w:jc w:val="center"/>
            </w:pPr>
            <w:r>
              <w:rPr>
                <w:sz w:val="20"/>
                <w:szCs w:val="20"/>
              </w:rPr>
              <w:t>Days 1 to 5</w:t>
            </w:r>
          </w:p>
        </w:tc>
        <w:tc>
          <w:tcPr>
            <w:tcW w:w="2592" w:type="dxa"/>
            <w:vAlign w:val="center"/>
          </w:tcPr>
          <w:p w14:paraId="68FBAAED" w14:textId="77777777" w:rsidR="00242F2D" w:rsidRDefault="00000000">
            <w:pPr>
              <w:spacing w:before="40" w:after="40" w:line="240" w:lineRule="auto"/>
              <w:ind w:left="0" w:firstLine="0"/>
              <w:jc w:val="center"/>
            </w:pPr>
            <w:r>
              <w:rPr>
                <w:sz w:val="20"/>
                <w:szCs w:val="20"/>
              </w:rPr>
              <w:t>+6%</w:t>
            </w:r>
          </w:p>
        </w:tc>
      </w:tr>
      <w:tr w:rsidR="00242F2D" w14:paraId="13101CEA" w14:textId="77777777">
        <w:trPr>
          <w:jc w:val="center"/>
        </w:trPr>
        <w:tc>
          <w:tcPr>
            <w:tcW w:w="3456" w:type="dxa"/>
            <w:vAlign w:val="center"/>
          </w:tcPr>
          <w:p w14:paraId="3B71376D" w14:textId="77777777" w:rsidR="00242F2D" w:rsidRDefault="00000000">
            <w:pPr>
              <w:spacing w:before="40" w:after="40" w:line="240" w:lineRule="auto"/>
              <w:ind w:left="0" w:firstLine="0"/>
              <w:jc w:val="left"/>
            </w:pPr>
            <w:r>
              <w:rPr>
                <w:sz w:val="20"/>
                <w:szCs w:val="20"/>
              </w:rPr>
              <w:t>Month-end</w:t>
            </w:r>
          </w:p>
        </w:tc>
        <w:tc>
          <w:tcPr>
            <w:tcW w:w="1440" w:type="dxa"/>
            <w:vAlign w:val="center"/>
          </w:tcPr>
          <w:p w14:paraId="01682B0A" w14:textId="77777777" w:rsidR="00242F2D" w:rsidRDefault="00000000">
            <w:pPr>
              <w:spacing w:before="40" w:after="40" w:line="240" w:lineRule="auto"/>
              <w:ind w:left="0" w:firstLine="0"/>
              <w:jc w:val="center"/>
            </w:pPr>
            <w:r>
              <w:rPr>
                <w:sz w:val="20"/>
                <w:szCs w:val="20"/>
              </w:rPr>
              <w:t>Event</w:t>
            </w:r>
          </w:p>
        </w:tc>
        <w:tc>
          <w:tcPr>
            <w:tcW w:w="1872" w:type="dxa"/>
            <w:vAlign w:val="center"/>
          </w:tcPr>
          <w:p w14:paraId="1447DB54" w14:textId="77777777" w:rsidR="00242F2D" w:rsidRDefault="00000000">
            <w:pPr>
              <w:spacing w:before="40" w:after="40" w:line="240" w:lineRule="auto"/>
              <w:ind w:left="0" w:firstLine="0"/>
              <w:jc w:val="center"/>
            </w:pPr>
            <w:r>
              <w:rPr>
                <w:sz w:val="20"/>
                <w:szCs w:val="20"/>
              </w:rPr>
              <w:t>Last 2 days</w:t>
            </w:r>
          </w:p>
        </w:tc>
        <w:tc>
          <w:tcPr>
            <w:tcW w:w="2592" w:type="dxa"/>
            <w:vAlign w:val="center"/>
          </w:tcPr>
          <w:p w14:paraId="23B5DDF1" w14:textId="77777777" w:rsidR="00242F2D" w:rsidRDefault="00000000">
            <w:pPr>
              <w:spacing w:before="40" w:after="40" w:line="240" w:lineRule="auto"/>
              <w:ind w:left="0" w:firstLine="0"/>
              <w:jc w:val="center"/>
            </w:pPr>
            <w:r>
              <w:rPr>
                <w:sz w:val="20"/>
                <w:szCs w:val="20"/>
              </w:rPr>
              <w:t>+3%</w:t>
            </w:r>
          </w:p>
        </w:tc>
      </w:tr>
    </w:tbl>
    <w:p w14:paraId="6C31FB3C" w14:textId="77777777" w:rsidR="00242F2D" w:rsidRDefault="00242F2D">
      <w:pPr>
        <w:spacing w:after="120"/>
        <w:ind w:left="0" w:firstLine="0"/>
      </w:pPr>
    </w:p>
    <w:p w14:paraId="54801429" w14:textId="77777777" w:rsidR="00242F2D" w:rsidRDefault="00000000">
      <w:pPr>
        <w:ind w:left="0" w:firstLine="0"/>
      </w:pPr>
      <w:r>
        <w:br w:type="page"/>
      </w:r>
    </w:p>
    <w:p w14:paraId="50924595" w14:textId="77777777" w:rsidR="00242F2D" w:rsidRDefault="00000000">
      <w:pPr>
        <w:pStyle w:val="Heading1"/>
        <w:ind w:left="0" w:firstLine="0"/>
        <w:jc w:val="left"/>
      </w:pPr>
      <w:bookmarkStart w:id="13" w:name="_Toc014"/>
      <w:bookmarkEnd w:id="13"/>
      <w:r>
        <w:lastRenderedPageBreak/>
        <w:t>5.0 Methodology</w:t>
      </w:r>
    </w:p>
    <w:p w14:paraId="1684330F" w14:textId="77777777" w:rsidR="00242F2D" w:rsidRDefault="00000000">
      <w:pPr>
        <w:pStyle w:val="Heading3"/>
        <w:ind w:left="0" w:firstLine="0"/>
        <w:jc w:val="left"/>
      </w:pPr>
      <w:bookmarkStart w:id="14" w:name="_Toc015"/>
      <w:bookmarkEnd w:id="14"/>
      <w:r>
        <w:t>5.1 Exploratory Analysis</w:t>
      </w:r>
    </w:p>
    <w:p w14:paraId="68A77654" w14:textId="77777777" w:rsidR="00242F2D" w:rsidRDefault="00000000">
      <w:pPr>
        <w:spacing w:after="160"/>
        <w:ind w:left="360" w:firstLine="0"/>
      </w:pPr>
      <w:r>
        <w:t>The series was examined with an STL decomposition on the log scale with a weekly period [4], the Augmented Dickey-Fuller (ADF) test [5] and the KPSS test [6] for stationarity, ACF and PACF plots, and average weekday and day-of-month profiles.</w:t>
      </w:r>
    </w:p>
    <w:p w14:paraId="7B7350F9" w14:textId="77777777" w:rsidR="00242F2D" w:rsidRDefault="00000000">
      <w:pPr>
        <w:pStyle w:val="Heading3"/>
        <w:ind w:left="0" w:firstLine="0"/>
        <w:jc w:val="left"/>
      </w:pPr>
      <w:bookmarkStart w:id="15" w:name="_Toc016"/>
      <w:bookmarkEnd w:id="15"/>
      <w:r>
        <w:t>5.2 Prophet</w:t>
      </w:r>
    </w:p>
    <w:p w14:paraId="11F66635" w14:textId="77777777" w:rsidR="00242F2D" w:rsidRDefault="00000000">
      <w:pPr>
        <w:spacing w:after="160"/>
        <w:ind w:left="360" w:firstLine="0"/>
      </w:pPr>
      <w:r>
        <w:t>In multiplicative mode, Prophet models the series as:</w:t>
      </w:r>
    </w:p>
    <w:p w14:paraId="34BBBB92" w14:textId="77777777" w:rsidR="00242F2D" w:rsidRDefault="00000000">
      <w:pPr>
        <w:spacing w:after="200"/>
        <w:ind w:left="0" w:firstLine="0"/>
        <w:jc w:val="center"/>
      </w:pPr>
      <w:r>
        <w:rPr>
          <w:i/>
          <w:iCs/>
        </w:rPr>
        <w:t>y(t) = g(t) × [ 1 + s(t) + h(t) + βx(t) ] + ε(t)</w:t>
      </w:r>
    </w:p>
    <w:p w14:paraId="2117B259" w14:textId="77777777" w:rsidR="00242F2D" w:rsidRDefault="00000000">
      <w:pPr>
        <w:spacing w:after="160"/>
        <w:ind w:left="360" w:firstLine="0"/>
      </w:pPr>
      <w:r>
        <w:t>Here g(t) is the trend, s(t) the weekly and yearly seasonality, h(t) the holiday and event effects, x(t) the payday and month-end regressors with coefficients β, and ε(t) the error. Each day of a holiday window gets its own coefficient, so Prophet can learn the shape of a festival, such as Diwali's ten-day build-up.</w:t>
      </w:r>
    </w:p>
    <w:p w14:paraId="2521BFCC" w14:textId="77777777" w:rsidR="00242F2D" w:rsidRDefault="00000000">
      <w:pPr>
        <w:spacing w:after="160"/>
        <w:ind w:left="360" w:firstLine="0"/>
      </w:pPr>
      <w:r>
        <w:t>Multiplicative mode was used because volume grew more than five times, and a festival adds a percentage of current volume rather than a fixed number of transactions. Payday and month-end were added as regressors because they are known in advance. A smooth trend (changepoint prior scale 0.005) and a low-order yearly pattern (Fourier order 3) performed best in a preliminary search. Three versions were built: Prophet base (trend and seasonality only), Prophet + holidays, and Prophet + holidays + events.</w:t>
      </w:r>
    </w:p>
    <w:p w14:paraId="1AC7C92E" w14:textId="77777777" w:rsidR="00242F2D" w:rsidRDefault="00000000">
      <w:pPr>
        <w:pStyle w:val="Heading3"/>
        <w:ind w:left="0" w:firstLine="0"/>
        <w:jc w:val="left"/>
      </w:pPr>
      <w:bookmarkStart w:id="16" w:name="_Toc017"/>
      <w:bookmarkEnd w:id="16"/>
      <w:r>
        <w:t>5.3 SARIMAX</w:t>
      </w:r>
    </w:p>
    <w:p w14:paraId="7D7DBBE7" w14:textId="77777777" w:rsidR="00242F2D" w:rsidRDefault="00000000">
      <w:pPr>
        <w:spacing w:after="160"/>
        <w:ind w:left="360" w:firstLine="0"/>
      </w:pPr>
      <w:r>
        <w:t>SARIMAX was fitted to log volume as a regression with seasonal ARIMA errors. Its exogenous variables carry the same calendar information as the full Prophet model: one indicator for each day of each holiday and sale window, payday and month-end indicators, and yearly Fourier terms. Following the course procedure, the order was chosen by fitting combinations of p and q from 0 to 2 and P and Q from 0 to 1, with d = 1, D = 0 and a seasonal period of 7. The lowest-AIC candidate was selected using only the first two years (2022–2023), so the evaluation period did not influence the order choice. For forecasting, SARIMAX predicts log volume. Forecasts are converted back to the transaction scale with an approximate lognormal mean correction, exp(μ + 0.5σ²), where σ² is the training residual variance.</w:t>
      </w:r>
    </w:p>
    <w:p w14:paraId="5B9E9716" w14:textId="77777777" w:rsidR="00242F2D" w:rsidRDefault="00000000">
      <w:pPr>
        <w:pStyle w:val="Heading3"/>
        <w:ind w:left="0" w:firstLine="0"/>
        <w:jc w:val="left"/>
      </w:pPr>
      <w:bookmarkStart w:id="17" w:name="_Toc018"/>
      <w:bookmarkEnd w:id="17"/>
      <w:r>
        <w:t>5.4 Baseline</w:t>
      </w:r>
    </w:p>
    <w:p w14:paraId="6E16FEBB" w14:textId="77777777" w:rsidR="00242F2D" w:rsidRDefault="00000000">
      <w:pPr>
        <w:spacing w:after="160"/>
        <w:ind w:left="360" w:firstLine="0"/>
      </w:pPr>
      <w:r>
        <w:t>The seasonal naive baseline forecasts each day with the value from the same weekday in the last week of training data. Any useful model must beat it.</w:t>
      </w:r>
    </w:p>
    <w:p w14:paraId="033740AD" w14:textId="77777777" w:rsidR="00242F2D" w:rsidRDefault="00000000">
      <w:pPr>
        <w:pStyle w:val="Heading3"/>
        <w:ind w:left="0" w:firstLine="0"/>
        <w:jc w:val="left"/>
      </w:pPr>
      <w:r>
        <w:t>5.5 Evaluation Design and Metrics</w:t>
      </w:r>
    </w:p>
    <w:p w14:paraId="79B8E02C" w14:textId="77777777" w:rsidR="00242F2D" w:rsidRDefault="00000000">
      <w:pPr>
        <w:spacing w:after="160"/>
        <w:ind w:left="360" w:firstLine="0"/>
      </w:pPr>
      <w:r>
        <w:t>All models were evaluated with rolling-origin cross-validation [9]. Each model was trained up to a cutoff and forecast the following 90 days; the cutoff then advanced by 90 days. The initial training period was two years, and all models used the same forecast origins. In addition to the primary 90-day evaluation, pooled errors are also summarized for the first 7, 30 and 90 lead days, allowing short-</w:t>
      </w:r>
      <w:r>
        <w:lastRenderedPageBreak/>
        <w:t>, medium- and longer-horizon performance to be compared. Fold-level MAPE, WAPE, MAE and RMSE are also summarized using the mean, standard deviation, minimum and maximum across folds. Because forecast windows overlap, these fold summaries are descriptive measures of variability and are not treated as independent-sample confidence intervals.</w:t>
      </w:r>
    </w:p>
    <w:p w14:paraId="447CE216" w14:textId="77777777" w:rsidR="00242F2D" w:rsidRDefault="00000000">
      <w:pPr>
        <w:spacing w:after="200"/>
        <w:ind w:left="0" w:firstLine="0"/>
        <w:jc w:val="center"/>
      </w:pPr>
      <w:r>
        <w:t>The evaluation uses MAPE as a familiar percentage-based measure, together with weighted absolute percentage error (WAPE), symmetric MAPE (sMAPE), and mean forecast error (forecast minus actual). MAE and RMSE remain reported in millions of transactions per day. MAPE summarizes average absolute percentage error, WAPE weights errors by the total transaction volume, sMAPE scales the absolute error by the average magnitude of actual and predicted values, and mean error indicates whether forecasts tend to overpredict or underpredict. Reporting multiple metrics reduces reliance on any single score.</w:t>
      </w:r>
    </w:p>
    <w:p w14:paraId="05FA3831" w14:textId="77777777" w:rsidR="00242F2D" w:rsidRDefault="00000000">
      <w:pPr>
        <w:spacing w:after="200"/>
        <w:ind w:left="0" w:firstLine="0"/>
        <w:jc w:val="center"/>
      </w:pPr>
      <w:r>
        <w:rPr>
          <w:i/>
          <w:iCs/>
        </w:rPr>
        <w:t>MAE = (1 / n) × Σ | y(t) − ŷ(t) |          RMSE = √[ (1 / n) × Σ ( y(t) − ŷ(t) )² ]</w:t>
      </w:r>
    </w:p>
    <w:p w14:paraId="6B4A6D3D" w14:textId="77777777" w:rsidR="00242F2D" w:rsidRDefault="00000000">
      <w:pPr>
        <w:spacing w:after="160"/>
        <w:ind w:left="360" w:firstLine="0"/>
      </w:pPr>
      <w:r>
        <w:t>Errors were also split by day type: holiday-window days, sale days and ordinary days. This shows where each model gains or loses accuracy, which an overall average would hide.</w:t>
      </w:r>
    </w:p>
    <w:p w14:paraId="214DBB44" w14:textId="77777777" w:rsidR="00242F2D" w:rsidRDefault="00000000">
      <w:pPr>
        <w:pStyle w:val="Heading3"/>
        <w:ind w:left="0" w:firstLine="0"/>
        <w:jc w:val="left"/>
      </w:pPr>
      <w:r>
        <w:t>5.6 Effect Recovery and Diagnostics</w:t>
      </w:r>
    </w:p>
    <w:p w14:paraId="3E15EE27" w14:textId="77777777" w:rsidR="00242F2D" w:rsidRDefault="00000000">
      <w:pPr>
        <w:spacing w:after="160"/>
        <w:ind w:left="360" w:firstLine="0"/>
      </w:pPr>
      <w:r>
        <w:t>The full Prophet model was fitted on all the data, and its estimated effect for each holiday and event was compared with the true injected effect. Residuals were checked with the Ljung-Box test for autocorrelation [7] and the ARCH-LM test for changing variance [8]. All work was done in Python using prophet, statsmodels, pandas and matplotlib.</w:t>
      </w:r>
    </w:p>
    <w:p w14:paraId="6A5E2ED3" w14:textId="77777777" w:rsidR="00242F2D" w:rsidRDefault="00000000">
      <w:pPr>
        <w:ind w:left="0" w:firstLine="0"/>
      </w:pPr>
      <w:r>
        <w:br w:type="page"/>
      </w:r>
    </w:p>
    <w:p w14:paraId="3A373AA1" w14:textId="77777777" w:rsidR="00242F2D" w:rsidRDefault="00000000">
      <w:pPr>
        <w:pStyle w:val="Heading1"/>
        <w:ind w:left="0" w:firstLine="0"/>
        <w:jc w:val="left"/>
      </w:pPr>
      <w:bookmarkStart w:id="18" w:name="_Toc021"/>
      <w:bookmarkEnd w:id="18"/>
      <w:r>
        <w:lastRenderedPageBreak/>
        <w:t>6.0 Results and Analysis</w:t>
      </w:r>
    </w:p>
    <w:p w14:paraId="73D1147E" w14:textId="77777777" w:rsidR="00242F2D" w:rsidRDefault="00000000">
      <w:pPr>
        <w:pStyle w:val="Heading3"/>
        <w:ind w:left="0" w:firstLine="0"/>
        <w:jc w:val="left"/>
      </w:pPr>
      <w:bookmarkStart w:id="19" w:name="_Toc022"/>
      <w:bookmarkEnd w:id="19"/>
      <w:r>
        <w:t>6.1 Exploratory Findings</w:t>
      </w:r>
    </w:p>
    <w:p w14:paraId="370C1618" w14:textId="77777777" w:rsidR="00242F2D" w:rsidRDefault="00000000">
      <w:pPr>
        <w:keepNext/>
        <w:spacing w:before="120" w:after="60" w:line="240" w:lineRule="auto"/>
        <w:ind w:left="0" w:firstLine="0"/>
        <w:jc w:val="center"/>
      </w:pPr>
      <w:r>
        <w:rPr>
          <w:noProof/>
        </w:rPr>
        <w:drawing>
          <wp:inline distT="0" distB="0" distL="0" distR="0" wp14:anchorId="323C8551" wp14:editId="56D34067">
            <wp:extent cx="5669280" cy="3239588"/>
            <wp:effectExtent l="0" t="0" r="0" b="0"/>
            <wp:docPr id="1001" name="Figure 1"/>
            <wp:cNvGraphicFramePr/>
            <a:graphic xmlns:a="http://schemas.openxmlformats.org/drawingml/2006/main">
              <a:graphicData uri="http://schemas.openxmlformats.org/drawingml/2006/picture">
                <pic:pic xmlns:pic="http://schemas.openxmlformats.org/drawingml/2006/picture">
                  <pic:nvPicPr>
                    <pic:cNvPr id="1001" name="fig1.png"/>
                    <pic:cNvPicPr/>
                  </pic:nvPicPr>
                  <pic:blipFill>
                    <a:blip r:embed="rId11"/>
                    <a:stretch>
                      <a:fillRect/>
                    </a:stretch>
                  </pic:blipFill>
                  <pic:spPr>
                    <a:xfrm>
                      <a:off x="0" y="0"/>
                      <a:ext cx="5669280" cy="3239588"/>
                    </a:xfrm>
                    <a:prstGeom prst="rect">
                      <a:avLst/>
                    </a:prstGeom>
                  </pic:spPr>
                </pic:pic>
              </a:graphicData>
            </a:graphic>
          </wp:inline>
        </w:drawing>
      </w:r>
    </w:p>
    <w:p w14:paraId="65B854FB" w14:textId="77777777" w:rsidR="00242F2D" w:rsidRDefault="00000000">
      <w:pPr>
        <w:spacing w:after="200"/>
        <w:ind w:left="0" w:firstLine="0"/>
        <w:jc w:val="center"/>
      </w:pPr>
      <w:r>
        <w:rPr>
          <w:b/>
          <w:bCs/>
          <w:sz w:val="18"/>
          <w:szCs w:val="18"/>
        </w:rPr>
        <w:t>Figure 1: Daily UPI volume (top) and log volume (bottom); dashed lines mark Diwali</w:t>
      </w:r>
    </w:p>
    <w:p w14:paraId="6BA11F36" w14:textId="77777777" w:rsidR="00242F2D" w:rsidRDefault="00000000">
      <w:pPr>
        <w:spacing w:after="160"/>
        <w:ind w:left="360" w:firstLine="0"/>
      </w:pPr>
      <w:r>
        <w:t>Volume grows about fivefold over the period, and the growth is close to linear on the log scale. The weekly up-and-down pattern grows with the level of the series, which supports multiplicative seasonality. Festival seasons appear as bumps each October and November.</w:t>
      </w:r>
    </w:p>
    <w:p w14:paraId="1F374864" w14:textId="77777777" w:rsidR="00242F2D" w:rsidRDefault="00000000">
      <w:pPr>
        <w:keepNext/>
        <w:spacing w:before="120" w:after="80" w:line="240" w:lineRule="auto"/>
        <w:ind w:left="0" w:firstLine="0"/>
        <w:jc w:val="center"/>
      </w:pPr>
      <w:r>
        <w:rPr>
          <w:b/>
          <w:bCs/>
          <w:sz w:val="18"/>
          <w:szCs w:val="18"/>
        </w:rPr>
        <w:t>Table 3: Stationarity tests</w:t>
      </w:r>
    </w:p>
    <w:tbl>
      <w:tblPr>
        <w:tblStyle w:val="TableNormal0"/>
        <w:tblW w:w="9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744"/>
        <w:gridCol w:w="1872"/>
        <w:gridCol w:w="1872"/>
        <w:gridCol w:w="2015"/>
      </w:tblGrid>
      <w:tr w:rsidR="00242F2D" w14:paraId="6B65CDCD" w14:textId="77777777">
        <w:trPr>
          <w:tblHeader/>
          <w:jc w:val="center"/>
        </w:trPr>
        <w:tc>
          <w:tcPr>
            <w:tcW w:w="3744" w:type="dxa"/>
            <w:shd w:val="clear" w:color="auto" w:fill="D9D9D9"/>
            <w:vAlign w:val="center"/>
          </w:tcPr>
          <w:p w14:paraId="26E0DBDA" w14:textId="77777777" w:rsidR="00242F2D" w:rsidRDefault="00000000">
            <w:pPr>
              <w:spacing w:before="40" w:after="40" w:line="240" w:lineRule="auto"/>
              <w:ind w:left="0" w:firstLine="0"/>
              <w:jc w:val="left"/>
            </w:pPr>
            <w:r>
              <w:rPr>
                <w:b/>
                <w:bCs/>
                <w:sz w:val="20"/>
                <w:szCs w:val="20"/>
              </w:rPr>
              <w:t>Series</w:t>
            </w:r>
          </w:p>
        </w:tc>
        <w:tc>
          <w:tcPr>
            <w:tcW w:w="1872" w:type="dxa"/>
            <w:shd w:val="clear" w:color="auto" w:fill="D9D9D9"/>
            <w:vAlign w:val="center"/>
          </w:tcPr>
          <w:p w14:paraId="1B5F0487" w14:textId="77777777" w:rsidR="00242F2D" w:rsidRDefault="00000000">
            <w:pPr>
              <w:spacing w:before="40" w:after="40" w:line="240" w:lineRule="auto"/>
              <w:ind w:left="0" w:firstLine="0"/>
              <w:jc w:val="center"/>
            </w:pPr>
            <w:r>
              <w:rPr>
                <w:b/>
                <w:bCs/>
                <w:sz w:val="20"/>
                <w:szCs w:val="20"/>
              </w:rPr>
              <w:t>ADF p-value</w:t>
            </w:r>
          </w:p>
        </w:tc>
        <w:tc>
          <w:tcPr>
            <w:tcW w:w="1872" w:type="dxa"/>
            <w:shd w:val="clear" w:color="auto" w:fill="D9D9D9"/>
            <w:vAlign w:val="center"/>
          </w:tcPr>
          <w:p w14:paraId="273D69B7" w14:textId="77777777" w:rsidR="00242F2D" w:rsidRDefault="00000000">
            <w:pPr>
              <w:spacing w:before="40" w:after="40" w:line="240" w:lineRule="auto"/>
              <w:ind w:left="0" w:firstLine="0"/>
              <w:jc w:val="center"/>
            </w:pPr>
            <w:r>
              <w:rPr>
                <w:b/>
                <w:bCs/>
                <w:sz w:val="20"/>
                <w:szCs w:val="20"/>
              </w:rPr>
              <w:t>KPSS p-value</w:t>
            </w:r>
          </w:p>
        </w:tc>
        <w:tc>
          <w:tcPr>
            <w:tcW w:w="2015" w:type="dxa"/>
            <w:shd w:val="clear" w:color="auto" w:fill="D9D9D9"/>
            <w:vAlign w:val="center"/>
          </w:tcPr>
          <w:p w14:paraId="7A0D4D92" w14:textId="77777777" w:rsidR="00242F2D" w:rsidRDefault="00000000">
            <w:pPr>
              <w:spacing w:before="40" w:after="40" w:line="240" w:lineRule="auto"/>
              <w:ind w:left="0" w:firstLine="0"/>
              <w:jc w:val="center"/>
            </w:pPr>
            <w:r>
              <w:rPr>
                <w:b/>
                <w:bCs/>
                <w:sz w:val="20"/>
                <w:szCs w:val="20"/>
              </w:rPr>
              <w:t>Result</w:t>
            </w:r>
          </w:p>
        </w:tc>
      </w:tr>
      <w:tr w:rsidR="00242F2D" w14:paraId="42AE4D81" w14:textId="77777777">
        <w:trPr>
          <w:jc w:val="center"/>
        </w:trPr>
        <w:tc>
          <w:tcPr>
            <w:tcW w:w="3744" w:type="dxa"/>
            <w:vAlign w:val="center"/>
          </w:tcPr>
          <w:p w14:paraId="3B9523BD" w14:textId="77777777" w:rsidR="00242F2D" w:rsidRDefault="00000000">
            <w:pPr>
              <w:spacing w:before="40" w:after="40" w:line="240" w:lineRule="auto"/>
              <w:ind w:left="0" w:firstLine="0"/>
              <w:jc w:val="left"/>
            </w:pPr>
            <w:r>
              <w:rPr>
                <w:sz w:val="20"/>
                <w:szCs w:val="20"/>
              </w:rPr>
              <w:t>log y</w:t>
            </w:r>
          </w:p>
        </w:tc>
        <w:tc>
          <w:tcPr>
            <w:tcW w:w="1872" w:type="dxa"/>
            <w:vAlign w:val="center"/>
          </w:tcPr>
          <w:p w14:paraId="6388E3A6" w14:textId="77777777" w:rsidR="00242F2D" w:rsidRDefault="00000000">
            <w:pPr>
              <w:spacing w:before="40" w:after="40" w:line="240" w:lineRule="auto"/>
              <w:ind w:left="0" w:firstLine="0"/>
              <w:jc w:val="center"/>
            </w:pPr>
            <w:r>
              <w:rPr>
                <w:sz w:val="20"/>
                <w:szCs w:val="20"/>
              </w:rPr>
              <w:t>0.0739</w:t>
            </w:r>
          </w:p>
        </w:tc>
        <w:tc>
          <w:tcPr>
            <w:tcW w:w="1872" w:type="dxa"/>
            <w:vAlign w:val="center"/>
          </w:tcPr>
          <w:p w14:paraId="159236EB" w14:textId="77777777" w:rsidR="00242F2D" w:rsidRDefault="00000000">
            <w:pPr>
              <w:spacing w:before="40" w:after="40" w:line="240" w:lineRule="auto"/>
              <w:ind w:left="0" w:firstLine="0"/>
              <w:jc w:val="center"/>
            </w:pPr>
            <w:r>
              <w:rPr>
                <w:sz w:val="20"/>
                <w:szCs w:val="20"/>
              </w:rPr>
              <w:t>0.01</w:t>
            </w:r>
          </w:p>
        </w:tc>
        <w:tc>
          <w:tcPr>
            <w:tcW w:w="2015" w:type="dxa"/>
            <w:vAlign w:val="center"/>
          </w:tcPr>
          <w:p w14:paraId="25518028" w14:textId="77777777" w:rsidR="00242F2D" w:rsidRDefault="00000000">
            <w:pPr>
              <w:spacing w:before="40" w:after="40" w:line="240" w:lineRule="auto"/>
              <w:ind w:left="0" w:firstLine="0"/>
              <w:jc w:val="center"/>
            </w:pPr>
            <w:r>
              <w:rPr>
                <w:sz w:val="20"/>
                <w:szCs w:val="20"/>
              </w:rPr>
              <w:t>Non-stationary</w:t>
            </w:r>
          </w:p>
        </w:tc>
      </w:tr>
      <w:tr w:rsidR="00242F2D" w14:paraId="4F4FA385" w14:textId="77777777">
        <w:trPr>
          <w:jc w:val="center"/>
        </w:trPr>
        <w:tc>
          <w:tcPr>
            <w:tcW w:w="3744" w:type="dxa"/>
            <w:vAlign w:val="center"/>
          </w:tcPr>
          <w:p w14:paraId="33E038F0" w14:textId="77777777" w:rsidR="00242F2D" w:rsidRDefault="00000000">
            <w:pPr>
              <w:spacing w:before="40" w:after="40" w:line="240" w:lineRule="auto"/>
              <w:ind w:left="0" w:firstLine="0"/>
              <w:jc w:val="left"/>
            </w:pPr>
            <w:r>
              <w:rPr>
                <w:sz w:val="20"/>
                <w:szCs w:val="20"/>
              </w:rPr>
              <w:t>First difference of log y</w:t>
            </w:r>
          </w:p>
        </w:tc>
        <w:tc>
          <w:tcPr>
            <w:tcW w:w="1872" w:type="dxa"/>
            <w:vAlign w:val="center"/>
          </w:tcPr>
          <w:p w14:paraId="3BF51851" w14:textId="77777777" w:rsidR="00242F2D" w:rsidRDefault="00000000">
            <w:pPr>
              <w:spacing w:before="40" w:after="40" w:line="240" w:lineRule="auto"/>
              <w:ind w:left="0" w:firstLine="0"/>
              <w:jc w:val="center"/>
            </w:pPr>
            <w:r>
              <w:rPr>
                <w:sz w:val="20"/>
                <w:szCs w:val="20"/>
              </w:rPr>
              <w:t>0.0000</w:t>
            </w:r>
          </w:p>
        </w:tc>
        <w:tc>
          <w:tcPr>
            <w:tcW w:w="1872" w:type="dxa"/>
            <w:vAlign w:val="center"/>
          </w:tcPr>
          <w:p w14:paraId="44B2C00E" w14:textId="77777777" w:rsidR="00242F2D" w:rsidRDefault="00000000">
            <w:pPr>
              <w:spacing w:before="40" w:after="40" w:line="240" w:lineRule="auto"/>
              <w:ind w:left="0" w:firstLine="0"/>
              <w:jc w:val="center"/>
            </w:pPr>
            <w:r>
              <w:rPr>
                <w:sz w:val="20"/>
                <w:szCs w:val="20"/>
              </w:rPr>
              <w:t>0.10</w:t>
            </w:r>
          </w:p>
        </w:tc>
        <w:tc>
          <w:tcPr>
            <w:tcW w:w="2015" w:type="dxa"/>
            <w:vAlign w:val="center"/>
          </w:tcPr>
          <w:p w14:paraId="187EB0C1" w14:textId="77777777" w:rsidR="00242F2D" w:rsidRDefault="00000000">
            <w:pPr>
              <w:spacing w:before="40" w:after="40" w:line="240" w:lineRule="auto"/>
              <w:ind w:left="0" w:firstLine="0"/>
              <w:jc w:val="center"/>
            </w:pPr>
            <w:r>
              <w:rPr>
                <w:sz w:val="20"/>
                <w:szCs w:val="20"/>
              </w:rPr>
              <w:t>Stationary</w:t>
            </w:r>
          </w:p>
        </w:tc>
      </w:tr>
    </w:tbl>
    <w:p w14:paraId="3D410321" w14:textId="77777777" w:rsidR="00242F2D" w:rsidRDefault="00242F2D">
      <w:pPr>
        <w:spacing w:after="120"/>
        <w:ind w:left="0" w:firstLine="0"/>
      </w:pPr>
    </w:p>
    <w:p w14:paraId="0221CC5A" w14:textId="77777777" w:rsidR="00242F2D" w:rsidRDefault="00000000">
      <w:pPr>
        <w:spacing w:after="160"/>
        <w:ind w:left="360" w:firstLine="0"/>
      </w:pPr>
      <w:r>
        <w:t>Log volume is non-stationary, and one difference makes it stationary, so SARIMAX uses d = 1. The ACF of the differenced series (Figure 2) has strong spikes at lags 7, 14, 21 and 28, showing a weekly cycle, so the seasonal period is 7.</w:t>
      </w:r>
    </w:p>
    <w:p w14:paraId="65A9577C" w14:textId="77777777" w:rsidR="00242F2D" w:rsidRDefault="00000000">
      <w:pPr>
        <w:keepNext/>
        <w:spacing w:before="120" w:after="60" w:line="240" w:lineRule="auto"/>
        <w:ind w:left="0" w:firstLine="0"/>
        <w:jc w:val="center"/>
      </w:pPr>
      <w:r>
        <w:rPr>
          <w:noProof/>
        </w:rPr>
        <w:lastRenderedPageBreak/>
        <w:drawing>
          <wp:inline distT="0" distB="0" distL="0" distR="0" wp14:anchorId="015A904E" wp14:editId="0A5EAE7F">
            <wp:extent cx="5669280" cy="1942214"/>
            <wp:effectExtent l="0" t="0" r="0" b="0"/>
            <wp:docPr id="1002" name="Figure 2"/>
            <wp:cNvGraphicFramePr/>
            <a:graphic xmlns:a="http://schemas.openxmlformats.org/drawingml/2006/main">
              <a:graphicData uri="http://schemas.openxmlformats.org/drawingml/2006/picture">
                <pic:pic xmlns:pic="http://schemas.openxmlformats.org/drawingml/2006/picture">
                  <pic:nvPicPr>
                    <pic:cNvPr id="1002" name="fig2.png"/>
                    <pic:cNvPicPr/>
                  </pic:nvPicPr>
                  <pic:blipFill>
                    <a:blip r:embed="rId12"/>
                    <a:stretch>
                      <a:fillRect/>
                    </a:stretch>
                  </pic:blipFill>
                  <pic:spPr>
                    <a:xfrm>
                      <a:off x="0" y="0"/>
                      <a:ext cx="5669280" cy="1942214"/>
                    </a:xfrm>
                    <a:prstGeom prst="rect">
                      <a:avLst/>
                    </a:prstGeom>
                  </pic:spPr>
                </pic:pic>
              </a:graphicData>
            </a:graphic>
          </wp:inline>
        </w:drawing>
      </w:r>
    </w:p>
    <w:p w14:paraId="2C8E1222" w14:textId="77777777" w:rsidR="00242F2D" w:rsidRDefault="00000000">
      <w:pPr>
        <w:spacing w:after="200"/>
        <w:ind w:left="0" w:firstLine="0"/>
        <w:jc w:val="center"/>
      </w:pPr>
      <w:r>
        <w:rPr>
          <w:b/>
          <w:bCs/>
          <w:sz w:val="18"/>
          <w:szCs w:val="18"/>
        </w:rPr>
        <w:t>Figure 2: ACF and PACF of the differenced log series</w:t>
      </w:r>
    </w:p>
    <w:p w14:paraId="615A63EA" w14:textId="77777777" w:rsidR="00242F2D" w:rsidRDefault="00000000">
      <w:pPr>
        <w:keepNext/>
        <w:spacing w:before="120" w:after="60" w:line="240" w:lineRule="auto"/>
        <w:ind w:left="0" w:firstLine="0"/>
        <w:jc w:val="center"/>
      </w:pPr>
      <w:r>
        <w:rPr>
          <w:noProof/>
        </w:rPr>
        <w:drawing>
          <wp:inline distT="0" distB="0" distL="0" distR="0" wp14:anchorId="6D58ED6A" wp14:editId="0798F874">
            <wp:extent cx="5669280" cy="2107539"/>
            <wp:effectExtent l="0" t="0" r="0" b="0"/>
            <wp:docPr id="1003" name="Figure 3"/>
            <wp:cNvGraphicFramePr/>
            <a:graphic xmlns:a="http://schemas.openxmlformats.org/drawingml/2006/main">
              <a:graphicData uri="http://schemas.openxmlformats.org/drawingml/2006/picture">
                <pic:pic xmlns:pic="http://schemas.openxmlformats.org/drawingml/2006/picture">
                  <pic:nvPicPr>
                    <pic:cNvPr id="1003" name="fig3.png"/>
                    <pic:cNvPicPr/>
                  </pic:nvPicPr>
                  <pic:blipFill>
                    <a:blip r:embed="rId13"/>
                    <a:stretch>
                      <a:fillRect/>
                    </a:stretch>
                  </pic:blipFill>
                  <pic:spPr>
                    <a:xfrm>
                      <a:off x="0" y="0"/>
                      <a:ext cx="5669280" cy="2107539"/>
                    </a:xfrm>
                    <a:prstGeom prst="rect">
                      <a:avLst/>
                    </a:prstGeom>
                  </pic:spPr>
                </pic:pic>
              </a:graphicData>
            </a:graphic>
          </wp:inline>
        </w:drawing>
      </w:r>
    </w:p>
    <w:p w14:paraId="63B7DF5F" w14:textId="77777777" w:rsidR="00242F2D" w:rsidRDefault="00000000">
      <w:pPr>
        <w:spacing w:after="200"/>
        <w:ind w:left="0" w:firstLine="0"/>
        <w:jc w:val="center"/>
      </w:pPr>
      <w:r>
        <w:rPr>
          <w:b/>
          <w:bCs/>
          <w:sz w:val="18"/>
          <w:szCs w:val="18"/>
        </w:rPr>
        <w:t>Figure 3: Average weekday and day-of-month profiles (ordinary days only)</w:t>
      </w:r>
    </w:p>
    <w:p w14:paraId="200137C6" w14:textId="77777777" w:rsidR="00242F2D" w:rsidRDefault="00000000">
      <w:pPr>
        <w:spacing w:after="160"/>
        <w:ind w:left="360" w:firstLine="0"/>
      </w:pPr>
      <w:r>
        <w:t>Saturday volume is about 3% above the weekly average and Sunday about 6.5% below. Days 1 to 5 of each month are about 4.5% above the 28-day average, and the last two days about 1.7% above it. Both patterns are recurring calendar effects that the models must capture.</w:t>
      </w:r>
    </w:p>
    <w:p w14:paraId="69C56EDC" w14:textId="77777777" w:rsidR="00242F2D" w:rsidRDefault="00000000">
      <w:pPr>
        <w:pStyle w:val="Heading3"/>
        <w:ind w:left="0" w:firstLine="0"/>
        <w:jc w:val="left"/>
      </w:pPr>
      <w:bookmarkStart w:id="20" w:name="_Toc023"/>
      <w:bookmarkEnd w:id="20"/>
      <w:r>
        <w:t>6.2 SARIMAX Order Selection</w:t>
      </w:r>
    </w:p>
    <w:p w14:paraId="563AD625" w14:textId="77777777" w:rsidR="00242F2D" w:rsidRDefault="00000000">
      <w:pPr>
        <w:keepNext/>
        <w:spacing w:before="120" w:after="80" w:line="240" w:lineRule="auto"/>
        <w:ind w:left="0" w:firstLine="0"/>
        <w:jc w:val="center"/>
      </w:pPr>
      <w:r>
        <w:rPr>
          <w:b/>
          <w:bCs/>
          <w:sz w:val="18"/>
          <w:szCs w:val="18"/>
        </w:rPr>
        <w:t>Table 4: Five best SARIMAX models by AIC (2022 to 2023)</w:t>
      </w:r>
    </w:p>
    <w:tbl>
      <w:tblPr>
        <w:tblStyle w:val="TableNormal0"/>
        <w:tblW w:w="7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880"/>
        <w:gridCol w:w="2160"/>
        <w:gridCol w:w="2160"/>
      </w:tblGrid>
      <w:tr w:rsidR="00242F2D" w14:paraId="473260BE" w14:textId="77777777">
        <w:trPr>
          <w:tblHeader/>
          <w:jc w:val="center"/>
        </w:trPr>
        <w:tc>
          <w:tcPr>
            <w:tcW w:w="2880" w:type="dxa"/>
            <w:shd w:val="clear" w:color="auto" w:fill="D9D9D9"/>
            <w:vAlign w:val="center"/>
          </w:tcPr>
          <w:p w14:paraId="2A363CAF" w14:textId="77777777" w:rsidR="00242F2D" w:rsidRDefault="00000000">
            <w:pPr>
              <w:spacing w:before="40" w:after="40" w:line="240" w:lineRule="auto"/>
              <w:ind w:left="0" w:firstLine="0"/>
              <w:jc w:val="left"/>
            </w:pPr>
            <w:r>
              <w:rPr>
                <w:b/>
                <w:bCs/>
                <w:sz w:val="20"/>
                <w:szCs w:val="20"/>
              </w:rPr>
              <w:t>(p, q, P, Q)</w:t>
            </w:r>
          </w:p>
        </w:tc>
        <w:tc>
          <w:tcPr>
            <w:tcW w:w="2160" w:type="dxa"/>
            <w:shd w:val="clear" w:color="auto" w:fill="D9D9D9"/>
            <w:vAlign w:val="center"/>
          </w:tcPr>
          <w:p w14:paraId="7DC2C6FC" w14:textId="77777777" w:rsidR="00242F2D" w:rsidRDefault="00000000">
            <w:pPr>
              <w:spacing w:before="40" w:after="40" w:line="240" w:lineRule="auto"/>
              <w:ind w:left="0" w:firstLine="0"/>
              <w:jc w:val="center"/>
            </w:pPr>
            <w:r>
              <w:rPr>
                <w:b/>
                <w:bCs/>
                <w:sz w:val="20"/>
                <w:szCs w:val="20"/>
              </w:rPr>
              <w:t>AIC</w:t>
            </w:r>
          </w:p>
        </w:tc>
        <w:tc>
          <w:tcPr>
            <w:tcW w:w="2160" w:type="dxa"/>
            <w:shd w:val="clear" w:color="auto" w:fill="D9D9D9"/>
            <w:vAlign w:val="center"/>
          </w:tcPr>
          <w:p w14:paraId="3458A157" w14:textId="77777777" w:rsidR="00242F2D" w:rsidRDefault="00000000">
            <w:pPr>
              <w:spacing w:before="40" w:after="40" w:line="240" w:lineRule="auto"/>
              <w:ind w:left="0" w:firstLine="0"/>
              <w:jc w:val="center"/>
            </w:pPr>
            <w:r>
              <w:rPr>
                <w:b/>
                <w:bCs/>
                <w:sz w:val="20"/>
                <w:szCs w:val="20"/>
              </w:rPr>
              <w:t>BIC</w:t>
            </w:r>
          </w:p>
        </w:tc>
      </w:tr>
      <w:tr w:rsidR="00242F2D" w14:paraId="1709271E" w14:textId="77777777">
        <w:trPr>
          <w:jc w:val="center"/>
        </w:trPr>
        <w:tc>
          <w:tcPr>
            <w:tcW w:w="2880" w:type="dxa"/>
            <w:vAlign w:val="center"/>
          </w:tcPr>
          <w:p w14:paraId="72B64691" w14:textId="77777777" w:rsidR="00242F2D" w:rsidRDefault="00000000">
            <w:pPr>
              <w:spacing w:before="40" w:after="40" w:line="240" w:lineRule="auto"/>
              <w:ind w:left="0" w:firstLine="0"/>
              <w:jc w:val="left"/>
            </w:pPr>
            <w:r>
              <w:rPr>
                <w:sz w:val="20"/>
                <w:szCs w:val="20"/>
              </w:rPr>
              <w:t>(1, 1, 1, 1)</w:t>
            </w:r>
          </w:p>
        </w:tc>
        <w:tc>
          <w:tcPr>
            <w:tcW w:w="2160" w:type="dxa"/>
            <w:vAlign w:val="center"/>
          </w:tcPr>
          <w:p w14:paraId="55BE17F1" w14:textId="77777777" w:rsidR="00242F2D" w:rsidRDefault="00000000">
            <w:pPr>
              <w:spacing w:before="40" w:after="40" w:line="240" w:lineRule="auto"/>
              <w:ind w:left="0" w:firstLine="0"/>
              <w:jc w:val="center"/>
            </w:pPr>
            <w:r>
              <w:rPr>
                <w:sz w:val="20"/>
                <w:szCs w:val="20"/>
              </w:rPr>
              <w:t>-3080.1</w:t>
            </w:r>
          </w:p>
        </w:tc>
        <w:tc>
          <w:tcPr>
            <w:tcW w:w="2160" w:type="dxa"/>
            <w:vAlign w:val="center"/>
          </w:tcPr>
          <w:p w14:paraId="78A96EB6" w14:textId="77777777" w:rsidR="00242F2D" w:rsidRDefault="00000000">
            <w:pPr>
              <w:spacing w:before="40" w:after="40" w:line="240" w:lineRule="auto"/>
              <w:ind w:left="0" w:firstLine="0"/>
              <w:jc w:val="center"/>
            </w:pPr>
            <w:r>
              <w:rPr>
                <w:sz w:val="20"/>
                <w:szCs w:val="20"/>
              </w:rPr>
              <w:t>-2795.4</w:t>
            </w:r>
          </w:p>
        </w:tc>
      </w:tr>
      <w:tr w:rsidR="00242F2D" w14:paraId="3595764B" w14:textId="77777777">
        <w:trPr>
          <w:jc w:val="center"/>
        </w:trPr>
        <w:tc>
          <w:tcPr>
            <w:tcW w:w="2880" w:type="dxa"/>
            <w:vAlign w:val="center"/>
          </w:tcPr>
          <w:p w14:paraId="552E6C0F" w14:textId="77777777" w:rsidR="00242F2D" w:rsidRDefault="00000000">
            <w:pPr>
              <w:spacing w:before="40" w:after="40" w:line="240" w:lineRule="auto"/>
              <w:ind w:left="0" w:firstLine="0"/>
              <w:jc w:val="left"/>
            </w:pPr>
            <w:r>
              <w:rPr>
                <w:sz w:val="20"/>
                <w:szCs w:val="20"/>
              </w:rPr>
              <w:t>(2, 1, 1, 1)</w:t>
            </w:r>
          </w:p>
        </w:tc>
        <w:tc>
          <w:tcPr>
            <w:tcW w:w="2160" w:type="dxa"/>
            <w:vAlign w:val="center"/>
          </w:tcPr>
          <w:p w14:paraId="70F46432" w14:textId="77777777" w:rsidR="00242F2D" w:rsidRDefault="00000000">
            <w:pPr>
              <w:spacing w:before="40" w:after="40" w:line="240" w:lineRule="auto"/>
              <w:ind w:left="0" w:firstLine="0"/>
              <w:jc w:val="center"/>
            </w:pPr>
            <w:r>
              <w:rPr>
                <w:sz w:val="20"/>
                <w:szCs w:val="20"/>
              </w:rPr>
              <w:t>-3073.5</w:t>
            </w:r>
          </w:p>
        </w:tc>
        <w:tc>
          <w:tcPr>
            <w:tcW w:w="2160" w:type="dxa"/>
            <w:vAlign w:val="center"/>
          </w:tcPr>
          <w:p w14:paraId="6AB4CFD1" w14:textId="77777777" w:rsidR="00242F2D" w:rsidRDefault="00000000">
            <w:pPr>
              <w:spacing w:before="40" w:after="40" w:line="240" w:lineRule="auto"/>
              <w:ind w:left="0" w:firstLine="0"/>
              <w:jc w:val="center"/>
            </w:pPr>
            <w:r>
              <w:rPr>
                <w:sz w:val="20"/>
                <w:szCs w:val="20"/>
              </w:rPr>
              <w:t>-2784.3</w:t>
            </w:r>
          </w:p>
        </w:tc>
      </w:tr>
      <w:tr w:rsidR="00242F2D" w14:paraId="342FB294" w14:textId="77777777">
        <w:trPr>
          <w:jc w:val="center"/>
        </w:trPr>
        <w:tc>
          <w:tcPr>
            <w:tcW w:w="2880" w:type="dxa"/>
            <w:vAlign w:val="center"/>
          </w:tcPr>
          <w:p w14:paraId="41E7EE44" w14:textId="77777777" w:rsidR="00242F2D" w:rsidRDefault="00000000">
            <w:pPr>
              <w:spacing w:before="40" w:after="40" w:line="240" w:lineRule="auto"/>
              <w:ind w:left="0" w:firstLine="0"/>
              <w:jc w:val="left"/>
            </w:pPr>
            <w:r>
              <w:rPr>
                <w:sz w:val="20"/>
                <w:szCs w:val="20"/>
              </w:rPr>
              <w:t>(0, 2, 1, 1)</w:t>
            </w:r>
          </w:p>
        </w:tc>
        <w:tc>
          <w:tcPr>
            <w:tcW w:w="2160" w:type="dxa"/>
            <w:vAlign w:val="center"/>
          </w:tcPr>
          <w:p w14:paraId="79AC8A6E" w14:textId="77777777" w:rsidR="00242F2D" w:rsidRDefault="00000000">
            <w:pPr>
              <w:spacing w:before="40" w:after="40" w:line="240" w:lineRule="auto"/>
              <w:ind w:left="0" w:firstLine="0"/>
              <w:jc w:val="center"/>
            </w:pPr>
            <w:r>
              <w:rPr>
                <w:sz w:val="20"/>
                <w:szCs w:val="20"/>
              </w:rPr>
              <w:t>-3070.9</w:t>
            </w:r>
          </w:p>
        </w:tc>
        <w:tc>
          <w:tcPr>
            <w:tcW w:w="2160" w:type="dxa"/>
            <w:vAlign w:val="center"/>
          </w:tcPr>
          <w:p w14:paraId="6B479518" w14:textId="77777777" w:rsidR="00242F2D" w:rsidRDefault="00000000">
            <w:pPr>
              <w:spacing w:before="40" w:after="40" w:line="240" w:lineRule="auto"/>
              <w:ind w:left="0" w:firstLine="0"/>
              <w:jc w:val="center"/>
            </w:pPr>
            <w:r>
              <w:rPr>
                <w:sz w:val="20"/>
                <w:szCs w:val="20"/>
              </w:rPr>
              <w:t>-2786.2</w:t>
            </w:r>
          </w:p>
        </w:tc>
      </w:tr>
      <w:tr w:rsidR="00242F2D" w14:paraId="3C52EA69" w14:textId="77777777">
        <w:trPr>
          <w:jc w:val="center"/>
        </w:trPr>
        <w:tc>
          <w:tcPr>
            <w:tcW w:w="2880" w:type="dxa"/>
            <w:vAlign w:val="center"/>
          </w:tcPr>
          <w:p w14:paraId="24E2B128" w14:textId="77777777" w:rsidR="00242F2D" w:rsidRDefault="00000000">
            <w:pPr>
              <w:spacing w:before="40" w:after="40" w:line="240" w:lineRule="auto"/>
              <w:ind w:left="0" w:firstLine="0"/>
              <w:jc w:val="left"/>
            </w:pPr>
            <w:r>
              <w:rPr>
                <w:sz w:val="20"/>
                <w:szCs w:val="20"/>
              </w:rPr>
              <w:t>(1, 2, 1, 1)</w:t>
            </w:r>
          </w:p>
        </w:tc>
        <w:tc>
          <w:tcPr>
            <w:tcW w:w="2160" w:type="dxa"/>
            <w:vAlign w:val="center"/>
          </w:tcPr>
          <w:p w14:paraId="27B319C2" w14:textId="77777777" w:rsidR="00242F2D" w:rsidRDefault="00000000">
            <w:pPr>
              <w:spacing w:before="40" w:after="40" w:line="240" w:lineRule="auto"/>
              <w:ind w:left="0" w:firstLine="0"/>
              <w:jc w:val="center"/>
            </w:pPr>
            <w:r>
              <w:rPr>
                <w:sz w:val="20"/>
                <w:szCs w:val="20"/>
              </w:rPr>
              <w:t>-3066.5</w:t>
            </w:r>
          </w:p>
        </w:tc>
        <w:tc>
          <w:tcPr>
            <w:tcW w:w="2160" w:type="dxa"/>
            <w:vAlign w:val="center"/>
          </w:tcPr>
          <w:p w14:paraId="1CEFF33B" w14:textId="77777777" w:rsidR="00242F2D" w:rsidRDefault="00000000">
            <w:pPr>
              <w:spacing w:before="40" w:after="40" w:line="240" w:lineRule="auto"/>
              <w:ind w:left="0" w:firstLine="0"/>
              <w:jc w:val="center"/>
            </w:pPr>
            <w:r>
              <w:rPr>
                <w:sz w:val="20"/>
                <w:szCs w:val="20"/>
              </w:rPr>
              <w:t>-2777.2</w:t>
            </w:r>
          </w:p>
        </w:tc>
      </w:tr>
      <w:tr w:rsidR="00242F2D" w14:paraId="33798695" w14:textId="77777777">
        <w:trPr>
          <w:jc w:val="center"/>
        </w:trPr>
        <w:tc>
          <w:tcPr>
            <w:tcW w:w="2880" w:type="dxa"/>
            <w:vAlign w:val="center"/>
          </w:tcPr>
          <w:p w14:paraId="53F79F07" w14:textId="77777777" w:rsidR="00242F2D" w:rsidRDefault="00000000">
            <w:pPr>
              <w:spacing w:before="40" w:after="40" w:line="240" w:lineRule="auto"/>
              <w:ind w:left="0" w:firstLine="0"/>
              <w:jc w:val="left"/>
            </w:pPr>
            <w:r>
              <w:rPr>
                <w:sz w:val="20"/>
                <w:szCs w:val="20"/>
              </w:rPr>
              <w:t>(2, 2, 1, 1)</w:t>
            </w:r>
          </w:p>
        </w:tc>
        <w:tc>
          <w:tcPr>
            <w:tcW w:w="2160" w:type="dxa"/>
            <w:vAlign w:val="center"/>
          </w:tcPr>
          <w:p w14:paraId="5D9CA410" w14:textId="77777777" w:rsidR="00242F2D" w:rsidRDefault="00000000">
            <w:pPr>
              <w:spacing w:before="40" w:after="40" w:line="240" w:lineRule="auto"/>
              <w:ind w:left="0" w:firstLine="0"/>
              <w:jc w:val="center"/>
            </w:pPr>
            <w:r>
              <w:rPr>
                <w:sz w:val="20"/>
                <w:szCs w:val="20"/>
              </w:rPr>
              <w:t>-3048.4</w:t>
            </w:r>
          </w:p>
        </w:tc>
        <w:tc>
          <w:tcPr>
            <w:tcW w:w="2160" w:type="dxa"/>
            <w:vAlign w:val="center"/>
          </w:tcPr>
          <w:p w14:paraId="5D4ECF74" w14:textId="77777777" w:rsidR="00242F2D" w:rsidRDefault="00000000">
            <w:pPr>
              <w:spacing w:before="40" w:after="40" w:line="240" w:lineRule="auto"/>
              <w:ind w:left="0" w:firstLine="0"/>
              <w:jc w:val="center"/>
            </w:pPr>
            <w:r>
              <w:rPr>
                <w:sz w:val="20"/>
                <w:szCs w:val="20"/>
              </w:rPr>
              <w:t>-2754.6</w:t>
            </w:r>
          </w:p>
        </w:tc>
      </w:tr>
    </w:tbl>
    <w:p w14:paraId="582CDC1E" w14:textId="77777777" w:rsidR="00242F2D" w:rsidRDefault="00242F2D">
      <w:pPr>
        <w:spacing w:after="120"/>
        <w:ind w:left="0" w:firstLine="0"/>
      </w:pPr>
    </w:p>
    <w:p w14:paraId="4C054A82" w14:textId="77777777" w:rsidR="00242F2D" w:rsidRDefault="00000000">
      <w:pPr>
        <w:spacing w:after="160"/>
        <w:ind w:left="360" w:firstLine="0"/>
      </w:pPr>
      <w:r>
        <w:lastRenderedPageBreak/>
        <w:t>The AIC search selected SARIMAX(1,1,1)(1,0,1) with a weekly period. All five best models include seasonal AR and MA terms, so the weekly pattern matters most. The residual diagnostics (Figure 4) look fairly close to white noise: the Ljung-Box test finds only a small amount of autocorrelation (p = 0.010 at lag 7 and 0.001 at lag 14), far less than in the Prophet residuals.</w:t>
      </w:r>
    </w:p>
    <w:p w14:paraId="02082E61" w14:textId="77777777" w:rsidR="00242F2D" w:rsidRDefault="00000000">
      <w:pPr>
        <w:keepNext/>
        <w:spacing w:before="120" w:after="60" w:line="240" w:lineRule="auto"/>
        <w:ind w:left="0" w:firstLine="0"/>
        <w:jc w:val="center"/>
      </w:pPr>
      <w:r>
        <w:rPr>
          <w:noProof/>
        </w:rPr>
        <w:drawing>
          <wp:inline distT="0" distB="0" distL="0" distR="0" wp14:anchorId="12803C75" wp14:editId="5C9BFE76">
            <wp:extent cx="5303520" cy="3617964"/>
            <wp:effectExtent l="0" t="0" r="0" b="0"/>
            <wp:docPr id="1004" name="Figure 4"/>
            <wp:cNvGraphicFramePr/>
            <a:graphic xmlns:a="http://schemas.openxmlformats.org/drawingml/2006/main">
              <a:graphicData uri="http://schemas.openxmlformats.org/drawingml/2006/picture">
                <pic:pic xmlns:pic="http://schemas.openxmlformats.org/drawingml/2006/picture">
                  <pic:nvPicPr>
                    <pic:cNvPr id="1004" name="fig4.png"/>
                    <pic:cNvPicPr/>
                  </pic:nvPicPr>
                  <pic:blipFill>
                    <a:blip r:embed="rId14"/>
                    <a:stretch>
                      <a:fillRect/>
                    </a:stretch>
                  </pic:blipFill>
                  <pic:spPr>
                    <a:xfrm>
                      <a:off x="0" y="0"/>
                      <a:ext cx="5303520" cy="3617964"/>
                    </a:xfrm>
                    <a:prstGeom prst="rect">
                      <a:avLst/>
                    </a:prstGeom>
                  </pic:spPr>
                </pic:pic>
              </a:graphicData>
            </a:graphic>
          </wp:inline>
        </w:drawing>
      </w:r>
    </w:p>
    <w:p w14:paraId="0EE7E7DA" w14:textId="77777777" w:rsidR="00242F2D" w:rsidRDefault="00000000">
      <w:pPr>
        <w:spacing w:after="200"/>
        <w:ind w:left="0" w:firstLine="0"/>
        <w:jc w:val="center"/>
      </w:pPr>
      <w:r>
        <w:rPr>
          <w:b/>
          <w:bCs/>
          <w:sz w:val="18"/>
          <w:szCs w:val="18"/>
        </w:rPr>
        <w:t>Figure 4: Residual diagnostics of the selected SARIMAX model</w:t>
      </w:r>
    </w:p>
    <w:p w14:paraId="71B65AE7" w14:textId="77777777" w:rsidR="00242F2D" w:rsidRDefault="00000000">
      <w:pPr>
        <w:pStyle w:val="Heading3"/>
        <w:ind w:left="0" w:firstLine="0"/>
        <w:jc w:val="left"/>
      </w:pPr>
      <w:bookmarkStart w:id="21" w:name="_Toc024"/>
      <w:bookmarkEnd w:id="21"/>
      <w:r>
        <w:t>6.3 Forecast Accuracy</w:t>
      </w:r>
    </w:p>
    <w:p w14:paraId="7BCA5669" w14:textId="77777777" w:rsidR="00242F2D" w:rsidRDefault="00000000">
      <w:pPr>
        <w:keepNext/>
        <w:spacing w:before="120" w:after="80" w:line="240" w:lineRule="auto"/>
        <w:ind w:left="0" w:firstLine="0"/>
        <w:jc w:val="center"/>
      </w:pPr>
      <w:r>
        <w:rPr>
          <w:b/>
          <w:bCs/>
          <w:sz w:val="18"/>
          <w:szCs w:val="18"/>
        </w:rPr>
        <w:t>Table 5: Cross-validated forecast accuracy (10 folds, 90-day horizon)</w:t>
      </w:r>
    </w:p>
    <w:tbl>
      <w:tblPr>
        <w:tblStyle w:val="TableNormal0"/>
        <w:tblW w:w="100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168"/>
        <w:gridCol w:w="1080"/>
        <w:gridCol w:w="1080"/>
        <w:gridCol w:w="1080"/>
        <w:gridCol w:w="1296"/>
        <w:gridCol w:w="1224"/>
        <w:gridCol w:w="1080"/>
      </w:tblGrid>
      <w:tr w:rsidR="00242F2D" w14:paraId="5C482404" w14:textId="77777777">
        <w:trPr>
          <w:tblHeader/>
          <w:jc w:val="center"/>
        </w:trPr>
        <w:tc>
          <w:tcPr>
            <w:tcW w:w="3168" w:type="dxa"/>
            <w:shd w:val="clear" w:color="auto" w:fill="D9D9D9"/>
            <w:vAlign w:val="center"/>
          </w:tcPr>
          <w:p w14:paraId="1C61FC26" w14:textId="77777777" w:rsidR="00242F2D" w:rsidRDefault="00000000">
            <w:pPr>
              <w:spacing w:before="40" w:after="40" w:line="240" w:lineRule="auto"/>
              <w:ind w:left="0" w:firstLine="0"/>
              <w:jc w:val="left"/>
            </w:pPr>
            <w:r>
              <w:rPr>
                <w:b/>
                <w:bCs/>
                <w:sz w:val="20"/>
                <w:szCs w:val="20"/>
              </w:rPr>
              <w:t>Model</w:t>
            </w:r>
          </w:p>
        </w:tc>
        <w:tc>
          <w:tcPr>
            <w:tcW w:w="1080" w:type="dxa"/>
            <w:shd w:val="clear" w:color="auto" w:fill="D9D9D9"/>
            <w:vAlign w:val="center"/>
          </w:tcPr>
          <w:p w14:paraId="7612F6F9" w14:textId="77777777" w:rsidR="00242F2D" w:rsidRDefault="00000000">
            <w:pPr>
              <w:spacing w:before="40" w:after="40" w:line="240" w:lineRule="auto"/>
              <w:ind w:left="0" w:firstLine="0"/>
              <w:jc w:val="center"/>
            </w:pPr>
            <w:r>
              <w:rPr>
                <w:b/>
                <w:bCs/>
                <w:sz w:val="20"/>
                <w:szCs w:val="20"/>
              </w:rPr>
              <w:t>MAPE %</w:t>
            </w:r>
          </w:p>
        </w:tc>
        <w:tc>
          <w:tcPr>
            <w:tcW w:w="1080" w:type="dxa"/>
            <w:shd w:val="clear" w:color="auto" w:fill="D9D9D9"/>
            <w:vAlign w:val="center"/>
          </w:tcPr>
          <w:p w14:paraId="50999F00" w14:textId="77777777" w:rsidR="00242F2D" w:rsidRDefault="00000000">
            <w:pPr>
              <w:spacing w:before="40" w:after="40" w:line="240" w:lineRule="auto"/>
              <w:ind w:left="0" w:firstLine="0"/>
              <w:jc w:val="center"/>
            </w:pPr>
            <w:r>
              <w:rPr>
                <w:b/>
                <w:bCs/>
                <w:sz w:val="20"/>
                <w:szCs w:val="20"/>
              </w:rPr>
              <w:t>MAE</w:t>
            </w:r>
          </w:p>
        </w:tc>
        <w:tc>
          <w:tcPr>
            <w:tcW w:w="1080" w:type="dxa"/>
            <w:shd w:val="clear" w:color="auto" w:fill="D9D9D9"/>
            <w:vAlign w:val="center"/>
          </w:tcPr>
          <w:p w14:paraId="30759619" w14:textId="77777777" w:rsidR="00242F2D" w:rsidRDefault="00000000">
            <w:pPr>
              <w:spacing w:before="40" w:after="40" w:line="240" w:lineRule="auto"/>
              <w:ind w:left="0" w:firstLine="0"/>
              <w:jc w:val="center"/>
            </w:pPr>
            <w:r>
              <w:rPr>
                <w:b/>
                <w:bCs/>
                <w:sz w:val="20"/>
                <w:szCs w:val="20"/>
              </w:rPr>
              <w:t>RMSE</w:t>
            </w:r>
          </w:p>
        </w:tc>
        <w:tc>
          <w:tcPr>
            <w:tcW w:w="1296" w:type="dxa"/>
            <w:shd w:val="clear" w:color="auto" w:fill="D9D9D9"/>
            <w:vAlign w:val="center"/>
          </w:tcPr>
          <w:p w14:paraId="2A0C016B" w14:textId="77777777" w:rsidR="00242F2D" w:rsidRDefault="00000000">
            <w:pPr>
              <w:spacing w:before="40" w:after="40" w:line="240" w:lineRule="auto"/>
              <w:ind w:left="0" w:firstLine="0"/>
              <w:jc w:val="center"/>
            </w:pPr>
            <w:r>
              <w:rPr>
                <w:b/>
                <w:bCs/>
                <w:sz w:val="20"/>
                <w:szCs w:val="20"/>
              </w:rPr>
              <w:t>Ordinary %</w:t>
            </w:r>
          </w:p>
        </w:tc>
        <w:tc>
          <w:tcPr>
            <w:tcW w:w="1224" w:type="dxa"/>
            <w:shd w:val="clear" w:color="auto" w:fill="D9D9D9"/>
            <w:vAlign w:val="center"/>
          </w:tcPr>
          <w:p w14:paraId="299F3286" w14:textId="77777777" w:rsidR="00242F2D" w:rsidRDefault="00000000">
            <w:pPr>
              <w:spacing w:before="40" w:after="40" w:line="240" w:lineRule="auto"/>
              <w:ind w:left="0" w:firstLine="0"/>
              <w:jc w:val="center"/>
            </w:pPr>
            <w:r>
              <w:rPr>
                <w:b/>
                <w:bCs/>
                <w:sz w:val="20"/>
                <w:szCs w:val="20"/>
              </w:rPr>
              <w:t>Holiday %</w:t>
            </w:r>
          </w:p>
        </w:tc>
        <w:tc>
          <w:tcPr>
            <w:tcW w:w="1080" w:type="dxa"/>
            <w:shd w:val="clear" w:color="auto" w:fill="D9D9D9"/>
            <w:vAlign w:val="center"/>
          </w:tcPr>
          <w:p w14:paraId="5B62118D" w14:textId="77777777" w:rsidR="00242F2D" w:rsidRDefault="00000000">
            <w:pPr>
              <w:spacing w:before="40" w:after="40" w:line="240" w:lineRule="auto"/>
              <w:ind w:left="0" w:firstLine="0"/>
              <w:jc w:val="center"/>
            </w:pPr>
            <w:r>
              <w:rPr>
                <w:b/>
                <w:bCs/>
                <w:sz w:val="20"/>
                <w:szCs w:val="20"/>
              </w:rPr>
              <w:t>Sale %</w:t>
            </w:r>
          </w:p>
        </w:tc>
      </w:tr>
      <w:tr w:rsidR="00242F2D" w14:paraId="4D748477" w14:textId="77777777">
        <w:trPr>
          <w:jc w:val="center"/>
        </w:trPr>
        <w:tc>
          <w:tcPr>
            <w:tcW w:w="3168" w:type="dxa"/>
            <w:vAlign w:val="center"/>
          </w:tcPr>
          <w:p w14:paraId="569A8678" w14:textId="77777777" w:rsidR="00242F2D" w:rsidRDefault="00000000">
            <w:pPr>
              <w:spacing w:before="40" w:after="40" w:line="240" w:lineRule="auto"/>
              <w:ind w:left="0" w:firstLine="0"/>
              <w:jc w:val="left"/>
            </w:pPr>
            <w:r>
              <w:rPr>
                <w:sz w:val="20"/>
                <w:szCs w:val="20"/>
              </w:rPr>
              <w:t>Seasonal naive</w:t>
            </w:r>
          </w:p>
        </w:tc>
        <w:tc>
          <w:tcPr>
            <w:tcW w:w="1080" w:type="dxa"/>
            <w:vAlign w:val="center"/>
          </w:tcPr>
          <w:p w14:paraId="01257B58" w14:textId="77777777" w:rsidR="00242F2D" w:rsidRDefault="00000000">
            <w:pPr>
              <w:spacing w:before="40" w:after="40" w:line="240" w:lineRule="auto"/>
              <w:ind w:left="0" w:firstLine="0"/>
              <w:jc w:val="center"/>
            </w:pPr>
            <w:r>
              <w:rPr>
                <w:sz w:val="20"/>
                <w:szCs w:val="20"/>
              </w:rPr>
              <w:t>5.54</w:t>
            </w:r>
          </w:p>
        </w:tc>
        <w:tc>
          <w:tcPr>
            <w:tcW w:w="1080" w:type="dxa"/>
            <w:vAlign w:val="center"/>
          </w:tcPr>
          <w:p w14:paraId="15F998F7" w14:textId="77777777" w:rsidR="00242F2D" w:rsidRDefault="00000000">
            <w:pPr>
              <w:spacing w:before="40" w:after="40" w:line="240" w:lineRule="auto"/>
              <w:ind w:left="0" w:firstLine="0"/>
              <w:jc w:val="center"/>
            </w:pPr>
            <w:r>
              <w:rPr>
                <w:sz w:val="20"/>
                <w:szCs w:val="20"/>
              </w:rPr>
              <w:t>32.48</w:t>
            </w:r>
          </w:p>
        </w:tc>
        <w:tc>
          <w:tcPr>
            <w:tcW w:w="1080" w:type="dxa"/>
            <w:vAlign w:val="center"/>
          </w:tcPr>
          <w:p w14:paraId="236E05D6" w14:textId="77777777" w:rsidR="00242F2D" w:rsidRDefault="00000000">
            <w:pPr>
              <w:spacing w:before="40" w:after="40" w:line="240" w:lineRule="auto"/>
              <w:ind w:left="0" w:firstLine="0"/>
              <w:jc w:val="center"/>
            </w:pPr>
            <w:r>
              <w:rPr>
                <w:sz w:val="20"/>
                <w:szCs w:val="20"/>
              </w:rPr>
              <w:t>41.08</w:t>
            </w:r>
          </w:p>
        </w:tc>
        <w:tc>
          <w:tcPr>
            <w:tcW w:w="1296" w:type="dxa"/>
            <w:vAlign w:val="center"/>
          </w:tcPr>
          <w:p w14:paraId="4EE2BA5F" w14:textId="77777777" w:rsidR="00242F2D" w:rsidRDefault="00000000">
            <w:pPr>
              <w:spacing w:before="40" w:after="40" w:line="240" w:lineRule="auto"/>
              <w:ind w:left="0" w:firstLine="0"/>
              <w:jc w:val="center"/>
            </w:pPr>
            <w:r>
              <w:rPr>
                <w:sz w:val="20"/>
                <w:szCs w:val="20"/>
              </w:rPr>
              <w:t>5.29</w:t>
            </w:r>
          </w:p>
        </w:tc>
        <w:tc>
          <w:tcPr>
            <w:tcW w:w="1224" w:type="dxa"/>
            <w:vAlign w:val="center"/>
          </w:tcPr>
          <w:p w14:paraId="6B14A59D" w14:textId="77777777" w:rsidR="00242F2D" w:rsidRDefault="00000000">
            <w:pPr>
              <w:spacing w:before="40" w:after="40" w:line="240" w:lineRule="auto"/>
              <w:ind w:left="0" w:firstLine="0"/>
              <w:jc w:val="center"/>
            </w:pPr>
            <w:r>
              <w:rPr>
                <w:sz w:val="20"/>
                <w:szCs w:val="20"/>
              </w:rPr>
              <w:t>7.88</w:t>
            </w:r>
          </w:p>
        </w:tc>
        <w:tc>
          <w:tcPr>
            <w:tcW w:w="1080" w:type="dxa"/>
            <w:vAlign w:val="center"/>
          </w:tcPr>
          <w:p w14:paraId="12226B21" w14:textId="77777777" w:rsidR="00242F2D" w:rsidRDefault="00000000">
            <w:pPr>
              <w:spacing w:before="40" w:after="40" w:line="240" w:lineRule="auto"/>
              <w:ind w:left="0" w:firstLine="0"/>
              <w:jc w:val="center"/>
            </w:pPr>
            <w:r>
              <w:rPr>
                <w:sz w:val="20"/>
                <w:szCs w:val="20"/>
              </w:rPr>
              <w:t>11.01</w:t>
            </w:r>
          </w:p>
        </w:tc>
      </w:tr>
      <w:tr w:rsidR="00242F2D" w14:paraId="6A757B43" w14:textId="77777777">
        <w:trPr>
          <w:jc w:val="center"/>
        </w:trPr>
        <w:tc>
          <w:tcPr>
            <w:tcW w:w="3168" w:type="dxa"/>
            <w:vAlign w:val="center"/>
          </w:tcPr>
          <w:p w14:paraId="0A0A9AE8" w14:textId="77777777" w:rsidR="00242F2D" w:rsidRDefault="00000000">
            <w:pPr>
              <w:spacing w:before="40" w:after="40" w:line="240" w:lineRule="auto"/>
              <w:ind w:left="0" w:firstLine="0"/>
              <w:jc w:val="left"/>
            </w:pPr>
            <w:r>
              <w:rPr>
                <w:sz w:val="20"/>
                <w:szCs w:val="20"/>
              </w:rPr>
              <w:t>SARIMAX</w:t>
            </w:r>
          </w:p>
        </w:tc>
        <w:tc>
          <w:tcPr>
            <w:tcW w:w="1080" w:type="dxa"/>
            <w:vAlign w:val="center"/>
          </w:tcPr>
          <w:p w14:paraId="53E5694E" w14:textId="77777777" w:rsidR="00242F2D" w:rsidRDefault="00000000">
            <w:pPr>
              <w:spacing w:before="40" w:after="40" w:line="240" w:lineRule="auto"/>
              <w:ind w:left="0" w:firstLine="0"/>
              <w:jc w:val="center"/>
            </w:pPr>
            <w:r>
              <w:rPr>
                <w:sz w:val="20"/>
                <w:szCs w:val="20"/>
              </w:rPr>
              <w:t>4.73</w:t>
            </w:r>
          </w:p>
        </w:tc>
        <w:tc>
          <w:tcPr>
            <w:tcW w:w="1080" w:type="dxa"/>
            <w:vAlign w:val="center"/>
          </w:tcPr>
          <w:p w14:paraId="2305C9ED" w14:textId="77777777" w:rsidR="00242F2D" w:rsidRDefault="00000000">
            <w:pPr>
              <w:spacing w:before="40" w:after="40" w:line="240" w:lineRule="auto"/>
              <w:ind w:left="0" w:firstLine="0"/>
              <w:jc w:val="center"/>
            </w:pPr>
            <w:r>
              <w:rPr>
                <w:sz w:val="20"/>
                <w:szCs w:val="20"/>
              </w:rPr>
              <w:t>28.64</w:t>
            </w:r>
          </w:p>
        </w:tc>
        <w:tc>
          <w:tcPr>
            <w:tcW w:w="1080" w:type="dxa"/>
            <w:vAlign w:val="center"/>
          </w:tcPr>
          <w:p w14:paraId="302054DA" w14:textId="77777777" w:rsidR="00242F2D" w:rsidRDefault="00000000">
            <w:pPr>
              <w:spacing w:before="40" w:after="40" w:line="240" w:lineRule="auto"/>
              <w:ind w:left="0" w:firstLine="0"/>
              <w:jc w:val="center"/>
            </w:pPr>
            <w:r>
              <w:rPr>
                <w:sz w:val="20"/>
                <w:szCs w:val="20"/>
              </w:rPr>
              <w:t>38.03</w:t>
            </w:r>
          </w:p>
        </w:tc>
        <w:tc>
          <w:tcPr>
            <w:tcW w:w="1296" w:type="dxa"/>
            <w:vAlign w:val="center"/>
          </w:tcPr>
          <w:p w14:paraId="6363FB2C" w14:textId="77777777" w:rsidR="00242F2D" w:rsidRDefault="00000000">
            <w:pPr>
              <w:spacing w:before="40" w:after="40" w:line="240" w:lineRule="auto"/>
              <w:ind w:left="0" w:firstLine="0"/>
              <w:jc w:val="center"/>
            </w:pPr>
            <w:r>
              <w:rPr>
                <w:sz w:val="20"/>
                <w:szCs w:val="20"/>
              </w:rPr>
              <w:t>4.61</w:t>
            </w:r>
          </w:p>
        </w:tc>
        <w:tc>
          <w:tcPr>
            <w:tcW w:w="1224" w:type="dxa"/>
            <w:vAlign w:val="center"/>
          </w:tcPr>
          <w:p w14:paraId="0DA7A7DF" w14:textId="77777777" w:rsidR="00242F2D" w:rsidRDefault="00000000">
            <w:pPr>
              <w:spacing w:before="40" w:after="40" w:line="240" w:lineRule="auto"/>
              <w:ind w:left="0" w:firstLine="0"/>
              <w:jc w:val="center"/>
            </w:pPr>
            <w:r>
              <w:rPr>
                <w:sz w:val="20"/>
                <w:szCs w:val="20"/>
              </w:rPr>
              <w:t>6.32</w:t>
            </w:r>
          </w:p>
        </w:tc>
        <w:tc>
          <w:tcPr>
            <w:tcW w:w="1080" w:type="dxa"/>
            <w:vAlign w:val="center"/>
          </w:tcPr>
          <w:p w14:paraId="73DFC42A" w14:textId="77777777" w:rsidR="00242F2D" w:rsidRDefault="00000000">
            <w:pPr>
              <w:spacing w:before="40" w:after="40" w:line="240" w:lineRule="auto"/>
              <w:ind w:left="0" w:firstLine="0"/>
              <w:jc w:val="center"/>
            </w:pPr>
            <w:r>
              <w:rPr>
                <w:sz w:val="20"/>
                <w:szCs w:val="20"/>
              </w:rPr>
              <w:t>4.56</w:t>
            </w:r>
          </w:p>
        </w:tc>
      </w:tr>
      <w:tr w:rsidR="00242F2D" w14:paraId="5B50B9AE" w14:textId="77777777">
        <w:trPr>
          <w:jc w:val="center"/>
        </w:trPr>
        <w:tc>
          <w:tcPr>
            <w:tcW w:w="3168" w:type="dxa"/>
            <w:vAlign w:val="center"/>
          </w:tcPr>
          <w:p w14:paraId="3806AADB" w14:textId="77777777" w:rsidR="00242F2D" w:rsidRDefault="00000000">
            <w:pPr>
              <w:spacing w:before="40" w:after="40" w:line="240" w:lineRule="auto"/>
              <w:ind w:left="0" w:firstLine="0"/>
              <w:jc w:val="left"/>
            </w:pPr>
            <w:r>
              <w:rPr>
                <w:sz w:val="20"/>
                <w:szCs w:val="20"/>
              </w:rPr>
              <w:t>Prophet base</w:t>
            </w:r>
          </w:p>
        </w:tc>
        <w:tc>
          <w:tcPr>
            <w:tcW w:w="1080" w:type="dxa"/>
            <w:vAlign w:val="center"/>
          </w:tcPr>
          <w:p w14:paraId="72D57483" w14:textId="77777777" w:rsidR="00242F2D" w:rsidRDefault="00000000">
            <w:pPr>
              <w:spacing w:before="40" w:after="40" w:line="240" w:lineRule="auto"/>
              <w:ind w:left="0" w:firstLine="0"/>
              <w:jc w:val="center"/>
            </w:pPr>
            <w:r>
              <w:rPr>
                <w:sz w:val="20"/>
                <w:szCs w:val="20"/>
              </w:rPr>
              <w:t>3.32</w:t>
            </w:r>
          </w:p>
        </w:tc>
        <w:tc>
          <w:tcPr>
            <w:tcW w:w="1080" w:type="dxa"/>
            <w:vAlign w:val="center"/>
          </w:tcPr>
          <w:p w14:paraId="01E3C772" w14:textId="77777777" w:rsidR="00242F2D" w:rsidRDefault="00000000">
            <w:pPr>
              <w:spacing w:before="40" w:after="40" w:line="240" w:lineRule="auto"/>
              <w:ind w:left="0" w:firstLine="0"/>
              <w:jc w:val="center"/>
            </w:pPr>
            <w:r>
              <w:rPr>
                <w:sz w:val="20"/>
                <w:szCs w:val="20"/>
              </w:rPr>
              <w:t>19.48</w:t>
            </w:r>
          </w:p>
        </w:tc>
        <w:tc>
          <w:tcPr>
            <w:tcW w:w="1080" w:type="dxa"/>
            <w:vAlign w:val="center"/>
          </w:tcPr>
          <w:p w14:paraId="1A670BA6" w14:textId="77777777" w:rsidR="00242F2D" w:rsidRDefault="00000000">
            <w:pPr>
              <w:spacing w:before="40" w:after="40" w:line="240" w:lineRule="auto"/>
              <w:ind w:left="0" w:firstLine="0"/>
              <w:jc w:val="center"/>
            </w:pPr>
            <w:r>
              <w:rPr>
                <w:sz w:val="20"/>
                <w:szCs w:val="20"/>
              </w:rPr>
              <w:t>25.43</w:t>
            </w:r>
          </w:p>
        </w:tc>
        <w:tc>
          <w:tcPr>
            <w:tcW w:w="1296" w:type="dxa"/>
            <w:vAlign w:val="center"/>
          </w:tcPr>
          <w:p w14:paraId="7E36B1BA" w14:textId="77777777" w:rsidR="00242F2D" w:rsidRDefault="00000000">
            <w:pPr>
              <w:spacing w:before="40" w:after="40" w:line="240" w:lineRule="auto"/>
              <w:ind w:left="0" w:firstLine="0"/>
              <w:jc w:val="center"/>
            </w:pPr>
            <w:r>
              <w:rPr>
                <w:sz w:val="20"/>
                <w:szCs w:val="20"/>
              </w:rPr>
              <w:t>3.11</w:t>
            </w:r>
          </w:p>
        </w:tc>
        <w:tc>
          <w:tcPr>
            <w:tcW w:w="1224" w:type="dxa"/>
            <w:vAlign w:val="center"/>
          </w:tcPr>
          <w:p w14:paraId="134D15EC" w14:textId="77777777" w:rsidR="00242F2D" w:rsidRDefault="00000000">
            <w:pPr>
              <w:spacing w:before="40" w:after="40" w:line="240" w:lineRule="auto"/>
              <w:ind w:left="0" w:firstLine="0"/>
              <w:jc w:val="center"/>
            </w:pPr>
            <w:r>
              <w:rPr>
                <w:sz w:val="20"/>
                <w:szCs w:val="20"/>
              </w:rPr>
              <w:t>5.21</w:t>
            </w:r>
          </w:p>
        </w:tc>
        <w:tc>
          <w:tcPr>
            <w:tcW w:w="1080" w:type="dxa"/>
            <w:vAlign w:val="center"/>
          </w:tcPr>
          <w:p w14:paraId="0F4EC10D" w14:textId="77777777" w:rsidR="00242F2D" w:rsidRDefault="00000000">
            <w:pPr>
              <w:spacing w:before="40" w:after="40" w:line="240" w:lineRule="auto"/>
              <w:ind w:left="0" w:firstLine="0"/>
              <w:jc w:val="center"/>
            </w:pPr>
            <w:r>
              <w:rPr>
                <w:sz w:val="20"/>
                <w:szCs w:val="20"/>
              </w:rPr>
              <w:t>7.26</w:t>
            </w:r>
          </w:p>
        </w:tc>
      </w:tr>
      <w:tr w:rsidR="00242F2D" w14:paraId="742D8F2C" w14:textId="77777777">
        <w:trPr>
          <w:jc w:val="center"/>
        </w:trPr>
        <w:tc>
          <w:tcPr>
            <w:tcW w:w="3168" w:type="dxa"/>
            <w:vAlign w:val="center"/>
          </w:tcPr>
          <w:p w14:paraId="42F03DA0" w14:textId="77777777" w:rsidR="00242F2D" w:rsidRDefault="00000000">
            <w:pPr>
              <w:spacing w:before="40" w:after="40" w:line="240" w:lineRule="auto"/>
              <w:ind w:left="0" w:firstLine="0"/>
              <w:jc w:val="left"/>
            </w:pPr>
            <w:r>
              <w:rPr>
                <w:sz w:val="20"/>
                <w:szCs w:val="20"/>
              </w:rPr>
              <w:t>Prophet + holidays</w:t>
            </w:r>
          </w:p>
        </w:tc>
        <w:tc>
          <w:tcPr>
            <w:tcW w:w="1080" w:type="dxa"/>
            <w:vAlign w:val="center"/>
          </w:tcPr>
          <w:p w14:paraId="1578EECE" w14:textId="77777777" w:rsidR="00242F2D" w:rsidRDefault="00000000">
            <w:pPr>
              <w:spacing w:before="40" w:after="40" w:line="240" w:lineRule="auto"/>
              <w:ind w:left="0" w:firstLine="0"/>
              <w:jc w:val="center"/>
            </w:pPr>
            <w:r>
              <w:rPr>
                <w:sz w:val="20"/>
                <w:szCs w:val="20"/>
              </w:rPr>
              <w:t>3.17</w:t>
            </w:r>
          </w:p>
        </w:tc>
        <w:tc>
          <w:tcPr>
            <w:tcW w:w="1080" w:type="dxa"/>
            <w:vAlign w:val="center"/>
          </w:tcPr>
          <w:p w14:paraId="5B6E19D8" w14:textId="77777777" w:rsidR="00242F2D" w:rsidRDefault="00000000">
            <w:pPr>
              <w:spacing w:before="40" w:after="40" w:line="240" w:lineRule="auto"/>
              <w:ind w:left="0" w:firstLine="0"/>
              <w:jc w:val="center"/>
            </w:pPr>
            <w:r>
              <w:rPr>
                <w:sz w:val="20"/>
                <w:szCs w:val="20"/>
              </w:rPr>
              <w:t>18.55</w:t>
            </w:r>
          </w:p>
        </w:tc>
        <w:tc>
          <w:tcPr>
            <w:tcW w:w="1080" w:type="dxa"/>
            <w:vAlign w:val="center"/>
          </w:tcPr>
          <w:p w14:paraId="29E25879" w14:textId="77777777" w:rsidR="00242F2D" w:rsidRDefault="00000000">
            <w:pPr>
              <w:spacing w:before="40" w:after="40" w:line="240" w:lineRule="auto"/>
              <w:ind w:left="0" w:firstLine="0"/>
              <w:jc w:val="center"/>
            </w:pPr>
            <w:r>
              <w:rPr>
                <w:sz w:val="20"/>
                <w:szCs w:val="20"/>
              </w:rPr>
              <w:t>23.87</w:t>
            </w:r>
          </w:p>
        </w:tc>
        <w:tc>
          <w:tcPr>
            <w:tcW w:w="1296" w:type="dxa"/>
            <w:vAlign w:val="center"/>
          </w:tcPr>
          <w:p w14:paraId="6B68EE19" w14:textId="77777777" w:rsidR="00242F2D" w:rsidRDefault="00000000">
            <w:pPr>
              <w:spacing w:before="40" w:after="40" w:line="240" w:lineRule="auto"/>
              <w:ind w:left="0" w:firstLine="0"/>
              <w:jc w:val="center"/>
            </w:pPr>
            <w:r>
              <w:rPr>
                <w:sz w:val="20"/>
                <w:szCs w:val="20"/>
              </w:rPr>
              <w:t>3.07</w:t>
            </w:r>
          </w:p>
        </w:tc>
        <w:tc>
          <w:tcPr>
            <w:tcW w:w="1224" w:type="dxa"/>
            <w:vAlign w:val="center"/>
          </w:tcPr>
          <w:p w14:paraId="3383349C" w14:textId="77777777" w:rsidR="00242F2D" w:rsidRDefault="00000000">
            <w:pPr>
              <w:spacing w:before="40" w:after="40" w:line="240" w:lineRule="auto"/>
              <w:ind w:left="0" w:firstLine="0"/>
              <w:jc w:val="center"/>
            </w:pPr>
            <w:r>
              <w:rPr>
                <w:sz w:val="20"/>
                <w:szCs w:val="20"/>
              </w:rPr>
              <w:t>3.64</w:t>
            </w:r>
          </w:p>
        </w:tc>
        <w:tc>
          <w:tcPr>
            <w:tcW w:w="1080" w:type="dxa"/>
            <w:vAlign w:val="center"/>
          </w:tcPr>
          <w:p w14:paraId="4B86245B" w14:textId="77777777" w:rsidR="00242F2D" w:rsidRDefault="00000000">
            <w:pPr>
              <w:spacing w:before="40" w:after="40" w:line="240" w:lineRule="auto"/>
              <w:ind w:left="0" w:firstLine="0"/>
              <w:jc w:val="center"/>
            </w:pPr>
            <w:r>
              <w:rPr>
                <w:sz w:val="20"/>
                <w:szCs w:val="20"/>
              </w:rPr>
              <w:t>8.56</w:t>
            </w:r>
          </w:p>
        </w:tc>
      </w:tr>
      <w:tr w:rsidR="00242F2D" w14:paraId="75A70FE0" w14:textId="77777777">
        <w:trPr>
          <w:jc w:val="center"/>
        </w:trPr>
        <w:tc>
          <w:tcPr>
            <w:tcW w:w="3168" w:type="dxa"/>
            <w:vAlign w:val="center"/>
          </w:tcPr>
          <w:p w14:paraId="12DA7C34" w14:textId="77777777" w:rsidR="00242F2D" w:rsidRDefault="00000000">
            <w:pPr>
              <w:spacing w:before="40" w:after="40" w:line="240" w:lineRule="auto"/>
              <w:ind w:left="0" w:firstLine="0"/>
              <w:jc w:val="left"/>
            </w:pPr>
            <w:r>
              <w:rPr>
                <w:sz w:val="20"/>
                <w:szCs w:val="20"/>
              </w:rPr>
              <w:t>Prophet + holidays + events</w:t>
            </w:r>
          </w:p>
        </w:tc>
        <w:tc>
          <w:tcPr>
            <w:tcW w:w="1080" w:type="dxa"/>
            <w:vAlign w:val="center"/>
          </w:tcPr>
          <w:p w14:paraId="62DB9C0C" w14:textId="77777777" w:rsidR="00242F2D" w:rsidRDefault="00000000">
            <w:pPr>
              <w:spacing w:before="40" w:after="40" w:line="240" w:lineRule="auto"/>
              <w:ind w:left="0" w:firstLine="0"/>
              <w:jc w:val="center"/>
            </w:pPr>
            <w:r>
              <w:rPr>
                <w:sz w:val="20"/>
                <w:szCs w:val="20"/>
              </w:rPr>
              <w:t>2.44</w:t>
            </w:r>
          </w:p>
        </w:tc>
        <w:tc>
          <w:tcPr>
            <w:tcW w:w="1080" w:type="dxa"/>
            <w:vAlign w:val="center"/>
          </w:tcPr>
          <w:p w14:paraId="1DFE6B4D" w14:textId="77777777" w:rsidR="00242F2D" w:rsidRDefault="00000000">
            <w:pPr>
              <w:spacing w:before="40" w:after="40" w:line="240" w:lineRule="auto"/>
              <w:ind w:left="0" w:firstLine="0"/>
              <w:jc w:val="center"/>
            </w:pPr>
            <w:r>
              <w:rPr>
                <w:sz w:val="20"/>
                <w:szCs w:val="20"/>
              </w:rPr>
              <w:t>14.20</w:t>
            </w:r>
          </w:p>
        </w:tc>
        <w:tc>
          <w:tcPr>
            <w:tcW w:w="1080" w:type="dxa"/>
            <w:vAlign w:val="center"/>
          </w:tcPr>
          <w:p w14:paraId="446734E0" w14:textId="77777777" w:rsidR="00242F2D" w:rsidRDefault="00000000">
            <w:pPr>
              <w:spacing w:before="40" w:after="40" w:line="240" w:lineRule="auto"/>
              <w:ind w:left="0" w:firstLine="0"/>
              <w:jc w:val="center"/>
            </w:pPr>
            <w:r>
              <w:rPr>
                <w:sz w:val="20"/>
                <w:szCs w:val="20"/>
              </w:rPr>
              <w:t>18.14</w:t>
            </w:r>
          </w:p>
        </w:tc>
        <w:tc>
          <w:tcPr>
            <w:tcW w:w="1296" w:type="dxa"/>
            <w:vAlign w:val="center"/>
          </w:tcPr>
          <w:p w14:paraId="46644F4A" w14:textId="77777777" w:rsidR="00242F2D" w:rsidRDefault="00000000">
            <w:pPr>
              <w:spacing w:before="40" w:after="40" w:line="240" w:lineRule="auto"/>
              <w:ind w:left="0" w:firstLine="0"/>
              <w:jc w:val="center"/>
            </w:pPr>
            <w:r>
              <w:rPr>
                <w:sz w:val="20"/>
                <w:szCs w:val="20"/>
              </w:rPr>
              <w:t>2.36</w:t>
            </w:r>
          </w:p>
        </w:tc>
        <w:tc>
          <w:tcPr>
            <w:tcW w:w="1224" w:type="dxa"/>
            <w:vAlign w:val="center"/>
          </w:tcPr>
          <w:p w14:paraId="1142A287" w14:textId="77777777" w:rsidR="00242F2D" w:rsidRDefault="00000000">
            <w:pPr>
              <w:spacing w:before="40" w:after="40" w:line="240" w:lineRule="auto"/>
              <w:ind w:left="0" w:firstLine="0"/>
              <w:jc w:val="center"/>
            </w:pPr>
            <w:r>
              <w:rPr>
                <w:sz w:val="20"/>
                <w:szCs w:val="20"/>
              </w:rPr>
              <w:t>3.10</w:t>
            </w:r>
          </w:p>
        </w:tc>
        <w:tc>
          <w:tcPr>
            <w:tcW w:w="1080" w:type="dxa"/>
            <w:vAlign w:val="center"/>
          </w:tcPr>
          <w:p w14:paraId="4461C3F3" w14:textId="77777777" w:rsidR="00242F2D" w:rsidRDefault="00000000">
            <w:pPr>
              <w:spacing w:before="40" w:after="40" w:line="240" w:lineRule="auto"/>
              <w:ind w:left="0" w:firstLine="0"/>
              <w:jc w:val="center"/>
            </w:pPr>
            <w:r>
              <w:rPr>
                <w:sz w:val="20"/>
                <w:szCs w:val="20"/>
              </w:rPr>
              <w:t>4.12</w:t>
            </w:r>
          </w:p>
        </w:tc>
      </w:tr>
    </w:tbl>
    <w:p w14:paraId="2518F2F9" w14:textId="77777777" w:rsidR="00242F2D" w:rsidRDefault="00242F2D">
      <w:pPr>
        <w:spacing w:after="120"/>
        <w:ind w:left="0" w:firstLine="0"/>
      </w:pPr>
    </w:p>
    <w:p w14:paraId="492DF1D4" w14:textId="77777777" w:rsidR="00242F2D" w:rsidRDefault="00000000">
      <w:pPr>
        <w:spacing w:after="160"/>
        <w:ind w:left="360" w:firstLine="0"/>
      </w:pPr>
      <w:r>
        <w:t xml:space="preserve">Prophet with holidays and events had the lowest MAPE (2.44%), compared with 5.54% for the seasonal-naive baseline and 4.73% for SARIMAX. WAPE gives the same ranking (2.43%, 5.56% and 4.90%). Adding holidays reduced holiday-window MAPE from 5.21% to 3.64%, while adding events reduced overall MAPE from 3.17% to 2.44% and sale-day MAPE from 8.56% to 4.12%. The </w:t>
      </w:r>
      <w:r>
        <w:lastRenderedPageBreak/>
        <w:t>mean forecast error of the full Prophet model was close to zero (−0.71 million transactions per day), so it shows no systematic bias, while seasonal naive under-forecast (−26.9) and SARIMAX over-forecast (+12.3).</w:t>
      </w:r>
    </w:p>
    <w:p w14:paraId="02A334C6" w14:textId="77777777" w:rsidR="00242F2D" w:rsidRDefault="00000000">
      <w:pPr>
        <w:keepNext/>
        <w:spacing w:before="120" w:after="60" w:line="240" w:lineRule="auto"/>
        <w:ind w:left="0" w:firstLine="0"/>
        <w:jc w:val="center"/>
      </w:pPr>
      <w:r>
        <w:rPr>
          <w:noProof/>
        </w:rPr>
        <w:drawing>
          <wp:inline distT="0" distB="0" distL="0" distR="0" wp14:anchorId="677DEA47" wp14:editId="649197D5">
            <wp:extent cx="5669280" cy="2307409"/>
            <wp:effectExtent l="0" t="0" r="0" b="0"/>
            <wp:docPr id="1005" name="Figure 5"/>
            <wp:cNvGraphicFramePr/>
            <a:graphic xmlns:a="http://schemas.openxmlformats.org/drawingml/2006/main">
              <a:graphicData uri="http://schemas.openxmlformats.org/drawingml/2006/picture">
                <pic:pic xmlns:pic="http://schemas.openxmlformats.org/drawingml/2006/picture">
                  <pic:nvPicPr>
                    <pic:cNvPr id="1005" name="fig5.png"/>
                    <pic:cNvPicPr/>
                  </pic:nvPicPr>
                  <pic:blipFill>
                    <a:blip r:embed="rId15"/>
                    <a:stretch>
                      <a:fillRect/>
                    </a:stretch>
                  </pic:blipFill>
                  <pic:spPr>
                    <a:xfrm>
                      <a:off x="0" y="0"/>
                      <a:ext cx="5669280" cy="2307409"/>
                    </a:xfrm>
                    <a:prstGeom prst="rect">
                      <a:avLst/>
                    </a:prstGeom>
                  </pic:spPr>
                </pic:pic>
              </a:graphicData>
            </a:graphic>
          </wp:inline>
        </w:drawing>
      </w:r>
    </w:p>
    <w:p w14:paraId="4A2C52D7" w14:textId="77777777" w:rsidR="00242F2D" w:rsidRDefault="00000000">
      <w:pPr>
        <w:spacing w:after="200"/>
        <w:ind w:left="0" w:firstLine="0"/>
        <w:jc w:val="center"/>
      </w:pPr>
      <w:r>
        <w:rPr>
          <w:b/>
          <w:bCs/>
          <w:sz w:val="18"/>
          <w:szCs w:val="18"/>
        </w:rPr>
        <w:t>Figure 5: Forecast error by model and day type</w:t>
      </w:r>
    </w:p>
    <w:p w14:paraId="2172E3D1" w14:textId="77777777" w:rsidR="00242F2D" w:rsidRDefault="00000000">
      <w:pPr>
        <w:spacing w:after="160"/>
        <w:ind w:left="360" w:firstLine="0"/>
      </w:pPr>
      <w:r>
        <w:t>SARIMAX was given the same calendar information as the full Prophet model. It is competitive at short lead times, with a 7-day MAPE of 2.92%, but its error rises to 3.25% at 30 days and 4.73% at 90 days. The full Prophet model stays between 2.15% and 2.44% across the same horizons, so the gap widens as the horizon grows. SARIMAX is also the least stable model across folds, with fold MAPE ranging from 2.6% to 8.7%, against 1.9% to 3.3% for the full Prophet model. Prophet's deterministic trend and calendar terms hold up better over long horizons than SARIMAX's autoregressive structure.</w:t>
      </w:r>
    </w:p>
    <w:p w14:paraId="4F9A8E02" w14:textId="77777777" w:rsidR="00242F2D" w:rsidRDefault="00000000">
      <w:pPr>
        <w:pStyle w:val="Heading3"/>
        <w:ind w:left="0" w:firstLine="0"/>
        <w:jc w:val="left"/>
      </w:pPr>
      <w:bookmarkStart w:id="22" w:name="_Toc025"/>
      <w:bookmarkEnd w:id="22"/>
      <w:r>
        <w:t>6.4 Holiday and Event Effects</w:t>
      </w:r>
    </w:p>
    <w:p w14:paraId="7746CEB2" w14:textId="77777777" w:rsidR="00242F2D" w:rsidRDefault="00000000">
      <w:pPr>
        <w:keepNext/>
        <w:spacing w:before="120" w:after="80" w:line="240" w:lineRule="auto"/>
        <w:ind w:left="0" w:firstLine="0"/>
        <w:jc w:val="center"/>
      </w:pPr>
      <w:r>
        <w:rPr>
          <w:b/>
          <w:bCs/>
          <w:sz w:val="18"/>
          <w:szCs w:val="18"/>
        </w:rPr>
        <w:t>Table 6: Estimated and true effects (mean over each window, %)</w:t>
      </w:r>
    </w:p>
    <w:tbl>
      <w:tblPr>
        <w:tblStyle w:val="TableNormal0"/>
        <w:tblW w:w="892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744"/>
        <w:gridCol w:w="1728"/>
        <w:gridCol w:w="1728"/>
        <w:gridCol w:w="1728"/>
      </w:tblGrid>
      <w:tr w:rsidR="00242F2D" w14:paraId="16D58C5E" w14:textId="77777777">
        <w:trPr>
          <w:tblHeader/>
          <w:jc w:val="center"/>
        </w:trPr>
        <w:tc>
          <w:tcPr>
            <w:tcW w:w="3744" w:type="dxa"/>
            <w:shd w:val="clear" w:color="auto" w:fill="D9D9D9"/>
            <w:vAlign w:val="center"/>
          </w:tcPr>
          <w:p w14:paraId="7274790C" w14:textId="77777777" w:rsidR="00242F2D" w:rsidRDefault="00000000">
            <w:pPr>
              <w:spacing w:before="40" w:after="40" w:line="240" w:lineRule="auto"/>
              <w:ind w:left="0" w:firstLine="0"/>
              <w:jc w:val="left"/>
            </w:pPr>
            <w:r>
              <w:rPr>
                <w:b/>
                <w:bCs/>
                <w:sz w:val="20"/>
                <w:szCs w:val="20"/>
              </w:rPr>
              <w:t>Effect</w:t>
            </w:r>
          </w:p>
        </w:tc>
        <w:tc>
          <w:tcPr>
            <w:tcW w:w="1728" w:type="dxa"/>
            <w:shd w:val="clear" w:color="auto" w:fill="D9D9D9"/>
            <w:vAlign w:val="center"/>
          </w:tcPr>
          <w:p w14:paraId="7954C142" w14:textId="77777777" w:rsidR="00242F2D" w:rsidRDefault="00000000">
            <w:pPr>
              <w:spacing w:before="40" w:after="40" w:line="240" w:lineRule="auto"/>
              <w:ind w:left="0" w:firstLine="0"/>
              <w:jc w:val="center"/>
            </w:pPr>
            <w:r>
              <w:rPr>
                <w:b/>
                <w:bCs/>
                <w:sz w:val="20"/>
                <w:szCs w:val="20"/>
              </w:rPr>
              <w:t>True</w:t>
            </w:r>
          </w:p>
        </w:tc>
        <w:tc>
          <w:tcPr>
            <w:tcW w:w="1728" w:type="dxa"/>
            <w:shd w:val="clear" w:color="auto" w:fill="D9D9D9"/>
            <w:vAlign w:val="center"/>
          </w:tcPr>
          <w:p w14:paraId="43870394" w14:textId="77777777" w:rsidR="00242F2D" w:rsidRDefault="00000000">
            <w:pPr>
              <w:spacing w:before="40" w:after="40" w:line="240" w:lineRule="auto"/>
              <w:ind w:left="0" w:firstLine="0"/>
              <w:jc w:val="center"/>
            </w:pPr>
            <w:r>
              <w:rPr>
                <w:b/>
                <w:bCs/>
                <w:sz w:val="20"/>
                <w:szCs w:val="20"/>
              </w:rPr>
              <w:t>Estimated</w:t>
            </w:r>
          </w:p>
        </w:tc>
        <w:tc>
          <w:tcPr>
            <w:tcW w:w="1728" w:type="dxa"/>
            <w:shd w:val="clear" w:color="auto" w:fill="D9D9D9"/>
            <w:vAlign w:val="center"/>
          </w:tcPr>
          <w:p w14:paraId="2DA10F52" w14:textId="77777777" w:rsidR="00242F2D" w:rsidRDefault="00000000">
            <w:pPr>
              <w:spacing w:before="40" w:after="40" w:line="240" w:lineRule="auto"/>
              <w:ind w:left="0" w:firstLine="0"/>
              <w:jc w:val="center"/>
            </w:pPr>
            <w:r>
              <w:rPr>
                <w:b/>
                <w:bCs/>
                <w:sz w:val="20"/>
                <w:szCs w:val="20"/>
              </w:rPr>
              <w:t>Error (pp)</w:t>
            </w:r>
          </w:p>
        </w:tc>
      </w:tr>
      <w:tr w:rsidR="00242F2D" w14:paraId="5F6DB5BE" w14:textId="77777777">
        <w:trPr>
          <w:jc w:val="center"/>
        </w:trPr>
        <w:tc>
          <w:tcPr>
            <w:tcW w:w="3744" w:type="dxa"/>
            <w:vAlign w:val="center"/>
          </w:tcPr>
          <w:p w14:paraId="1976A1E1" w14:textId="77777777" w:rsidR="00242F2D" w:rsidRDefault="00000000">
            <w:pPr>
              <w:spacing w:before="40" w:after="40" w:line="240" w:lineRule="auto"/>
              <w:ind w:left="0" w:firstLine="0"/>
              <w:jc w:val="left"/>
            </w:pPr>
            <w:r>
              <w:rPr>
                <w:sz w:val="20"/>
                <w:szCs w:val="20"/>
              </w:rPr>
              <w:t>Diwali</w:t>
            </w:r>
          </w:p>
        </w:tc>
        <w:tc>
          <w:tcPr>
            <w:tcW w:w="1728" w:type="dxa"/>
            <w:vAlign w:val="center"/>
          </w:tcPr>
          <w:p w14:paraId="772D0343" w14:textId="77777777" w:rsidR="00242F2D" w:rsidRDefault="00000000">
            <w:pPr>
              <w:spacing w:before="40" w:after="40" w:line="240" w:lineRule="auto"/>
              <w:ind w:left="0" w:firstLine="0"/>
              <w:jc w:val="center"/>
            </w:pPr>
            <w:r>
              <w:rPr>
                <w:sz w:val="20"/>
                <w:szCs w:val="20"/>
              </w:rPr>
              <w:t>9.14</w:t>
            </w:r>
          </w:p>
        </w:tc>
        <w:tc>
          <w:tcPr>
            <w:tcW w:w="1728" w:type="dxa"/>
            <w:vAlign w:val="center"/>
          </w:tcPr>
          <w:p w14:paraId="14E308F8" w14:textId="77777777" w:rsidR="00242F2D" w:rsidRDefault="00000000">
            <w:pPr>
              <w:spacing w:before="40" w:after="40" w:line="240" w:lineRule="auto"/>
              <w:ind w:left="0" w:firstLine="0"/>
              <w:jc w:val="center"/>
            </w:pPr>
            <w:r>
              <w:rPr>
                <w:sz w:val="20"/>
                <w:szCs w:val="20"/>
              </w:rPr>
              <w:t>8.05</w:t>
            </w:r>
          </w:p>
        </w:tc>
        <w:tc>
          <w:tcPr>
            <w:tcW w:w="1728" w:type="dxa"/>
            <w:vAlign w:val="center"/>
          </w:tcPr>
          <w:p w14:paraId="64DBCDA9" w14:textId="77777777" w:rsidR="00242F2D" w:rsidRDefault="00000000">
            <w:pPr>
              <w:spacing w:before="40" w:after="40" w:line="240" w:lineRule="auto"/>
              <w:ind w:left="0" w:firstLine="0"/>
              <w:jc w:val="center"/>
            </w:pPr>
            <w:r>
              <w:rPr>
                <w:sz w:val="20"/>
                <w:szCs w:val="20"/>
              </w:rPr>
              <w:t>-1.10</w:t>
            </w:r>
          </w:p>
        </w:tc>
      </w:tr>
      <w:tr w:rsidR="00242F2D" w14:paraId="7F6B042E" w14:textId="77777777">
        <w:trPr>
          <w:jc w:val="center"/>
        </w:trPr>
        <w:tc>
          <w:tcPr>
            <w:tcW w:w="3744" w:type="dxa"/>
            <w:vAlign w:val="center"/>
          </w:tcPr>
          <w:p w14:paraId="0EE222B4" w14:textId="77777777" w:rsidR="00242F2D" w:rsidRDefault="00000000">
            <w:pPr>
              <w:spacing w:before="40" w:after="40" w:line="240" w:lineRule="auto"/>
              <w:ind w:left="0" w:firstLine="0"/>
              <w:jc w:val="left"/>
            </w:pPr>
            <w:r>
              <w:rPr>
                <w:sz w:val="20"/>
                <w:szCs w:val="20"/>
              </w:rPr>
              <w:t>Holi</w:t>
            </w:r>
          </w:p>
        </w:tc>
        <w:tc>
          <w:tcPr>
            <w:tcW w:w="1728" w:type="dxa"/>
            <w:vAlign w:val="center"/>
          </w:tcPr>
          <w:p w14:paraId="1459FD5A" w14:textId="77777777" w:rsidR="00242F2D" w:rsidRDefault="00000000">
            <w:pPr>
              <w:spacing w:before="40" w:after="40" w:line="240" w:lineRule="auto"/>
              <w:ind w:left="0" w:firstLine="0"/>
              <w:jc w:val="center"/>
            </w:pPr>
            <w:r>
              <w:rPr>
                <w:sz w:val="20"/>
                <w:szCs w:val="20"/>
              </w:rPr>
              <w:t>1.50</w:t>
            </w:r>
          </w:p>
        </w:tc>
        <w:tc>
          <w:tcPr>
            <w:tcW w:w="1728" w:type="dxa"/>
            <w:vAlign w:val="center"/>
          </w:tcPr>
          <w:p w14:paraId="5B5934BE" w14:textId="77777777" w:rsidR="00242F2D" w:rsidRDefault="00000000">
            <w:pPr>
              <w:spacing w:before="40" w:after="40" w:line="240" w:lineRule="auto"/>
              <w:ind w:left="0" w:firstLine="0"/>
              <w:jc w:val="center"/>
            </w:pPr>
            <w:r>
              <w:rPr>
                <w:sz w:val="20"/>
                <w:szCs w:val="20"/>
              </w:rPr>
              <w:t>0.89</w:t>
            </w:r>
          </w:p>
        </w:tc>
        <w:tc>
          <w:tcPr>
            <w:tcW w:w="1728" w:type="dxa"/>
            <w:vAlign w:val="center"/>
          </w:tcPr>
          <w:p w14:paraId="08494F11" w14:textId="77777777" w:rsidR="00242F2D" w:rsidRDefault="00000000">
            <w:pPr>
              <w:spacing w:before="40" w:after="40" w:line="240" w:lineRule="auto"/>
              <w:ind w:left="0" w:firstLine="0"/>
              <w:jc w:val="center"/>
            </w:pPr>
            <w:r>
              <w:rPr>
                <w:sz w:val="20"/>
                <w:szCs w:val="20"/>
              </w:rPr>
              <w:t>-0.61</w:t>
            </w:r>
          </w:p>
        </w:tc>
      </w:tr>
      <w:tr w:rsidR="00242F2D" w14:paraId="5F8C65B7" w14:textId="77777777">
        <w:trPr>
          <w:jc w:val="center"/>
        </w:trPr>
        <w:tc>
          <w:tcPr>
            <w:tcW w:w="3744" w:type="dxa"/>
            <w:vAlign w:val="center"/>
          </w:tcPr>
          <w:p w14:paraId="478C6414" w14:textId="77777777" w:rsidR="00242F2D" w:rsidRDefault="00000000">
            <w:pPr>
              <w:spacing w:before="40" w:after="40" w:line="240" w:lineRule="auto"/>
              <w:ind w:left="0" w:firstLine="0"/>
              <w:jc w:val="left"/>
            </w:pPr>
            <w:r>
              <w:rPr>
                <w:sz w:val="20"/>
                <w:szCs w:val="20"/>
              </w:rPr>
              <w:t>Eid al-Fitr</w:t>
            </w:r>
          </w:p>
        </w:tc>
        <w:tc>
          <w:tcPr>
            <w:tcW w:w="1728" w:type="dxa"/>
            <w:vAlign w:val="center"/>
          </w:tcPr>
          <w:p w14:paraId="6FE82768" w14:textId="77777777" w:rsidR="00242F2D" w:rsidRDefault="00000000">
            <w:pPr>
              <w:spacing w:before="40" w:after="40" w:line="240" w:lineRule="auto"/>
              <w:ind w:left="0" w:firstLine="0"/>
              <w:jc w:val="center"/>
            </w:pPr>
            <w:r>
              <w:rPr>
                <w:sz w:val="20"/>
                <w:szCs w:val="20"/>
              </w:rPr>
              <w:t>4.50</w:t>
            </w:r>
          </w:p>
        </w:tc>
        <w:tc>
          <w:tcPr>
            <w:tcW w:w="1728" w:type="dxa"/>
            <w:vAlign w:val="center"/>
          </w:tcPr>
          <w:p w14:paraId="383CC04F" w14:textId="77777777" w:rsidR="00242F2D" w:rsidRDefault="00000000">
            <w:pPr>
              <w:spacing w:before="40" w:after="40" w:line="240" w:lineRule="auto"/>
              <w:ind w:left="0" w:firstLine="0"/>
              <w:jc w:val="center"/>
            </w:pPr>
            <w:r>
              <w:rPr>
                <w:sz w:val="20"/>
                <w:szCs w:val="20"/>
              </w:rPr>
              <w:t>3.79</w:t>
            </w:r>
          </w:p>
        </w:tc>
        <w:tc>
          <w:tcPr>
            <w:tcW w:w="1728" w:type="dxa"/>
            <w:vAlign w:val="center"/>
          </w:tcPr>
          <w:p w14:paraId="0DAA7663" w14:textId="77777777" w:rsidR="00242F2D" w:rsidRDefault="00000000">
            <w:pPr>
              <w:spacing w:before="40" w:after="40" w:line="240" w:lineRule="auto"/>
              <w:ind w:left="0" w:firstLine="0"/>
              <w:jc w:val="center"/>
            </w:pPr>
            <w:r>
              <w:rPr>
                <w:sz w:val="20"/>
                <w:szCs w:val="20"/>
              </w:rPr>
              <w:t>-0.71</w:t>
            </w:r>
          </w:p>
        </w:tc>
      </w:tr>
      <w:tr w:rsidR="00242F2D" w14:paraId="6CEF91A3" w14:textId="77777777">
        <w:trPr>
          <w:jc w:val="center"/>
        </w:trPr>
        <w:tc>
          <w:tcPr>
            <w:tcW w:w="3744" w:type="dxa"/>
            <w:vAlign w:val="center"/>
          </w:tcPr>
          <w:p w14:paraId="28270EB3" w14:textId="77777777" w:rsidR="00242F2D" w:rsidRDefault="00000000">
            <w:pPr>
              <w:spacing w:before="40" w:after="40" w:line="240" w:lineRule="auto"/>
              <w:ind w:left="0" w:firstLine="0"/>
              <w:jc w:val="left"/>
            </w:pPr>
            <w:r>
              <w:rPr>
                <w:sz w:val="20"/>
                <w:szCs w:val="20"/>
              </w:rPr>
              <w:t>Raksha Bandhan</w:t>
            </w:r>
          </w:p>
        </w:tc>
        <w:tc>
          <w:tcPr>
            <w:tcW w:w="1728" w:type="dxa"/>
            <w:vAlign w:val="center"/>
          </w:tcPr>
          <w:p w14:paraId="7D6BAE1C" w14:textId="77777777" w:rsidR="00242F2D" w:rsidRDefault="00000000">
            <w:pPr>
              <w:spacing w:before="40" w:after="40" w:line="240" w:lineRule="auto"/>
              <w:ind w:left="0" w:firstLine="0"/>
              <w:jc w:val="center"/>
            </w:pPr>
            <w:r>
              <w:rPr>
                <w:sz w:val="20"/>
                <w:szCs w:val="20"/>
              </w:rPr>
              <w:t>3.87</w:t>
            </w:r>
          </w:p>
        </w:tc>
        <w:tc>
          <w:tcPr>
            <w:tcW w:w="1728" w:type="dxa"/>
            <w:vAlign w:val="center"/>
          </w:tcPr>
          <w:p w14:paraId="27035425" w14:textId="77777777" w:rsidR="00242F2D" w:rsidRDefault="00000000">
            <w:pPr>
              <w:spacing w:before="40" w:after="40" w:line="240" w:lineRule="auto"/>
              <w:ind w:left="0" w:firstLine="0"/>
              <w:jc w:val="center"/>
            </w:pPr>
            <w:r>
              <w:rPr>
                <w:sz w:val="20"/>
                <w:szCs w:val="20"/>
              </w:rPr>
              <w:t>5.20</w:t>
            </w:r>
          </w:p>
        </w:tc>
        <w:tc>
          <w:tcPr>
            <w:tcW w:w="1728" w:type="dxa"/>
            <w:vAlign w:val="center"/>
          </w:tcPr>
          <w:p w14:paraId="45BFDF8A" w14:textId="77777777" w:rsidR="00242F2D" w:rsidRDefault="00000000">
            <w:pPr>
              <w:spacing w:before="40" w:after="40" w:line="240" w:lineRule="auto"/>
              <w:ind w:left="0" w:firstLine="0"/>
              <w:jc w:val="center"/>
            </w:pPr>
            <w:r>
              <w:rPr>
                <w:sz w:val="20"/>
                <w:szCs w:val="20"/>
              </w:rPr>
              <w:t>+1.33</w:t>
            </w:r>
          </w:p>
        </w:tc>
      </w:tr>
      <w:tr w:rsidR="00242F2D" w14:paraId="7E460C79" w14:textId="77777777">
        <w:trPr>
          <w:jc w:val="center"/>
        </w:trPr>
        <w:tc>
          <w:tcPr>
            <w:tcW w:w="3744" w:type="dxa"/>
            <w:vAlign w:val="center"/>
          </w:tcPr>
          <w:p w14:paraId="3DB3189F" w14:textId="77777777" w:rsidR="00242F2D" w:rsidRDefault="00000000">
            <w:pPr>
              <w:spacing w:before="40" w:after="40" w:line="240" w:lineRule="auto"/>
              <w:ind w:left="0" w:firstLine="0"/>
              <w:jc w:val="left"/>
            </w:pPr>
            <w:r>
              <w:rPr>
                <w:sz w:val="20"/>
                <w:szCs w:val="20"/>
              </w:rPr>
              <w:t>Republic Day</w:t>
            </w:r>
          </w:p>
        </w:tc>
        <w:tc>
          <w:tcPr>
            <w:tcW w:w="1728" w:type="dxa"/>
            <w:vAlign w:val="center"/>
          </w:tcPr>
          <w:p w14:paraId="1AC44FB9" w14:textId="77777777" w:rsidR="00242F2D" w:rsidRDefault="00000000">
            <w:pPr>
              <w:spacing w:before="40" w:after="40" w:line="240" w:lineRule="auto"/>
              <w:ind w:left="0" w:firstLine="0"/>
              <w:jc w:val="center"/>
            </w:pPr>
            <w:r>
              <w:rPr>
                <w:sz w:val="20"/>
                <w:szCs w:val="20"/>
              </w:rPr>
              <w:t>-5.00</w:t>
            </w:r>
          </w:p>
        </w:tc>
        <w:tc>
          <w:tcPr>
            <w:tcW w:w="1728" w:type="dxa"/>
            <w:vAlign w:val="center"/>
          </w:tcPr>
          <w:p w14:paraId="78333C61" w14:textId="77777777" w:rsidR="00242F2D" w:rsidRDefault="00000000">
            <w:pPr>
              <w:spacing w:before="40" w:after="40" w:line="240" w:lineRule="auto"/>
              <w:ind w:left="0" w:firstLine="0"/>
              <w:jc w:val="center"/>
            </w:pPr>
            <w:r>
              <w:rPr>
                <w:sz w:val="20"/>
                <w:szCs w:val="20"/>
              </w:rPr>
              <w:t>-6.70</w:t>
            </w:r>
          </w:p>
        </w:tc>
        <w:tc>
          <w:tcPr>
            <w:tcW w:w="1728" w:type="dxa"/>
            <w:vAlign w:val="center"/>
          </w:tcPr>
          <w:p w14:paraId="60A03CB6" w14:textId="77777777" w:rsidR="00242F2D" w:rsidRDefault="00000000">
            <w:pPr>
              <w:spacing w:before="40" w:after="40" w:line="240" w:lineRule="auto"/>
              <w:ind w:left="0" w:firstLine="0"/>
              <w:jc w:val="center"/>
            </w:pPr>
            <w:r>
              <w:rPr>
                <w:sz w:val="20"/>
                <w:szCs w:val="20"/>
              </w:rPr>
              <w:t>-1.70</w:t>
            </w:r>
          </w:p>
        </w:tc>
      </w:tr>
      <w:tr w:rsidR="00242F2D" w14:paraId="7042C04A" w14:textId="77777777">
        <w:trPr>
          <w:jc w:val="center"/>
        </w:trPr>
        <w:tc>
          <w:tcPr>
            <w:tcW w:w="3744" w:type="dxa"/>
            <w:vAlign w:val="center"/>
          </w:tcPr>
          <w:p w14:paraId="60596F8C" w14:textId="77777777" w:rsidR="00242F2D" w:rsidRDefault="00000000">
            <w:pPr>
              <w:spacing w:before="40" w:after="40" w:line="240" w:lineRule="auto"/>
              <w:ind w:left="0" w:firstLine="0"/>
              <w:jc w:val="left"/>
            </w:pPr>
            <w:r>
              <w:rPr>
                <w:sz w:val="20"/>
                <w:szCs w:val="20"/>
              </w:rPr>
              <w:t>Independence Day</w:t>
            </w:r>
          </w:p>
        </w:tc>
        <w:tc>
          <w:tcPr>
            <w:tcW w:w="1728" w:type="dxa"/>
            <w:vAlign w:val="center"/>
          </w:tcPr>
          <w:p w14:paraId="621935C8" w14:textId="77777777" w:rsidR="00242F2D" w:rsidRDefault="00000000">
            <w:pPr>
              <w:spacing w:before="40" w:after="40" w:line="240" w:lineRule="auto"/>
              <w:ind w:left="0" w:firstLine="0"/>
              <w:jc w:val="center"/>
            </w:pPr>
            <w:r>
              <w:rPr>
                <w:sz w:val="20"/>
                <w:szCs w:val="20"/>
              </w:rPr>
              <w:t>-5.00</w:t>
            </w:r>
          </w:p>
        </w:tc>
        <w:tc>
          <w:tcPr>
            <w:tcW w:w="1728" w:type="dxa"/>
            <w:vAlign w:val="center"/>
          </w:tcPr>
          <w:p w14:paraId="7C313762" w14:textId="77777777" w:rsidR="00242F2D" w:rsidRDefault="00000000">
            <w:pPr>
              <w:spacing w:before="40" w:after="40" w:line="240" w:lineRule="auto"/>
              <w:ind w:left="0" w:firstLine="0"/>
              <w:jc w:val="center"/>
            </w:pPr>
            <w:r>
              <w:rPr>
                <w:sz w:val="20"/>
                <w:szCs w:val="20"/>
              </w:rPr>
              <w:t>-7.40</w:t>
            </w:r>
          </w:p>
        </w:tc>
        <w:tc>
          <w:tcPr>
            <w:tcW w:w="1728" w:type="dxa"/>
            <w:vAlign w:val="center"/>
          </w:tcPr>
          <w:p w14:paraId="0726A2DE" w14:textId="77777777" w:rsidR="00242F2D" w:rsidRDefault="00000000">
            <w:pPr>
              <w:spacing w:before="40" w:after="40" w:line="240" w:lineRule="auto"/>
              <w:ind w:left="0" w:firstLine="0"/>
              <w:jc w:val="center"/>
            </w:pPr>
            <w:r>
              <w:rPr>
                <w:sz w:val="20"/>
                <w:szCs w:val="20"/>
              </w:rPr>
              <w:t>-2.40</w:t>
            </w:r>
          </w:p>
        </w:tc>
      </w:tr>
      <w:tr w:rsidR="00242F2D" w14:paraId="0035C8E7" w14:textId="77777777">
        <w:trPr>
          <w:jc w:val="center"/>
        </w:trPr>
        <w:tc>
          <w:tcPr>
            <w:tcW w:w="3744" w:type="dxa"/>
            <w:vAlign w:val="center"/>
          </w:tcPr>
          <w:p w14:paraId="4BD7C613" w14:textId="77777777" w:rsidR="00242F2D" w:rsidRDefault="00000000">
            <w:pPr>
              <w:spacing w:before="40" w:after="40" w:line="240" w:lineRule="auto"/>
              <w:ind w:left="0" w:firstLine="0"/>
              <w:jc w:val="left"/>
            </w:pPr>
            <w:r>
              <w:rPr>
                <w:sz w:val="20"/>
                <w:szCs w:val="20"/>
              </w:rPr>
              <w:t>Gandhi Jayanti</w:t>
            </w:r>
          </w:p>
        </w:tc>
        <w:tc>
          <w:tcPr>
            <w:tcW w:w="1728" w:type="dxa"/>
            <w:vAlign w:val="center"/>
          </w:tcPr>
          <w:p w14:paraId="2FD6B606" w14:textId="77777777" w:rsidR="00242F2D" w:rsidRDefault="00000000">
            <w:pPr>
              <w:spacing w:before="40" w:after="40" w:line="240" w:lineRule="auto"/>
              <w:ind w:left="0" w:firstLine="0"/>
              <w:jc w:val="center"/>
            </w:pPr>
            <w:r>
              <w:rPr>
                <w:sz w:val="20"/>
                <w:szCs w:val="20"/>
              </w:rPr>
              <w:t>-5.00</w:t>
            </w:r>
          </w:p>
        </w:tc>
        <w:tc>
          <w:tcPr>
            <w:tcW w:w="1728" w:type="dxa"/>
            <w:vAlign w:val="center"/>
          </w:tcPr>
          <w:p w14:paraId="5B11C5F7" w14:textId="77777777" w:rsidR="00242F2D" w:rsidRDefault="00000000">
            <w:pPr>
              <w:spacing w:before="40" w:after="40" w:line="240" w:lineRule="auto"/>
              <w:ind w:left="0" w:firstLine="0"/>
              <w:jc w:val="center"/>
            </w:pPr>
            <w:r>
              <w:rPr>
                <w:sz w:val="20"/>
                <w:szCs w:val="20"/>
              </w:rPr>
              <w:t>-6.23</w:t>
            </w:r>
          </w:p>
        </w:tc>
        <w:tc>
          <w:tcPr>
            <w:tcW w:w="1728" w:type="dxa"/>
            <w:vAlign w:val="center"/>
          </w:tcPr>
          <w:p w14:paraId="53E48100" w14:textId="77777777" w:rsidR="00242F2D" w:rsidRDefault="00000000">
            <w:pPr>
              <w:spacing w:before="40" w:after="40" w:line="240" w:lineRule="auto"/>
              <w:ind w:left="0" w:firstLine="0"/>
              <w:jc w:val="center"/>
            </w:pPr>
            <w:r>
              <w:rPr>
                <w:sz w:val="20"/>
                <w:szCs w:val="20"/>
              </w:rPr>
              <w:t>-1.23</w:t>
            </w:r>
          </w:p>
        </w:tc>
      </w:tr>
      <w:tr w:rsidR="00242F2D" w14:paraId="3B928582" w14:textId="77777777">
        <w:trPr>
          <w:jc w:val="center"/>
        </w:trPr>
        <w:tc>
          <w:tcPr>
            <w:tcW w:w="3744" w:type="dxa"/>
            <w:vAlign w:val="center"/>
          </w:tcPr>
          <w:p w14:paraId="2A68E89D" w14:textId="77777777" w:rsidR="00242F2D" w:rsidRDefault="00000000">
            <w:pPr>
              <w:spacing w:before="40" w:after="40" w:line="240" w:lineRule="auto"/>
              <w:ind w:left="0" w:firstLine="0"/>
              <w:jc w:val="left"/>
            </w:pPr>
            <w:r>
              <w:rPr>
                <w:sz w:val="20"/>
                <w:szCs w:val="20"/>
              </w:rPr>
              <w:t>E-commerce sale</w:t>
            </w:r>
          </w:p>
        </w:tc>
        <w:tc>
          <w:tcPr>
            <w:tcW w:w="1728" w:type="dxa"/>
            <w:vAlign w:val="center"/>
          </w:tcPr>
          <w:p w14:paraId="15B08656" w14:textId="77777777" w:rsidR="00242F2D" w:rsidRDefault="00000000">
            <w:pPr>
              <w:spacing w:before="40" w:after="40" w:line="240" w:lineRule="auto"/>
              <w:ind w:left="0" w:firstLine="0"/>
              <w:jc w:val="center"/>
            </w:pPr>
            <w:r>
              <w:rPr>
                <w:sz w:val="20"/>
                <w:szCs w:val="20"/>
              </w:rPr>
              <w:t>10.67</w:t>
            </w:r>
          </w:p>
        </w:tc>
        <w:tc>
          <w:tcPr>
            <w:tcW w:w="1728" w:type="dxa"/>
            <w:vAlign w:val="center"/>
          </w:tcPr>
          <w:p w14:paraId="301E550E" w14:textId="77777777" w:rsidR="00242F2D" w:rsidRDefault="00000000">
            <w:pPr>
              <w:spacing w:before="40" w:after="40" w:line="240" w:lineRule="auto"/>
              <w:ind w:left="0" w:firstLine="0"/>
              <w:jc w:val="center"/>
            </w:pPr>
            <w:r>
              <w:rPr>
                <w:sz w:val="20"/>
                <w:szCs w:val="20"/>
              </w:rPr>
              <w:t>10.21</w:t>
            </w:r>
          </w:p>
        </w:tc>
        <w:tc>
          <w:tcPr>
            <w:tcW w:w="1728" w:type="dxa"/>
            <w:vAlign w:val="center"/>
          </w:tcPr>
          <w:p w14:paraId="16B1BC53" w14:textId="77777777" w:rsidR="00242F2D" w:rsidRDefault="00000000">
            <w:pPr>
              <w:spacing w:before="40" w:after="40" w:line="240" w:lineRule="auto"/>
              <w:ind w:left="0" w:firstLine="0"/>
              <w:jc w:val="center"/>
            </w:pPr>
            <w:r>
              <w:rPr>
                <w:sz w:val="20"/>
                <w:szCs w:val="20"/>
              </w:rPr>
              <w:t>-0.46</w:t>
            </w:r>
          </w:p>
        </w:tc>
      </w:tr>
      <w:tr w:rsidR="00242F2D" w14:paraId="5143237F" w14:textId="77777777">
        <w:trPr>
          <w:jc w:val="center"/>
        </w:trPr>
        <w:tc>
          <w:tcPr>
            <w:tcW w:w="3744" w:type="dxa"/>
            <w:vAlign w:val="center"/>
          </w:tcPr>
          <w:p w14:paraId="7F189F65" w14:textId="77777777" w:rsidR="00242F2D" w:rsidRDefault="00000000">
            <w:pPr>
              <w:spacing w:before="40" w:after="40" w:line="240" w:lineRule="auto"/>
              <w:ind w:left="0" w:firstLine="0"/>
              <w:jc w:val="left"/>
            </w:pPr>
            <w:r>
              <w:rPr>
                <w:sz w:val="20"/>
                <w:szCs w:val="20"/>
              </w:rPr>
              <w:lastRenderedPageBreak/>
              <w:t>Payday (days 1 to 5)</w:t>
            </w:r>
          </w:p>
        </w:tc>
        <w:tc>
          <w:tcPr>
            <w:tcW w:w="1728" w:type="dxa"/>
            <w:vAlign w:val="center"/>
          </w:tcPr>
          <w:p w14:paraId="6EA7D75B" w14:textId="77777777" w:rsidR="00242F2D" w:rsidRDefault="00000000">
            <w:pPr>
              <w:spacing w:before="40" w:after="40" w:line="240" w:lineRule="auto"/>
              <w:ind w:left="0" w:firstLine="0"/>
              <w:jc w:val="center"/>
            </w:pPr>
            <w:r>
              <w:rPr>
                <w:sz w:val="20"/>
                <w:szCs w:val="20"/>
              </w:rPr>
              <w:t>6.00</w:t>
            </w:r>
          </w:p>
        </w:tc>
        <w:tc>
          <w:tcPr>
            <w:tcW w:w="1728" w:type="dxa"/>
            <w:vAlign w:val="center"/>
          </w:tcPr>
          <w:p w14:paraId="37FDAD07" w14:textId="77777777" w:rsidR="00242F2D" w:rsidRDefault="00000000">
            <w:pPr>
              <w:spacing w:before="40" w:after="40" w:line="240" w:lineRule="auto"/>
              <w:ind w:left="0" w:firstLine="0"/>
              <w:jc w:val="center"/>
            </w:pPr>
            <w:r>
              <w:rPr>
                <w:sz w:val="20"/>
                <w:szCs w:val="20"/>
              </w:rPr>
              <w:t>6.18</w:t>
            </w:r>
          </w:p>
        </w:tc>
        <w:tc>
          <w:tcPr>
            <w:tcW w:w="1728" w:type="dxa"/>
            <w:vAlign w:val="center"/>
          </w:tcPr>
          <w:p w14:paraId="19E3BFD6" w14:textId="77777777" w:rsidR="00242F2D" w:rsidRDefault="00000000">
            <w:pPr>
              <w:spacing w:before="40" w:after="40" w:line="240" w:lineRule="auto"/>
              <w:ind w:left="0" w:firstLine="0"/>
              <w:jc w:val="center"/>
            </w:pPr>
            <w:r>
              <w:rPr>
                <w:sz w:val="20"/>
                <w:szCs w:val="20"/>
              </w:rPr>
              <w:t>+0.18</w:t>
            </w:r>
          </w:p>
        </w:tc>
      </w:tr>
      <w:tr w:rsidR="00242F2D" w14:paraId="26F6D9BF" w14:textId="77777777">
        <w:trPr>
          <w:jc w:val="center"/>
        </w:trPr>
        <w:tc>
          <w:tcPr>
            <w:tcW w:w="3744" w:type="dxa"/>
            <w:vAlign w:val="center"/>
          </w:tcPr>
          <w:p w14:paraId="17B5A62A" w14:textId="77777777" w:rsidR="00242F2D" w:rsidRDefault="00000000">
            <w:pPr>
              <w:spacing w:before="40" w:after="40" w:line="240" w:lineRule="auto"/>
              <w:ind w:left="0" w:firstLine="0"/>
              <w:jc w:val="left"/>
            </w:pPr>
            <w:r>
              <w:rPr>
                <w:sz w:val="20"/>
                <w:szCs w:val="20"/>
              </w:rPr>
              <w:t>Month-end (last 2 days)</w:t>
            </w:r>
          </w:p>
        </w:tc>
        <w:tc>
          <w:tcPr>
            <w:tcW w:w="1728" w:type="dxa"/>
            <w:vAlign w:val="center"/>
          </w:tcPr>
          <w:p w14:paraId="2EB469BB" w14:textId="77777777" w:rsidR="00242F2D" w:rsidRDefault="00000000">
            <w:pPr>
              <w:spacing w:before="40" w:after="40" w:line="240" w:lineRule="auto"/>
              <w:ind w:left="0" w:firstLine="0"/>
              <w:jc w:val="center"/>
            </w:pPr>
            <w:r>
              <w:rPr>
                <w:sz w:val="20"/>
                <w:szCs w:val="20"/>
              </w:rPr>
              <w:t>3.00</w:t>
            </w:r>
          </w:p>
        </w:tc>
        <w:tc>
          <w:tcPr>
            <w:tcW w:w="1728" w:type="dxa"/>
            <w:vAlign w:val="center"/>
          </w:tcPr>
          <w:p w14:paraId="5A4907EB" w14:textId="77777777" w:rsidR="00242F2D" w:rsidRDefault="00000000">
            <w:pPr>
              <w:spacing w:before="40" w:after="40" w:line="240" w:lineRule="auto"/>
              <w:ind w:left="0" w:firstLine="0"/>
              <w:jc w:val="center"/>
            </w:pPr>
            <w:r>
              <w:rPr>
                <w:sz w:val="20"/>
                <w:szCs w:val="20"/>
              </w:rPr>
              <w:t>3.25</w:t>
            </w:r>
          </w:p>
        </w:tc>
        <w:tc>
          <w:tcPr>
            <w:tcW w:w="1728" w:type="dxa"/>
            <w:vAlign w:val="center"/>
          </w:tcPr>
          <w:p w14:paraId="3EC1AC2C" w14:textId="77777777" w:rsidR="00242F2D" w:rsidRDefault="00000000">
            <w:pPr>
              <w:spacing w:before="40" w:after="40" w:line="240" w:lineRule="auto"/>
              <w:ind w:left="0" w:firstLine="0"/>
              <w:jc w:val="center"/>
            </w:pPr>
            <w:r>
              <w:rPr>
                <w:sz w:val="20"/>
                <w:szCs w:val="20"/>
              </w:rPr>
              <w:t>+0.25</w:t>
            </w:r>
          </w:p>
        </w:tc>
      </w:tr>
    </w:tbl>
    <w:p w14:paraId="670C2BFB" w14:textId="77777777" w:rsidR="00242F2D" w:rsidRDefault="00242F2D">
      <w:pPr>
        <w:spacing w:after="120"/>
        <w:ind w:left="0" w:firstLine="0"/>
      </w:pPr>
    </w:p>
    <w:p w14:paraId="590033D8" w14:textId="77777777" w:rsidR="00242F2D" w:rsidRDefault="00000000">
      <w:pPr>
        <w:keepNext/>
        <w:spacing w:before="120" w:after="60" w:line="240" w:lineRule="auto"/>
        <w:ind w:left="0" w:firstLine="0"/>
        <w:jc w:val="center"/>
      </w:pPr>
      <w:r>
        <w:rPr>
          <w:noProof/>
        </w:rPr>
        <w:drawing>
          <wp:inline distT="0" distB="0" distL="0" distR="0" wp14:anchorId="407AB1C0" wp14:editId="3E01F7C1">
            <wp:extent cx="5669280" cy="2604645"/>
            <wp:effectExtent l="0" t="0" r="0" b="0"/>
            <wp:docPr id="1006" name="Figure 6"/>
            <wp:cNvGraphicFramePr/>
            <a:graphic xmlns:a="http://schemas.openxmlformats.org/drawingml/2006/main">
              <a:graphicData uri="http://schemas.openxmlformats.org/drawingml/2006/picture">
                <pic:pic xmlns:pic="http://schemas.openxmlformats.org/drawingml/2006/picture">
                  <pic:nvPicPr>
                    <pic:cNvPr id="1006" name="fig6.png"/>
                    <pic:cNvPicPr/>
                  </pic:nvPicPr>
                  <pic:blipFill>
                    <a:blip r:embed="rId16"/>
                    <a:stretch>
                      <a:fillRect/>
                    </a:stretch>
                  </pic:blipFill>
                  <pic:spPr>
                    <a:xfrm>
                      <a:off x="0" y="0"/>
                      <a:ext cx="5669280" cy="2604645"/>
                    </a:xfrm>
                    <a:prstGeom prst="rect">
                      <a:avLst/>
                    </a:prstGeom>
                  </pic:spPr>
                </pic:pic>
              </a:graphicData>
            </a:graphic>
          </wp:inline>
        </w:drawing>
      </w:r>
    </w:p>
    <w:p w14:paraId="77D1C260" w14:textId="77777777" w:rsidR="00242F2D" w:rsidRDefault="00000000">
      <w:pPr>
        <w:spacing w:after="200"/>
        <w:ind w:left="0" w:firstLine="0"/>
        <w:jc w:val="center"/>
      </w:pPr>
      <w:r>
        <w:rPr>
          <w:b/>
          <w:bCs/>
          <w:sz w:val="18"/>
          <w:szCs w:val="18"/>
        </w:rPr>
        <w:t>Figure 6: Estimated (orange) and true (dashed) effect for each day of each holiday window</w:t>
      </w:r>
    </w:p>
    <w:p w14:paraId="451AE612" w14:textId="77777777" w:rsidR="00242F2D" w:rsidRDefault="00000000">
      <w:pPr>
        <w:spacing w:after="160"/>
        <w:ind w:left="360" w:firstLine="0"/>
      </w:pPr>
      <w:r>
        <w:t>Events were recovered almost exactly: payday within 0.2 percentage points and month-end within 0.3. The sale was estimated at 10.2% against a true 10.7%; its real lift varies between 8% and 12% from year to year, while the model fits one average. Diwali's shape was recovered, including the ten-day ramp, the peak on Dhanteras and Diwali eve and the dip after, but its size was underestimated: an 8.1% window average against a true 9.1%. Holi, Eid and Raksha Bandhan were within about 1.3 points, and Holi's -10% on the day itself was caught almost exactly. Single-day national holidays came out 1.2 to 2.4 points too negative, as each occurs only four or five times.</w:t>
      </w:r>
    </w:p>
    <w:p w14:paraId="33F90A7F" w14:textId="77777777" w:rsidR="00242F2D" w:rsidRDefault="00000000">
      <w:pPr>
        <w:pStyle w:val="Heading3"/>
        <w:ind w:left="0" w:firstLine="0"/>
        <w:jc w:val="left"/>
      </w:pPr>
      <w:bookmarkStart w:id="23" w:name="_Toc026"/>
      <w:bookmarkEnd w:id="23"/>
      <w:r>
        <w:t>6.5 Residual Diagnostics</w:t>
      </w:r>
    </w:p>
    <w:p w14:paraId="74146853" w14:textId="77777777" w:rsidR="00242F2D" w:rsidRDefault="00000000">
      <w:pPr>
        <w:keepNext/>
        <w:spacing w:before="120" w:after="60" w:line="240" w:lineRule="auto"/>
        <w:ind w:left="0" w:firstLine="0"/>
        <w:jc w:val="center"/>
      </w:pPr>
      <w:r>
        <w:rPr>
          <w:noProof/>
        </w:rPr>
        <w:drawing>
          <wp:inline distT="0" distB="0" distL="0" distR="0" wp14:anchorId="6C8A7B41" wp14:editId="17A76C25">
            <wp:extent cx="5669280" cy="1942214"/>
            <wp:effectExtent l="0" t="0" r="0" b="0"/>
            <wp:docPr id="1007" name="Figure 7"/>
            <wp:cNvGraphicFramePr/>
            <a:graphic xmlns:a="http://schemas.openxmlformats.org/drawingml/2006/main">
              <a:graphicData uri="http://schemas.openxmlformats.org/drawingml/2006/picture">
                <pic:pic xmlns:pic="http://schemas.openxmlformats.org/drawingml/2006/picture">
                  <pic:nvPicPr>
                    <pic:cNvPr id="1007" name="fig7.png"/>
                    <pic:cNvPicPr/>
                  </pic:nvPicPr>
                  <pic:blipFill>
                    <a:blip r:embed="rId17"/>
                    <a:stretch>
                      <a:fillRect/>
                    </a:stretch>
                  </pic:blipFill>
                  <pic:spPr>
                    <a:xfrm>
                      <a:off x="0" y="0"/>
                      <a:ext cx="5669280" cy="1942214"/>
                    </a:xfrm>
                    <a:prstGeom prst="rect">
                      <a:avLst/>
                    </a:prstGeom>
                  </pic:spPr>
                </pic:pic>
              </a:graphicData>
            </a:graphic>
          </wp:inline>
        </w:drawing>
      </w:r>
    </w:p>
    <w:p w14:paraId="4DF32F36" w14:textId="77777777" w:rsidR="00242F2D" w:rsidRDefault="00000000">
      <w:pPr>
        <w:spacing w:after="200"/>
        <w:ind w:left="0" w:firstLine="0"/>
        <w:jc w:val="center"/>
      </w:pPr>
      <w:r>
        <w:rPr>
          <w:b/>
          <w:bCs/>
          <w:sz w:val="18"/>
          <w:szCs w:val="18"/>
        </w:rPr>
        <w:t>Figure 7: ACF of Prophet residuals (left) and residual volatility over time (right)</w:t>
      </w:r>
    </w:p>
    <w:p w14:paraId="05671C96" w14:textId="77777777" w:rsidR="00242F2D" w:rsidRDefault="00000000">
      <w:pPr>
        <w:spacing w:after="160"/>
        <w:ind w:left="360" w:firstLine="0"/>
      </w:pPr>
      <w:r>
        <w:lastRenderedPageBreak/>
        <w:t>The residuals of the full Prophet model are autocorrelated: the lag-1 autocorrelation is 0.38, above the 0.3 built into the noise, and the Ljung-Box test rejects strongly (p &lt; 0.001). Prophet assumes independent errors and does not model this. The ARCH-LM test (LM = 29.4, p = 0.0001) shows that the residual variance also changes over time. Prophet's prediction intervals assume constant variance, so they are too narrow in volatile periods.</w:t>
      </w:r>
    </w:p>
    <w:p w14:paraId="5FC06488" w14:textId="77777777" w:rsidR="00242F2D" w:rsidRDefault="00000000">
      <w:pPr>
        <w:pStyle w:val="Heading3"/>
        <w:ind w:left="0" w:firstLine="0"/>
        <w:jc w:val="left"/>
      </w:pPr>
      <w:bookmarkStart w:id="24" w:name="_Toc027"/>
      <w:bookmarkEnd w:id="24"/>
      <w:r>
        <w:t>6.6 Final Forecast</w:t>
      </w:r>
    </w:p>
    <w:p w14:paraId="72DD9E87" w14:textId="77777777" w:rsidR="00242F2D" w:rsidRDefault="00000000">
      <w:pPr>
        <w:keepNext/>
        <w:spacing w:before="120" w:after="60" w:line="240" w:lineRule="auto"/>
        <w:ind w:left="0" w:firstLine="0"/>
        <w:jc w:val="center"/>
      </w:pPr>
      <w:r>
        <w:rPr>
          <w:noProof/>
        </w:rPr>
        <w:drawing>
          <wp:inline distT="0" distB="0" distL="0" distR="0" wp14:anchorId="0CEC80C4" wp14:editId="681490F4">
            <wp:extent cx="5669280" cy="2284817"/>
            <wp:effectExtent l="0" t="0" r="0" b="0"/>
            <wp:docPr id="1008" name="Figure 8"/>
            <wp:cNvGraphicFramePr/>
            <a:graphic xmlns:a="http://schemas.openxmlformats.org/drawingml/2006/main">
              <a:graphicData uri="http://schemas.openxmlformats.org/drawingml/2006/picture">
                <pic:pic xmlns:pic="http://schemas.openxmlformats.org/drawingml/2006/picture">
                  <pic:nvPicPr>
                    <pic:cNvPr id="1008" name="fig8.png"/>
                    <pic:cNvPicPr/>
                  </pic:nvPicPr>
                  <pic:blipFill>
                    <a:blip r:embed="rId18"/>
                    <a:stretch>
                      <a:fillRect/>
                    </a:stretch>
                  </pic:blipFill>
                  <pic:spPr>
                    <a:xfrm>
                      <a:off x="0" y="0"/>
                      <a:ext cx="5669280" cy="2284817"/>
                    </a:xfrm>
                    <a:prstGeom prst="rect">
                      <a:avLst/>
                    </a:prstGeom>
                  </pic:spPr>
                </pic:pic>
              </a:graphicData>
            </a:graphic>
          </wp:inline>
        </w:drawing>
      </w:r>
    </w:p>
    <w:p w14:paraId="3B179B2D" w14:textId="77777777" w:rsidR="00242F2D" w:rsidRDefault="00000000">
      <w:pPr>
        <w:spacing w:after="200"/>
        <w:ind w:left="0" w:firstLine="0"/>
        <w:jc w:val="center"/>
      </w:pPr>
      <w:r>
        <w:rPr>
          <w:b/>
          <w:bCs/>
          <w:sz w:val="18"/>
          <w:szCs w:val="18"/>
        </w:rPr>
        <w:t>Figure 8: 180-day forecast with 90% interval (September 2026 to February 2027)</w:t>
      </w:r>
    </w:p>
    <w:p w14:paraId="13A8EA09" w14:textId="77777777" w:rsidR="00242F2D" w:rsidRDefault="00000000">
      <w:pPr>
        <w:keepNext/>
        <w:spacing w:before="120" w:after="80" w:line="240" w:lineRule="auto"/>
        <w:ind w:left="0" w:firstLine="0"/>
        <w:jc w:val="center"/>
      </w:pPr>
      <w:r>
        <w:rPr>
          <w:b/>
          <w:bCs/>
          <w:sz w:val="18"/>
          <w:szCs w:val="18"/>
        </w:rPr>
        <w:t>Table 7: Forecast monthly totals</w:t>
      </w:r>
    </w:p>
    <w:tbl>
      <w:tblPr>
        <w:tblStyle w:val="TableNormal0"/>
        <w:tblW w:w="863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880"/>
        <w:gridCol w:w="3744"/>
        <w:gridCol w:w="2015"/>
      </w:tblGrid>
      <w:tr w:rsidR="00242F2D" w14:paraId="1C1D54E9" w14:textId="77777777">
        <w:trPr>
          <w:tblHeader/>
          <w:jc w:val="center"/>
        </w:trPr>
        <w:tc>
          <w:tcPr>
            <w:tcW w:w="2880" w:type="dxa"/>
            <w:shd w:val="clear" w:color="auto" w:fill="D9D9D9"/>
            <w:vAlign w:val="center"/>
          </w:tcPr>
          <w:p w14:paraId="52272932" w14:textId="77777777" w:rsidR="00242F2D" w:rsidRDefault="00000000">
            <w:pPr>
              <w:spacing w:before="40" w:after="40" w:line="240" w:lineRule="auto"/>
              <w:ind w:left="0" w:firstLine="0"/>
              <w:jc w:val="left"/>
            </w:pPr>
            <w:r>
              <w:rPr>
                <w:b/>
                <w:bCs/>
                <w:sz w:val="20"/>
                <w:szCs w:val="20"/>
              </w:rPr>
              <w:t>Month</w:t>
            </w:r>
          </w:p>
        </w:tc>
        <w:tc>
          <w:tcPr>
            <w:tcW w:w="3744" w:type="dxa"/>
            <w:shd w:val="clear" w:color="auto" w:fill="D9D9D9"/>
            <w:vAlign w:val="center"/>
          </w:tcPr>
          <w:p w14:paraId="43643968" w14:textId="77777777" w:rsidR="00242F2D" w:rsidRDefault="00000000">
            <w:pPr>
              <w:spacing w:before="40" w:after="40" w:line="240" w:lineRule="auto"/>
              <w:ind w:left="0" w:firstLine="0"/>
              <w:jc w:val="center"/>
            </w:pPr>
            <w:r>
              <w:rPr>
                <w:b/>
                <w:bCs/>
                <w:sz w:val="20"/>
                <w:szCs w:val="20"/>
              </w:rPr>
              <w:t>Forecast (billion transactions)</w:t>
            </w:r>
          </w:p>
        </w:tc>
        <w:tc>
          <w:tcPr>
            <w:tcW w:w="2015" w:type="dxa"/>
            <w:shd w:val="clear" w:color="auto" w:fill="D9D9D9"/>
            <w:vAlign w:val="center"/>
          </w:tcPr>
          <w:p w14:paraId="76FB273D" w14:textId="77777777" w:rsidR="00242F2D" w:rsidRDefault="00000000">
            <w:pPr>
              <w:spacing w:before="40" w:after="40" w:line="240" w:lineRule="auto"/>
              <w:ind w:left="0" w:firstLine="0"/>
              <w:jc w:val="center"/>
            </w:pPr>
            <w:r>
              <w:rPr>
                <w:b/>
                <w:bCs/>
                <w:sz w:val="20"/>
                <w:szCs w:val="20"/>
              </w:rPr>
              <w:t>Days covered</w:t>
            </w:r>
          </w:p>
        </w:tc>
      </w:tr>
      <w:tr w:rsidR="00242F2D" w14:paraId="1F1B1636" w14:textId="77777777">
        <w:trPr>
          <w:jc w:val="center"/>
        </w:trPr>
        <w:tc>
          <w:tcPr>
            <w:tcW w:w="2880" w:type="dxa"/>
            <w:vAlign w:val="center"/>
          </w:tcPr>
          <w:p w14:paraId="2C4F2AF7" w14:textId="77777777" w:rsidR="00242F2D" w:rsidRDefault="00000000">
            <w:pPr>
              <w:spacing w:before="40" w:after="40" w:line="240" w:lineRule="auto"/>
              <w:ind w:left="0" w:firstLine="0"/>
              <w:jc w:val="left"/>
            </w:pPr>
            <w:r>
              <w:rPr>
                <w:sz w:val="20"/>
                <w:szCs w:val="20"/>
              </w:rPr>
              <w:t>September 2026</w:t>
            </w:r>
          </w:p>
        </w:tc>
        <w:tc>
          <w:tcPr>
            <w:tcW w:w="3744" w:type="dxa"/>
            <w:vAlign w:val="center"/>
          </w:tcPr>
          <w:p w14:paraId="743001AC" w14:textId="77777777" w:rsidR="00242F2D" w:rsidRDefault="00000000">
            <w:pPr>
              <w:spacing w:before="40" w:after="40" w:line="240" w:lineRule="auto"/>
              <w:ind w:left="0" w:firstLine="0"/>
              <w:jc w:val="center"/>
            </w:pPr>
            <w:r>
              <w:rPr>
                <w:sz w:val="20"/>
                <w:szCs w:val="20"/>
              </w:rPr>
              <w:t>24.08</w:t>
            </w:r>
          </w:p>
        </w:tc>
        <w:tc>
          <w:tcPr>
            <w:tcW w:w="2015" w:type="dxa"/>
            <w:vAlign w:val="center"/>
          </w:tcPr>
          <w:p w14:paraId="70BD094F" w14:textId="77777777" w:rsidR="00242F2D" w:rsidRDefault="00000000">
            <w:pPr>
              <w:spacing w:before="40" w:after="40" w:line="240" w:lineRule="auto"/>
              <w:ind w:left="0" w:firstLine="0"/>
              <w:jc w:val="center"/>
            </w:pPr>
            <w:r>
              <w:rPr>
                <w:sz w:val="20"/>
                <w:szCs w:val="20"/>
              </w:rPr>
              <w:t>30</w:t>
            </w:r>
          </w:p>
        </w:tc>
      </w:tr>
      <w:tr w:rsidR="00242F2D" w14:paraId="119C6773" w14:textId="77777777">
        <w:trPr>
          <w:jc w:val="center"/>
        </w:trPr>
        <w:tc>
          <w:tcPr>
            <w:tcW w:w="2880" w:type="dxa"/>
            <w:vAlign w:val="center"/>
          </w:tcPr>
          <w:p w14:paraId="6D2FC87E" w14:textId="77777777" w:rsidR="00242F2D" w:rsidRDefault="00000000">
            <w:pPr>
              <w:spacing w:before="40" w:after="40" w:line="240" w:lineRule="auto"/>
              <w:ind w:left="0" w:firstLine="0"/>
              <w:jc w:val="left"/>
            </w:pPr>
            <w:r>
              <w:rPr>
                <w:sz w:val="20"/>
                <w:szCs w:val="20"/>
              </w:rPr>
              <w:t>October 2026</w:t>
            </w:r>
          </w:p>
        </w:tc>
        <w:tc>
          <w:tcPr>
            <w:tcW w:w="3744" w:type="dxa"/>
            <w:vAlign w:val="center"/>
          </w:tcPr>
          <w:p w14:paraId="5D2B706C" w14:textId="77777777" w:rsidR="00242F2D" w:rsidRDefault="00000000">
            <w:pPr>
              <w:spacing w:before="40" w:after="40" w:line="240" w:lineRule="auto"/>
              <w:ind w:left="0" w:firstLine="0"/>
              <w:jc w:val="center"/>
            </w:pPr>
            <w:r>
              <w:rPr>
                <w:sz w:val="20"/>
                <w:szCs w:val="20"/>
              </w:rPr>
              <w:t>25.75</w:t>
            </w:r>
          </w:p>
        </w:tc>
        <w:tc>
          <w:tcPr>
            <w:tcW w:w="2015" w:type="dxa"/>
            <w:vAlign w:val="center"/>
          </w:tcPr>
          <w:p w14:paraId="6684D997" w14:textId="77777777" w:rsidR="00242F2D" w:rsidRDefault="00000000">
            <w:pPr>
              <w:spacing w:before="40" w:after="40" w:line="240" w:lineRule="auto"/>
              <w:ind w:left="0" w:firstLine="0"/>
              <w:jc w:val="center"/>
            </w:pPr>
            <w:r>
              <w:rPr>
                <w:sz w:val="20"/>
                <w:szCs w:val="20"/>
              </w:rPr>
              <w:t>31</w:t>
            </w:r>
          </w:p>
        </w:tc>
      </w:tr>
      <w:tr w:rsidR="00242F2D" w14:paraId="196CACFE" w14:textId="77777777">
        <w:trPr>
          <w:jc w:val="center"/>
        </w:trPr>
        <w:tc>
          <w:tcPr>
            <w:tcW w:w="2880" w:type="dxa"/>
            <w:vAlign w:val="center"/>
          </w:tcPr>
          <w:p w14:paraId="38396857" w14:textId="77777777" w:rsidR="00242F2D" w:rsidRDefault="00000000">
            <w:pPr>
              <w:spacing w:before="40" w:after="40" w:line="240" w:lineRule="auto"/>
              <w:ind w:left="0" w:firstLine="0"/>
              <w:jc w:val="left"/>
            </w:pPr>
            <w:r>
              <w:rPr>
                <w:sz w:val="20"/>
                <w:szCs w:val="20"/>
              </w:rPr>
              <w:t>November 2026</w:t>
            </w:r>
          </w:p>
        </w:tc>
        <w:tc>
          <w:tcPr>
            <w:tcW w:w="3744" w:type="dxa"/>
            <w:vAlign w:val="center"/>
          </w:tcPr>
          <w:p w14:paraId="0D64A8FA" w14:textId="77777777" w:rsidR="00242F2D" w:rsidRDefault="00000000">
            <w:pPr>
              <w:spacing w:before="40" w:after="40" w:line="240" w:lineRule="auto"/>
              <w:ind w:left="0" w:firstLine="0"/>
              <w:jc w:val="center"/>
            </w:pPr>
            <w:r>
              <w:rPr>
                <w:sz w:val="20"/>
                <w:szCs w:val="20"/>
              </w:rPr>
              <w:t>25.51</w:t>
            </w:r>
          </w:p>
        </w:tc>
        <w:tc>
          <w:tcPr>
            <w:tcW w:w="2015" w:type="dxa"/>
            <w:vAlign w:val="center"/>
          </w:tcPr>
          <w:p w14:paraId="69B32A5A" w14:textId="77777777" w:rsidR="00242F2D" w:rsidRDefault="00000000">
            <w:pPr>
              <w:spacing w:before="40" w:after="40" w:line="240" w:lineRule="auto"/>
              <w:ind w:left="0" w:firstLine="0"/>
              <w:jc w:val="center"/>
            </w:pPr>
            <w:r>
              <w:rPr>
                <w:sz w:val="20"/>
                <w:szCs w:val="20"/>
              </w:rPr>
              <w:t>30</w:t>
            </w:r>
          </w:p>
        </w:tc>
      </w:tr>
      <w:tr w:rsidR="00242F2D" w14:paraId="5281A148" w14:textId="77777777">
        <w:trPr>
          <w:jc w:val="center"/>
        </w:trPr>
        <w:tc>
          <w:tcPr>
            <w:tcW w:w="2880" w:type="dxa"/>
            <w:vAlign w:val="center"/>
          </w:tcPr>
          <w:p w14:paraId="79354E22" w14:textId="77777777" w:rsidR="00242F2D" w:rsidRDefault="00000000">
            <w:pPr>
              <w:spacing w:before="40" w:after="40" w:line="240" w:lineRule="auto"/>
              <w:ind w:left="0" w:firstLine="0"/>
              <w:jc w:val="left"/>
            </w:pPr>
            <w:r>
              <w:rPr>
                <w:sz w:val="20"/>
                <w:szCs w:val="20"/>
              </w:rPr>
              <w:t>December 2026</w:t>
            </w:r>
          </w:p>
        </w:tc>
        <w:tc>
          <w:tcPr>
            <w:tcW w:w="3744" w:type="dxa"/>
            <w:vAlign w:val="center"/>
          </w:tcPr>
          <w:p w14:paraId="0D036198" w14:textId="77777777" w:rsidR="00242F2D" w:rsidRDefault="00000000">
            <w:pPr>
              <w:spacing w:before="40" w:after="40" w:line="240" w:lineRule="auto"/>
              <w:ind w:left="0" w:firstLine="0"/>
              <w:jc w:val="center"/>
            </w:pPr>
            <w:r>
              <w:rPr>
                <w:sz w:val="20"/>
                <w:szCs w:val="20"/>
              </w:rPr>
              <w:t>26.01</w:t>
            </w:r>
          </w:p>
        </w:tc>
        <w:tc>
          <w:tcPr>
            <w:tcW w:w="2015" w:type="dxa"/>
            <w:vAlign w:val="center"/>
          </w:tcPr>
          <w:p w14:paraId="55C3C5A1" w14:textId="77777777" w:rsidR="00242F2D" w:rsidRDefault="00000000">
            <w:pPr>
              <w:spacing w:before="40" w:after="40" w:line="240" w:lineRule="auto"/>
              <w:ind w:left="0" w:firstLine="0"/>
              <w:jc w:val="center"/>
            </w:pPr>
            <w:r>
              <w:rPr>
                <w:sz w:val="20"/>
                <w:szCs w:val="20"/>
              </w:rPr>
              <w:t>31</w:t>
            </w:r>
          </w:p>
        </w:tc>
      </w:tr>
      <w:tr w:rsidR="00242F2D" w14:paraId="25BC5965" w14:textId="77777777">
        <w:trPr>
          <w:jc w:val="center"/>
        </w:trPr>
        <w:tc>
          <w:tcPr>
            <w:tcW w:w="2880" w:type="dxa"/>
            <w:vAlign w:val="center"/>
          </w:tcPr>
          <w:p w14:paraId="5215214B" w14:textId="77777777" w:rsidR="00242F2D" w:rsidRDefault="00000000">
            <w:pPr>
              <w:spacing w:before="40" w:after="40" w:line="240" w:lineRule="auto"/>
              <w:ind w:left="0" w:firstLine="0"/>
              <w:jc w:val="left"/>
            </w:pPr>
            <w:r>
              <w:rPr>
                <w:sz w:val="20"/>
                <w:szCs w:val="20"/>
              </w:rPr>
              <w:t>January 2027</w:t>
            </w:r>
          </w:p>
        </w:tc>
        <w:tc>
          <w:tcPr>
            <w:tcW w:w="3744" w:type="dxa"/>
            <w:vAlign w:val="center"/>
          </w:tcPr>
          <w:p w14:paraId="0FAB27CB" w14:textId="77777777" w:rsidR="00242F2D" w:rsidRDefault="00000000">
            <w:pPr>
              <w:spacing w:before="40" w:after="40" w:line="240" w:lineRule="auto"/>
              <w:ind w:left="0" w:firstLine="0"/>
              <w:jc w:val="center"/>
            </w:pPr>
            <w:r>
              <w:rPr>
                <w:sz w:val="20"/>
                <w:szCs w:val="20"/>
              </w:rPr>
              <w:t>26.44</w:t>
            </w:r>
          </w:p>
        </w:tc>
        <w:tc>
          <w:tcPr>
            <w:tcW w:w="2015" w:type="dxa"/>
            <w:vAlign w:val="center"/>
          </w:tcPr>
          <w:p w14:paraId="34225FA7" w14:textId="77777777" w:rsidR="00242F2D" w:rsidRDefault="00000000">
            <w:pPr>
              <w:spacing w:before="40" w:after="40" w:line="240" w:lineRule="auto"/>
              <w:ind w:left="0" w:firstLine="0"/>
              <w:jc w:val="center"/>
            </w:pPr>
            <w:r>
              <w:rPr>
                <w:sz w:val="20"/>
                <w:szCs w:val="20"/>
              </w:rPr>
              <w:t>31</w:t>
            </w:r>
          </w:p>
        </w:tc>
      </w:tr>
      <w:tr w:rsidR="00242F2D" w14:paraId="1D994705" w14:textId="77777777">
        <w:trPr>
          <w:jc w:val="center"/>
        </w:trPr>
        <w:tc>
          <w:tcPr>
            <w:tcW w:w="2880" w:type="dxa"/>
            <w:vAlign w:val="center"/>
          </w:tcPr>
          <w:p w14:paraId="45BE355B" w14:textId="77777777" w:rsidR="00242F2D" w:rsidRDefault="00000000">
            <w:pPr>
              <w:spacing w:before="40" w:after="40" w:line="240" w:lineRule="auto"/>
              <w:ind w:left="0" w:firstLine="0"/>
              <w:jc w:val="left"/>
            </w:pPr>
            <w:r>
              <w:rPr>
                <w:sz w:val="20"/>
                <w:szCs w:val="20"/>
              </w:rPr>
              <w:t>February 2027</w:t>
            </w:r>
          </w:p>
        </w:tc>
        <w:tc>
          <w:tcPr>
            <w:tcW w:w="3744" w:type="dxa"/>
            <w:vAlign w:val="center"/>
          </w:tcPr>
          <w:p w14:paraId="2D11D0B5" w14:textId="77777777" w:rsidR="00242F2D" w:rsidRDefault="00000000">
            <w:pPr>
              <w:spacing w:before="40" w:after="40" w:line="240" w:lineRule="auto"/>
              <w:ind w:left="0" w:firstLine="0"/>
              <w:jc w:val="center"/>
            </w:pPr>
            <w:r>
              <w:rPr>
                <w:sz w:val="20"/>
                <w:szCs w:val="20"/>
              </w:rPr>
              <w:t>23.53</w:t>
            </w:r>
          </w:p>
        </w:tc>
        <w:tc>
          <w:tcPr>
            <w:tcW w:w="2015" w:type="dxa"/>
            <w:vAlign w:val="center"/>
          </w:tcPr>
          <w:p w14:paraId="1F8071C5" w14:textId="77777777" w:rsidR="00242F2D" w:rsidRDefault="00000000">
            <w:pPr>
              <w:spacing w:before="40" w:after="40" w:line="240" w:lineRule="auto"/>
              <w:ind w:left="0" w:firstLine="0"/>
              <w:jc w:val="center"/>
            </w:pPr>
            <w:r>
              <w:rPr>
                <w:sz w:val="20"/>
                <w:szCs w:val="20"/>
              </w:rPr>
              <w:t>27</w:t>
            </w:r>
          </w:p>
        </w:tc>
      </w:tr>
    </w:tbl>
    <w:p w14:paraId="1C4643FD" w14:textId="77777777" w:rsidR="00242F2D" w:rsidRDefault="00242F2D">
      <w:pPr>
        <w:spacing w:after="120"/>
        <w:ind w:left="0" w:firstLine="0"/>
      </w:pPr>
    </w:p>
    <w:p w14:paraId="4EAB0B17" w14:textId="77777777" w:rsidR="00242F2D" w:rsidRDefault="00000000">
      <w:pPr>
        <w:spacing w:after="160"/>
        <w:ind w:left="360" w:firstLine="0"/>
      </w:pPr>
      <w:r>
        <w:t>The forecast continues the trend at about 24 to 26 billion transactions a month, against 24.5 billion in August 2026. February 2027 is lower only because the forecast ends on 27 February. The October 2026 sale and the Diwali ramp in early November give the highest forecast days, close to one billion transactions a day. These figures forecast the synthetic series and illustrate the method; they are not predictions of real UPI volume.</w:t>
      </w:r>
    </w:p>
    <w:p w14:paraId="12D54474" w14:textId="77777777" w:rsidR="00242F2D" w:rsidRDefault="00000000">
      <w:pPr>
        <w:ind w:left="0" w:firstLine="0"/>
      </w:pPr>
      <w:r>
        <w:br w:type="page"/>
      </w:r>
    </w:p>
    <w:p w14:paraId="1AAFDA7A" w14:textId="77777777" w:rsidR="00242F2D" w:rsidRDefault="00000000">
      <w:pPr>
        <w:pStyle w:val="Heading1"/>
        <w:ind w:left="0" w:firstLine="0"/>
        <w:jc w:val="left"/>
      </w:pPr>
      <w:bookmarkStart w:id="25" w:name="_Toc028"/>
      <w:bookmarkEnd w:id="25"/>
      <w:r>
        <w:lastRenderedPageBreak/>
        <w:t>7.0 Discussion</w:t>
      </w:r>
    </w:p>
    <w:p w14:paraId="675D46F8" w14:textId="77777777" w:rsidR="00242F2D" w:rsidRDefault="00000000">
      <w:r>
        <w:t>The evaluation includes several safeguards. WAPE and sMAPE complement MAPE, while mean forecast error identifies systematic over- or underprediction. Results are reported for 7-, 30- and 90-day lead horizons, which separates near-term from longer-horizon performance. Since rolling-origin windows overlap, fold-level results are interpreted descriptively rather than as independent statistical replicates. SARIMAX forecasts are converted from log volume with an approximate lognormal mean correction; this is an approximation that assumes the log-scale errors are roughly normal.</w:t>
      </w:r>
    </w:p>
    <w:p w14:paraId="00789155" w14:textId="77777777" w:rsidR="00242F2D" w:rsidRDefault="00000000">
      <w:pPr>
        <w:pStyle w:val="Heading2"/>
      </w:pPr>
      <w:r>
        <w:t>7.1 Why Holidays and Events Help</w:t>
      </w:r>
    </w:p>
    <w:p w14:paraId="2C6C194F" w14:textId="77777777" w:rsidR="00242F2D" w:rsidRDefault="00000000">
      <w:pPr>
        <w:spacing w:after="160"/>
        <w:ind w:left="360" w:firstLine="0"/>
      </w:pPr>
      <w:r>
        <w:t>Each improvement appeared on exactly the days the added information describes. Holidays improved holiday days, the sale improved sale days, and payday and month-end improved ordinary days. This shows that the gains come from the calendar knowledge itself, not from extra model flexibility.</w:t>
      </w:r>
    </w:p>
    <w:p w14:paraId="4A13C4B7" w14:textId="77777777" w:rsidR="00242F2D" w:rsidRDefault="00000000">
      <w:pPr>
        <w:pStyle w:val="Heading3"/>
        <w:ind w:left="0" w:firstLine="0"/>
        <w:jc w:val="left"/>
      </w:pPr>
      <w:bookmarkStart w:id="26" w:name="_Toc030"/>
      <w:bookmarkEnd w:id="26"/>
      <w:r>
        <w:t>7.2 Prophet Versus SARIMAX</w:t>
      </w:r>
    </w:p>
    <w:p w14:paraId="736E7DBA" w14:textId="77777777" w:rsidR="00242F2D" w:rsidRDefault="00000000">
      <w:pPr>
        <w:spacing w:after="160"/>
        <w:ind w:left="360" w:firstLine="0"/>
      </w:pPr>
      <w:r>
        <w:t>SARIMAX had the cleaner in-sample residuals, yet it forecast worse than every Prophet version. AIC rewards a good fit to the training window, not accuracy 90 days ahead. ARIMA forecasts depend on recent values, so their errors build up with the horizon, while Prophet's forecast comes from a smooth trend and fixed calendar terms. For long-horizon planning of daily volume, Prophet is the better choice; for next-day forecasts, the gap would likely be smaller.</w:t>
      </w:r>
    </w:p>
    <w:p w14:paraId="70DA379D" w14:textId="77777777" w:rsidR="00242F2D" w:rsidRDefault="00000000">
      <w:pPr>
        <w:pStyle w:val="Heading3"/>
        <w:ind w:left="0" w:firstLine="0"/>
        <w:jc w:val="left"/>
      </w:pPr>
      <w:bookmarkStart w:id="27" w:name="_Toc031"/>
      <w:bookmarkEnd w:id="27"/>
      <w:r>
        <w:t>7.3 Why Diwali Is Underestimated</w:t>
      </w:r>
    </w:p>
    <w:p w14:paraId="7E946337" w14:textId="77777777" w:rsidR="00242F2D" w:rsidRDefault="00000000">
      <w:pPr>
        <w:spacing w:after="160"/>
        <w:ind w:left="360" w:firstLine="0"/>
      </w:pPr>
      <w:r>
        <w:t>Diwali is the largest and longest effect. Each of its 14 daily coefficients is estimated from only four Diwalis in the data. Diwali also always falls in October or November, so the yearly seasonal pattern can absorb part of its effect, and the trend inherits some month-to-month variation from the real NPCI data around festive months. The earlier anchoring issue (Section 4.3) made this much worse; after the correction, about 1.1 points of the gap remain.</w:t>
      </w:r>
    </w:p>
    <w:p w14:paraId="1DAF2573" w14:textId="77777777" w:rsidR="00242F2D" w:rsidRDefault="00000000">
      <w:pPr>
        <w:pStyle w:val="Heading3"/>
        <w:ind w:left="0" w:firstLine="0"/>
        <w:jc w:val="left"/>
      </w:pPr>
      <w:bookmarkStart w:id="28" w:name="_Toc032"/>
      <w:bookmarkEnd w:id="28"/>
      <w:r>
        <w:t>7.4 Limitations</w:t>
      </w:r>
    </w:p>
    <w:p w14:paraId="633C78FA" w14:textId="77777777" w:rsidR="00242F2D" w:rsidRDefault="00000000">
      <w:pPr>
        <w:numPr>
          <w:ilvl w:val="0"/>
          <w:numId w:val="1"/>
        </w:numPr>
        <w:spacing w:after="80"/>
        <w:ind w:left="1080"/>
      </w:pPr>
      <w:r>
        <w:t>The daily data is synthetic, so the results show how the models behave under the specified data-generating assumptions, not the real size of festival effects or validated real-world UPI forecast accuracy. Five festive months differ from NPCI totals by design, and only four Diwalis are available for estimating the festival profile. Forecast folds overlap, so fold-level variation is descriptive rather than a formal independent-sample uncertainty estimate. The lognormal correction for SARIMAX is an approximation. Prophet residuals were found to be autocorrelated and their variance changes over time; so its prediction intervals are likely too narrow, and their coverage has not been tested on held-out data.</w:t>
      </w:r>
    </w:p>
    <w:p w14:paraId="21FA049C" w14:textId="77777777" w:rsidR="00242F2D" w:rsidRDefault="00000000">
      <w:pPr>
        <w:numPr>
          <w:ilvl w:val="0"/>
          <w:numId w:val="1"/>
        </w:numPr>
        <w:spacing w:after="80"/>
        <w:ind w:left="1080"/>
      </w:pPr>
      <w:r>
        <w:t>Five festive months differ from the NPCI totals by up to 6.5% by design.</w:t>
      </w:r>
    </w:p>
    <w:p w14:paraId="0F8F9CD5" w14:textId="77777777" w:rsidR="00242F2D" w:rsidRDefault="00000000">
      <w:pPr>
        <w:numPr>
          <w:ilvl w:val="0"/>
          <w:numId w:val="1"/>
        </w:numPr>
        <w:spacing w:after="80"/>
        <w:ind w:left="1080"/>
      </w:pPr>
      <w:r>
        <w:t>Only four Diwalis are in the sample.</w:t>
      </w:r>
    </w:p>
    <w:p w14:paraId="138047C9" w14:textId="77777777" w:rsidR="00242F2D" w:rsidRDefault="00000000">
      <w:pPr>
        <w:numPr>
          <w:ilvl w:val="0"/>
          <w:numId w:val="1"/>
        </w:numPr>
        <w:spacing w:after="80"/>
        <w:ind w:left="1080"/>
      </w:pPr>
      <w:r>
        <w:lastRenderedPageBreak/>
        <w:t>Prophet's residuals are autocorrelated and their variance changes, so its prediction intervals are too narrow.</w:t>
      </w:r>
    </w:p>
    <w:p w14:paraId="3B4EAA89" w14:textId="77777777" w:rsidR="00242F2D" w:rsidRDefault="00000000">
      <w:pPr>
        <w:ind w:left="0" w:firstLine="0"/>
      </w:pPr>
      <w:r>
        <w:br w:type="page"/>
      </w:r>
    </w:p>
    <w:p w14:paraId="53F10C4E" w14:textId="77777777" w:rsidR="00242F2D" w:rsidRDefault="00000000">
      <w:pPr>
        <w:pStyle w:val="Heading1"/>
        <w:ind w:left="0" w:firstLine="0"/>
        <w:jc w:val="left"/>
      </w:pPr>
      <w:bookmarkStart w:id="29" w:name="_Toc033"/>
      <w:bookmarkEnd w:id="29"/>
      <w:r>
        <w:lastRenderedPageBreak/>
        <w:t>8.0 Conclusion and Future Scope</w:t>
      </w:r>
    </w:p>
    <w:p w14:paraId="6171F190" w14:textId="77777777" w:rsidR="00242F2D" w:rsidRDefault="00000000">
      <w:pPr>
        <w:spacing w:after="160"/>
        <w:ind w:left="360" w:firstLine="0"/>
      </w:pPr>
      <w:r>
        <w:t>This project implemented Prophet to forecast daily UPI transaction volume with holiday and event effects, using a synthetic daily series anchored to real NPCI monthly totals. Prophet with holidays and events was the most accurate of five models, with a 90-day MAPE of 2.44% against 4.73% for SARIMAX and 5.54% for seasonal naive, and it stayed the most accurate at 7-, 30- and 90-day horizons. Holidays reduced error on holiday days by about 30%, and events more than halved error on sale days. Because the true effects are known, the study also showed that Prophet recovers payday, month-end and sale effects closely while under-estimating Diwali. This is a simulation check rather than a causal estimate of actual UPI behaviour, and Prophet's autocorrelated, heteroskedastic residuals mean its prediction intervals need further testing before operational use.</w:t>
      </w:r>
    </w:p>
    <w:p w14:paraId="6B4D0A5C" w14:textId="77777777" w:rsidR="00242F2D" w:rsidRDefault="00000000">
      <w:pPr>
        <w:spacing w:before="120" w:after="120"/>
      </w:pPr>
      <w:r>
        <w:t xml:space="preserve">The code, data and an interactive dashboard of the results are available at </w:t>
      </w:r>
      <w:hyperlink r:id="rId19">
        <w:r>
          <w:rPr>
            <w:color w:val="0563C1"/>
            <w:u w:val="single"/>
          </w:rPr>
          <w:t>https://github.com/san2736/upi-project</w:t>
        </w:r>
      </w:hyperlink>
      <w:r>
        <w:t xml:space="preserve"> and </w:t>
      </w:r>
      <w:hyperlink r:id="rId20">
        <w:r>
          <w:rPr>
            <w:color w:val="0563C1"/>
            <w:u w:val="single"/>
          </w:rPr>
          <w:t>https://san2736.github.io/upi-project/</w:t>
        </w:r>
      </w:hyperlink>
      <w:r>
        <w:t>.</w:t>
      </w:r>
    </w:p>
    <w:p w14:paraId="05935E97" w14:textId="77777777" w:rsidR="00242F2D" w:rsidRDefault="00000000">
      <w:pPr>
        <w:spacing w:after="160"/>
        <w:ind w:left="360" w:firstLine="0"/>
      </w:pPr>
      <w:r>
        <w:t>Future work could:</w:t>
      </w:r>
    </w:p>
    <w:p w14:paraId="01A08161" w14:textId="192302A1" w:rsidR="00242F2D" w:rsidRDefault="00215312">
      <w:pPr>
        <w:numPr>
          <w:ilvl w:val="0"/>
          <w:numId w:val="1"/>
        </w:numPr>
        <w:spacing w:after="80"/>
        <w:ind w:left="1080"/>
      </w:pPr>
      <w:r>
        <w:t>U</w:t>
      </w:r>
      <w:r w:rsidR="00000000">
        <w:t>se real daily payment data if NPCI or RBI publish it;</w:t>
      </w:r>
    </w:p>
    <w:p w14:paraId="05901466" w14:textId="0239EA23" w:rsidR="00242F2D" w:rsidRDefault="00215312">
      <w:pPr>
        <w:numPr>
          <w:ilvl w:val="0"/>
          <w:numId w:val="1"/>
        </w:numPr>
        <w:spacing w:after="80"/>
        <w:ind w:left="1080"/>
      </w:pPr>
      <w:r>
        <w:t>M</w:t>
      </w:r>
      <w:r w:rsidR="00000000">
        <w:t>easure the empirical coverage of the 90% prediction intervals on held-out data;</w:t>
      </w:r>
    </w:p>
    <w:p w14:paraId="036B3C57" w14:textId="344F2FFD" w:rsidR="00242F2D" w:rsidRDefault="00215312">
      <w:pPr>
        <w:numPr>
          <w:ilvl w:val="0"/>
          <w:numId w:val="1"/>
        </w:numPr>
        <w:spacing w:after="80"/>
        <w:ind w:left="1080"/>
      </w:pPr>
      <w:r>
        <w:t>C</w:t>
      </w:r>
      <w:r w:rsidR="00000000">
        <w:t>ombine Prophet with an ARIMA model of its residuals, or a GARCH model of their changing variance;</w:t>
      </w:r>
    </w:p>
    <w:p w14:paraId="43F685D2" w14:textId="1EF80115" w:rsidR="00242F2D" w:rsidRDefault="00215312">
      <w:pPr>
        <w:numPr>
          <w:ilvl w:val="0"/>
          <w:numId w:val="1"/>
        </w:numPr>
        <w:spacing w:after="80"/>
        <w:ind w:left="1080"/>
      </w:pPr>
      <w:r>
        <w:t>D</w:t>
      </w:r>
      <w:r w:rsidR="00000000">
        <w:t>etect unannounced events automatically from forecast errors;</w:t>
      </w:r>
    </w:p>
    <w:p w14:paraId="6378B1ED" w14:textId="73A0CE6A" w:rsidR="00242F2D" w:rsidRDefault="00215312">
      <w:pPr>
        <w:numPr>
          <w:ilvl w:val="0"/>
          <w:numId w:val="1"/>
        </w:numPr>
        <w:spacing w:after="80"/>
        <w:ind w:left="1080"/>
      </w:pPr>
      <w:r>
        <w:t>C</w:t>
      </w:r>
      <w:r w:rsidR="00000000">
        <w:t>ompare with machine learning models such as LSTM networks;</w:t>
      </w:r>
    </w:p>
    <w:p w14:paraId="284EB128" w14:textId="7256069B" w:rsidR="00242F2D" w:rsidRDefault="00215312">
      <w:pPr>
        <w:numPr>
          <w:ilvl w:val="0"/>
          <w:numId w:val="1"/>
        </w:numPr>
        <w:spacing w:after="80"/>
        <w:ind w:left="1080"/>
      </w:pPr>
      <w:r>
        <w:t>M</w:t>
      </w:r>
      <w:r w:rsidR="00000000">
        <w:t>odel P2P and P2M volume together with VAR models to study how festivals shift the payment mix.</w:t>
      </w:r>
    </w:p>
    <w:p w14:paraId="6DEF201F" w14:textId="77777777" w:rsidR="00242F2D" w:rsidRDefault="00000000">
      <w:pPr>
        <w:ind w:left="0" w:firstLine="0"/>
      </w:pPr>
      <w:r>
        <w:br w:type="page"/>
      </w:r>
    </w:p>
    <w:p w14:paraId="09B0483D" w14:textId="77777777" w:rsidR="00242F2D" w:rsidRDefault="00000000">
      <w:pPr>
        <w:pStyle w:val="Heading1"/>
        <w:ind w:left="0" w:firstLine="0"/>
        <w:jc w:val="left"/>
      </w:pPr>
      <w:bookmarkStart w:id="30" w:name="_TocRefs"/>
      <w:bookmarkEnd w:id="30"/>
      <w:r>
        <w:lastRenderedPageBreak/>
        <w:t>References</w:t>
      </w:r>
    </w:p>
    <w:p w14:paraId="4AD0131E" w14:textId="77777777" w:rsidR="00242F2D" w:rsidRDefault="00000000">
      <w:pPr>
        <w:numPr>
          <w:ilvl w:val="0"/>
          <w:numId w:val="15"/>
        </w:numPr>
        <w:spacing w:after="100" w:line="264" w:lineRule="auto"/>
        <w:jc w:val="left"/>
      </w:pPr>
      <w:r>
        <w:rPr>
          <w:sz w:val="22"/>
          <w:szCs w:val="22"/>
        </w:rPr>
        <w:t>S. J. Taylor and B. Letham, “Forecasting at scale,” The American Statistician, vol. 72, no. 1, pp. 37-45, 2018.</w:t>
      </w:r>
    </w:p>
    <w:p w14:paraId="2B7A4043" w14:textId="77777777" w:rsidR="00242F2D" w:rsidRDefault="00000000">
      <w:pPr>
        <w:numPr>
          <w:ilvl w:val="0"/>
          <w:numId w:val="15"/>
        </w:numPr>
        <w:spacing w:after="100" w:line="264" w:lineRule="auto"/>
        <w:jc w:val="left"/>
      </w:pPr>
      <w:r>
        <w:rPr>
          <w:sz w:val="22"/>
          <w:szCs w:val="22"/>
        </w:rPr>
        <w:t>G. E. P. Box, G. M. Jenkins, G. C. Reinsel and G. M. Ljung, Time Series Analysis: Forecasting and Control, 5th ed. Hoboken, NJ, USA: Wiley, 2015.</w:t>
      </w:r>
    </w:p>
    <w:p w14:paraId="0C00266E" w14:textId="77777777" w:rsidR="00242F2D" w:rsidRDefault="00000000">
      <w:pPr>
        <w:numPr>
          <w:ilvl w:val="0"/>
          <w:numId w:val="15"/>
        </w:numPr>
        <w:spacing w:after="100" w:line="264" w:lineRule="auto"/>
        <w:jc w:val="left"/>
      </w:pPr>
      <w:r>
        <w:rPr>
          <w:sz w:val="22"/>
          <w:szCs w:val="22"/>
        </w:rPr>
        <w:t>R. J. Hyndman and G. Athanasopoulos, Forecasting: Principles and Practice, 3rd ed. Melbourne, Australia: OTexts, 2021. https://otexts.com/fpp3/</w:t>
      </w:r>
    </w:p>
    <w:p w14:paraId="7CCF0680" w14:textId="77777777" w:rsidR="00242F2D" w:rsidRDefault="00000000">
      <w:pPr>
        <w:numPr>
          <w:ilvl w:val="0"/>
          <w:numId w:val="15"/>
        </w:numPr>
        <w:spacing w:after="100" w:line="264" w:lineRule="auto"/>
        <w:jc w:val="left"/>
      </w:pPr>
      <w:r>
        <w:rPr>
          <w:sz w:val="22"/>
          <w:szCs w:val="22"/>
        </w:rPr>
        <w:t>R. B. Cleveland, W. S. Cleveland, J. E. McRae and I. Terpenning, “STL: A seasonal-trend decomposition procedure based on loess,” Journal of Official Statistics, vol. 6, no. 1, pp. 3-73, 1990.</w:t>
      </w:r>
    </w:p>
    <w:p w14:paraId="2D3953B6" w14:textId="77777777" w:rsidR="00242F2D" w:rsidRDefault="00000000">
      <w:pPr>
        <w:numPr>
          <w:ilvl w:val="0"/>
          <w:numId w:val="15"/>
        </w:numPr>
        <w:spacing w:after="100" w:line="264" w:lineRule="auto"/>
        <w:jc w:val="left"/>
      </w:pPr>
      <w:r>
        <w:rPr>
          <w:sz w:val="22"/>
          <w:szCs w:val="22"/>
        </w:rPr>
        <w:t>D. A. Dickey and W. A. Fuller, “Distribution of the estimators for autoregressive time series with a unit root,” Journal of the American Statistical Association, vol. 74, no. 366, pp. 427-431, 1979.</w:t>
      </w:r>
    </w:p>
    <w:p w14:paraId="0B4D46A9" w14:textId="77777777" w:rsidR="00242F2D" w:rsidRDefault="00000000">
      <w:pPr>
        <w:numPr>
          <w:ilvl w:val="0"/>
          <w:numId w:val="15"/>
        </w:numPr>
        <w:spacing w:after="100" w:line="264" w:lineRule="auto"/>
        <w:jc w:val="left"/>
      </w:pPr>
      <w:r>
        <w:rPr>
          <w:sz w:val="22"/>
          <w:szCs w:val="22"/>
        </w:rPr>
        <w:t>D. Kwiatkowski, P. C. B. Phillips, P. Schmidt and Y. Shin, “Testing the null hypothesis of stationarity against the alternative of a unit root,” Journal of Econometrics, vol. 54, pp. 159-178, 1992.</w:t>
      </w:r>
    </w:p>
    <w:p w14:paraId="2E9C7732" w14:textId="77777777" w:rsidR="00242F2D" w:rsidRDefault="00000000">
      <w:pPr>
        <w:numPr>
          <w:ilvl w:val="0"/>
          <w:numId w:val="15"/>
        </w:numPr>
        <w:spacing w:after="100" w:line="264" w:lineRule="auto"/>
        <w:jc w:val="left"/>
      </w:pPr>
      <w:r>
        <w:rPr>
          <w:sz w:val="22"/>
          <w:szCs w:val="22"/>
        </w:rPr>
        <w:t>G. M. Ljung and G. E. P. Box, “On a measure of lack of fit in time series models,” Biometrika, vol. 65, no. 2, pp. 297-303, 1978.</w:t>
      </w:r>
    </w:p>
    <w:p w14:paraId="43957CAD" w14:textId="77777777" w:rsidR="00242F2D" w:rsidRDefault="00000000">
      <w:pPr>
        <w:numPr>
          <w:ilvl w:val="0"/>
          <w:numId w:val="15"/>
        </w:numPr>
        <w:spacing w:after="100" w:line="264" w:lineRule="auto"/>
        <w:jc w:val="left"/>
      </w:pPr>
      <w:r>
        <w:rPr>
          <w:sz w:val="22"/>
          <w:szCs w:val="22"/>
        </w:rPr>
        <w:t>R. F. Engle, “Autoregressive conditional heteroscedasticity with estimates of the variance of United Kingdom inflation,” Econometrica, vol. 50, no. 4, pp. 987-1007, 1982.</w:t>
      </w:r>
    </w:p>
    <w:p w14:paraId="58DCC593" w14:textId="77777777" w:rsidR="00242F2D" w:rsidRDefault="00000000">
      <w:pPr>
        <w:numPr>
          <w:ilvl w:val="0"/>
          <w:numId w:val="15"/>
        </w:numPr>
        <w:spacing w:after="100" w:line="264" w:lineRule="auto"/>
        <w:jc w:val="left"/>
      </w:pPr>
      <w:r>
        <w:rPr>
          <w:sz w:val="22"/>
          <w:szCs w:val="22"/>
        </w:rPr>
        <w:t>L. J. Tashman, “Out-of-sample tests of forecasting accuracy: an analysis and review,” International Journal of Forecasting, vol. 16, no. 4, pp. 437-450, 2000.</w:t>
      </w:r>
    </w:p>
    <w:p w14:paraId="2894723E" w14:textId="77777777" w:rsidR="00242F2D" w:rsidRDefault="00000000">
      <w:pPr>
        <w:numPr>
          <w:ilvl w:val="0"/>
          <w:numId w:val="15"/>
        </w:numPr>
        <w:spacing w:after="100" w:line="264" w:lineRule="auto"/>
        <w:jc w:val="left"/>
      </w:pPr>
      <w:r>
        <w:rPr>
          <w:sz w:val="22"/>
          <w:szCs w:val="22"/>
        </w:rPr>
        <w:t>H. Akaike, “A new look at the statistical model identification,” IEEE Transactions on Automatic Control, vol. 19, no. 6, pp. 716-723, 1974.</w:t>
      </w:r>
    </w:p>
    <w:p w14:paraId="61EF8632" w14:textId="77777777" w:rsidR="00242F2D" w:rsidRDefault="00000000">
      <w:pPr>
        <w:numPr>
          <w:ilvl w:val="0"/>
          <w:numId w:val="15"/>
        </w:numPr>
        <w:spacing w:after="100" w:line="264" w:lineRule="auto"/>
        <w:jc w:val="left"/>
      </w:pPr>
      <w:r>
        <w:rPr>
          <w:sz w:val="22"/>
          <w:szCs w:val="22"/>
        </w:rPr>
        <w:t>National Payments Corporation of India, “UPI Ecosystem Statistics.” https://www.npci.org.in/product/ecosystem-statistics/upi (accessed Oct. 2026).</w:t>
      </w:r>
    </w:p>
    <w:sectPr w:rsidR="00242F2D">
      <w:headerReference w:type="even" r:id="rId21"/>
      <w:headerReference w:type="default" r:id="rId22"/>
      <w:footerReference w:type="even" r:id="rId23"/>
      <w:footerReference w:type="default" r:id="rId24"/>
      <w:headerReference w:type="first" r:id="rId25"/>
      <w:footerReference w:type="first" r:id="rId26"/>
      <w:pgSz w:w="12240" w:h="15840"/>
      <w:pgMar w:top="1133" w:right="1133" w:bottom="1133" w:left="113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E61885" w14:textId="77777777" w:rsidR="005A0FE8" w:rsidRDefault="005A0FE8" w:rsidP="00215312">
      <w:pPr>
        <w:spacing w:line="240" w:lineRule="auto"/>
      </w:pPr>
      <w:r>
        <w:separator/>
      </w:r>
    </w:p>
  </w:endnote>
  <w:endnote w:type="continuationSeparator" w:id="0">
    <w:p w14:paraId="7E3CEDFC" w14:textId="77777777" w:rsidR="005A0FE8" w:rsidRDefault="005A0FE8" w:rsidP="002153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0012782-337B-9D41-AEDA-3F59F9192A01}"/>
    <w:embedBold r:id="rId2" w:fontKey="{2124C042-A8B9-C149-9B27-593EA3ACAFC0}"/>
    <w:embedItalic r:id="rId3" w:fontKey="{1E145804-5F5C-904A-A736-1E31C0CDAB40}"/>
  </w:font>
  <w:font w:name="Roboto">
    <w:panose1 w:val="02000000000000000000"/>
    <w:charset w:val="00"/>
    <w:family w:val="auto"/>
    <w:pitch w:val="variable"/>
    <w:sig w:usb0="E0000AFF" w:usb1="5000217F" w:usb2="00000021" w:usb3="00000000" w:csb0="0000019F" w:csb1="00000000"/>
    <w:embedRegular r:id="rId4" w:fontKey="{DBF6F3A5-94DD-CE4D-BB53-5A946E530472}"/>
  </w:font>
  <w:font w:name="Arial">
    <w:panose1 w:val="020B0604020202020204"/>
    <w:charset w:val="00"/>
    <w:family w:val="swiss"/>
    <w:pitch w:val="variable"/>
    <w:sig w:usb0="E0002AFF" w:usb1="C0007843" w:usb2="00000009" w:usb3="00000000" w:csb0="000001FF" w:csb1="00000000"/>
    <w:embedRegular r:id="rId5" w:fontKey="{193B944B-03A7-1F49-94FE-9BC51D7AE857}"/>
  </w:font>
  <w:font w:name="Calibri">
    <w:panose1 w:val="020F0502020204030204"/>
    <w:charset w:val="00"/>
    <w:family w:val="modern"/>
    <w:pitch w:val="variable"/>
    <w:sig w:usb0="00000003" w:usb1="00000000" w:usb2="00000000" w:usb3="00000000" w:csb0="00000001" w:csb1="00000000"/>
    <w:embedRegular r:id="rId6" w:fontKey="{EF5784DC-DB56-C647-9820-C95AE85250A8}"/>
  </w:font>
  <w:font w:name="Cambria">
    <w:panose1 w:val="02040503050406030204"/>
    <w:charset w:val="00"/>
    <w:family w:val="roman"/>
    <w:notTrueType/>
    <w:pitch w:val="default"/>
    <w:embedRegular r:id="rId7" w:fontKey="{5F81A8C8-DD8E-3448-BEF0-85A708A590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5ADFA6" w14:textId="77777777" w:rsidR="00215312" w:rsidRDefault="002153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AD7C2C" w14:textId="77777777" w:rsidR="00215312" w:rsidRDefault="002153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38FD5D" w14:textId="77777777" w:rsidR="00215312" w:rsidRDefault="00215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F98974" w14:textId="77777777" w:rsidR="005A0FE8" w:rsidRDefault="005A0FE8" w:rsidP="00215312">
      <w:pPr>
        <w:spacing w:line="240" w:lineRule="auto"/>
      </w:pPr>
      <w:r>
        <w:separator/>
      </w:r>
    </w:p>
  </w:footnote>
  <w:footnote w:type="continuationSeparator" w:id="0">
    <w:p w14:paraId="3DE484A4" w14:textId="77777777" w:rsidR="005A0FE8" w:rsidRDefault="005A0FE8" w:rsidP="002153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019F11" w14:textId="77777777" w:rsidR="00215312" w:rsidRDefault="002153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A1531D" w14:textId="77777777" w:rsidR="00215312" w:rsidRDefault="002153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23E091" w14:textId="77777777" w:rsidR="00215312" w:rsidRDefault="002153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883BD3"/>
    <w:multiLevelType w:val="multilevel"/>
    <w:tmpl w:val="AE80E7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D576305"/>
    <w:multiLevelType w:val="multilevel"/>
    <w:tmpl w:val="E3C48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B802B1"/>
    <w:multiLevelType w:val="multilevel"/>
    <w:tmpl w:val="BE50A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B8620F"/>
    <w:multiLevelType w:val="multilevel"/>
    <w:tmpl w:val="3A426096"/>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C64070"/>
    <w:multiLevelType w:val="multilevel"/>
    <w:tmpl w:val="A21451AA"/>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8D3D51"/>
    <w:multiLevelType w:val="multilevel"/>
    <w:tmpl w:val="31E43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CF6FD9"/>
    <w:multiLevelType w:val="multilevel"/>
    <w:tmpl w:val="64D82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940BCD"/>
    <w:multiLevelType w:val="multilevel"/>
    <w:tmpl w:val="E0CCB05C"/>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10C5DC0"/>
    <w:multiLevelType w:val="multilevel"/>
    <w:tmpl w:val="CF161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67C6FD2"/>
    <w:multiLevelType w:val="multilevel"/>
    <w:tmpl w:val="2DAA3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3AD7E8D"/>
    <w:multiLevelType w:val="multilevel"/>
    <w:tmpl w:val="91B43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B512FDB"/>
    <w:multiLevelType w:val="multilevel"/>
    <w:tmpl w:val="5032E162"/>
    <w:lvl w:ilvl="0">
      <w:start w:val="1"/>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BCF1453"/>
    <w:multiLevelType w:val="multilevel"/>
    <w:tmpl w:val="DFC8B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9026AC8"/>
    <w:multiLevelType w:val="multilevel"/>
    <w:tmpl w:val="A29E015A"/>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7415477"/>
    <w:multiLevelType w:val="multilevel"/>
    <w:tmpl w:val="39AA7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331342">
    <w:abstractNumId w:val="14"/>
  </w:num>
  <w:num w:numId="2" w16cid:durableId="841243605">
    <w:abstractNumId w:val="5"/>
  </w:num>
  <w:num w:numId="3" w16cid:durableId="578683097">
    <w:abstractNumId w:val="6"/>
  </w:num>
  <w:num w:numId="4" w16cid:durableId="1370453852">
    <w:abstractNumId w:val="13"/>
  </w:num>
  <w:num w:numId="5" w16cid:durableId="181631000">
    <w:abstractNumId w:val="1"/>
  </w:num>
  <w:num w:numId="6" w16cid:durableId="1290472274">
    <w:abstractNumId w:val="4"/>
  </w:num>
  <w:num w:numId="7" w16cid:durableId="1148016483">
    <w:abstractNumId w:val="0"/>
  </w:num>
  <w:num w:numId="8" w16cid:durableId="89468510">
    <w:abstractNumId w:val="12"/>
  </w:num>
  <w:num w:numId="9" w16cid:durableId="1892114975">
    <w:abstractNumId w:val="2"/>
  </w:num>
  <w:num w:numId="10" w16cid:durableId="242761906">
    <w:abstractNumId w:val="3"/>
  </w:num>
  <w:num w:numId="11" w16cid:durableId="455560495">
    <w:abstractNumId w:val="10"/>
  </w:num>
  <w:num w:numId="12" w16cid:durableId="1306159441">
    <w:abstractNumId w:val="8"/>
  </w:num>
  <w:num w:numId="13" w16cid:durableId="1976521529">
    <w:abstractNumId w:val="7"/>
  </w:num>
  <w:num w:numId="14" w16cid:durableId="1770158344">
    <w:abstractNumId w:val="9"/>
  </w:num>
  <w:num w:numId="15" w16cid:durableId="1122773773">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F2D"/>
    <w:rsid w:val="00215312"/>
    <w:rsid w:val="00242F2D"/>
    <w:rsid w:val="00562383"/>
    <w:rsid w:val="005A0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47398"/>
  <w15:docId w15:val="{EF9DCA4E-E4B6-114C-8B44-9A4CEB83B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pPr>
        <w:spacing w:line="276" w:lineRule="auto"/>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sz w:val="32"/>
      <w:szCs w:val="32"/>
    </w:rPr>
  </w:style>
  <w:style w:type="paragraph" w:styleId="Heading2">
    <w:name w:val="heading 2"/>
    <w:basedOn w:val="Normal"/>
    <w:next w:val="Normal"/>
    <w:uiPriority w:val="9"/>
    <w:unhideWhenUsed/>
    <w:qFormat/>
    <w:pPr>
      <w:keepNext/>
      <w:keepLines/>
      <w:spacing w:before="360" w:after="80"/>
      <w:outlineLvl w:val="1"/>
    </w:pPr>
    <w:rPr>
      <w:b/>
      <w:bCs/>
      <w:sz w:val="28"/>
      <w:szCs w:val="28"/>
    </w:rPr>
  </w:style>
  <w:style w:type="paragraph" w:styleId="Heading3">
    <w:name w:val="heading 3"/>
    <w:basedOn w:val="Normal"/>
    <w:next w:val="Normal"/>
    <w:uiPriority w:val="9"/>
    <w:unhideWhenUsed/>
    <w:qFormat/>
    <w:pPr>
      <w:keepNext/>
      <w:keepLines/>
      <w:spacing w:after="40"/>
      <w:outlineLvl w:val="2"/>
    </w:pPr>
    <w:rPr>
      <w:b/>
      <w:bCs/>
      <w:sz w:val="28"/>
      <w:szCs w:val="28"/>
    </w:rPr>
  </w:style>
  <w:style w:type="paragraph" w:styleId="Heading4">
    <w:name w:val="heading 4"/>
    <w:basedOn w:val="Normal"/>
    <w:next w:val="Normal"/>
    <w:uiPriority w:val="9"/>
    <w:semiHidden/>
    <w:unhideWhenUsed/>
    <w:qFormat/>
    <w:pPr>
      <w:keepNext/>
      <w:keepLines/>
      <w:spacing w:before="280" w:after="80"/>
      <w:outlineLvl w:val="3"/>
    </w:pPr>
    <w:rPr>
      <w:b/>
      <w:bCs/>
      <w:sz w:val="26"/>
      <w:szCs w:val="2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Header">
    <w:name w:val="header"/>
    <w:basedOn w:val="Normal"/>
    <w:link w:val="HeaderChar"/>
    <w:uiPriority w:val="99"/>
    <w:unhideWhenUsed/>
    <w:rsid w:val="00215312"/>
    <w:pPr>
      <w:tabs>
        <w:tab w:val="center" w:pos="4680"/>
        <w:tab w:val="right" w:pos="9360"/>
      </w:tabs>
      <w:spacing w:line="240" w:lineRule="auto"/>
    </w:pPr>
  </w:style>
  <w:style w:type="character" w:customStyle="1" w:styleId="HeaderChar">
    <w:name w:val="Header Char"/>
    <w:basedOn w:val="DefaultParagraphFont"/>
    <w:link w:val="Header"/>
    <w:uiPriority w:val="99"/>
    <w:rsid w:val="00215312"/>
  </w:style>
  <w:style w:type="paragraph" w:styleId="Footer">
    <w:name w:val="footer"/>
    <w:basedOn w:val="Normal"/>
    <w:link w:val="FooterChar"/>
    <w:uiPriority w:val="99"/>
    <w:unhideWhenUsed/>
    <w:rsid w:val="00215312"/>
    <w:pPr>
      <w:tabs>
        <w:tab w:val="center" w:pos="4680"/>
        <w:tab w:val="right" w:pos="9360"/>
      </w:tabs>
      <w:spacing w:line="240" w:lineRule="auto"/>
    </w:pPr>
  </w:style>
  <w:style w:type="character" w:customStyle="1" w:styleId="FooterChar">
    <w:name w:val="Footer Char"/>
    <w:basedOn w:val="DefaultParagraphFont"/>
    <w:link w:val="Footer"/>
    <w:uiPriority w:val="99"/>
    <w:rsid w:val="002153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san2736.github.io/upi-projec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hyperlink" Target="https://github.com/san2736/upi-projec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2.xm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50882DB5479844909E1F28D96D5EA6" ma:contentTypeVersion="10" ma:contentTypeDescription="Create a new document." ma:contentTypeScope="" ma:versionID="2887cfeb2793b18ecd7de8033148ad38">
  <xsd:schema xmlns:xsd="http://www.w3.org/2001/XMLSchema" xmlns:xs="http://www.w3.org/2001/XMLSchema" xmlns:p="http://schemas.microsoft.com/office/2006/metadata/properties" xmlns:ns2="a5f8d943-1117-4cae-b572-469e7d8356c0" xmlns:ns3="0b5c6ad9-c3e6-48e0-bb6d-c537f5bb6907" targetNamespace="http://schemas.microsoft.com/office/2006/metadata/properties" ma:root="true" ma:fieldsID="891e9a14dccb6f97472824027abbe824" ns2:_="" ns3:_="">
    <xsd:import namespace="a5f8d943-1117-4cae-b572-469e7d8356c0"/>
    <xsd:import namespace="0b5c6ad9-c3e6-48e0-bb6d-c537f5bb69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f8d943-1117-4cae-b572-469e7d8356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5c6ad9-c3e6-48e0-bb6d-c537f5bb690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150cfd-1e18-46b7-8346-45fb1ee1d560}" ma:internalName="TaxCatchAll" ma:showField="CatchAllData" ma:web="0b5c6ad9-c3e6-48e0-bb6d-c537f5bb69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5f8d943-1117-4cae-b572-469e7d8356c0">
      <Terms xmlns="http://schemas.microsoft.com/office/infopath/2007/PartnerControls"/>
    </lcf76f155ced4ddcb4097134ff3c332f>
    <TaxCatchAll xmlns="0b5c6ad9-c3e6-48e0-bb6d-c537f5bb690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8858E4-6D2D-4F8F-92AA-31A4D0B75F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f8d943-1117-4cae-b572-469e7d8356c0"/>
    <ds:schemaRef ds:uri="0b5c6ad9-c3e6-48e0-bb6d-c537f5bb69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1F7739-99CB-43D2-8B08-5CFE42690E3E}">
  <ds:schemaRefs>
    <ds:schemaRef ds:uri="http://schemas.microsoft.com/office/2006/metadata/properties"/>
    <ds:schemaRef ds:uri="http://schemas.microsoft.com/office/infopath/2007/PartnerControls"/>
    <ds:schemaRef ds:uri="a5f8d943-1117-4cae-b572-469e7d8356c0"/>
    <ds:schemaRef ds:uri="0b5c6ad9-c3e6-48e0-bb6d-c537f5bb6907"/>
  </ds:schemaRefs>
</ds:datastoreItem>
</file>

<file path=customXml/itemProps3.xml><?xml version="1.0" encoding="utf-8"?>
<ds:datastoreItem xmlns:ds="http://schemas.openxmlformats.org/officeDocument/2006/customXml" ds:itemID="{66F4AA49-16BB-4EFA-B4CA-19C3D01911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4109</Words>
  <Characters>23426</Characters>
  <Application>Microsoft Office Word</Application>
  <DocSecurity>0</DocSecurity>
  <Lines>195</Lines>
  <Paragraphs>54</Paragraphs>
  <ScaleCrop>false</ScaleCrop>
  <Company/>
  <LinksUpToDate>false</LinksUpToDate>
  <CharactersWithSpaces>27481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SANAZ KATPITIA - 70382200007</cp:lastModifiedBy>
  <cp:revision>2</cp:revision>
  <dcterms:created xsi:type="dcterms:W3CDTF">2026-10-22T17:30:00Z</dcterms:created>
  <dcterms:modified xsi:type="dcterms:W3CDTF">2026-10-22T17:30:00Z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0x0101007F50882DB5479844909E1F28D96D5EA6</vt:lpwstr>
  </property>
</Properties>
</file>