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1 Low Code and Traditional Application Development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Compare low code and traditional development using a fictional loan application workflow.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collects fictional applications, validates values and presents status reports. The study compares how these requirements are implemented with visual components and how a conventional application team would implement the equivalent layers. A separate traditional application was not built or benchmarked.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In Creator, forms define fields and storage, reports retrieve records, pages display summaries and Deluge handles exceptional logic. In a conventional stack, the developer chooses the database, builds API endpoints and screens, and manages deployment. Both approaches still need requirements, tests and access control.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Define the common requirements: unique reference, applicant, amount, term, status and reporting.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Build the Creator form, list report, Kanban board and status chart.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Add submission validation and execute a reusable aggregation function.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Compare component ownership, customization, testing and deployment responsibilities.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Data model: Creator field configuration produced persisted records and reports. A conventional implementation would need a schema, constraints and data-access code.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Interface: the form and Kanban were configured visually. Conventional development would require form state, rendering and interaction code.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Logic: a short Deluge workflow rejected invalid values. Visual design did not eliminate the need to understand field link names and server-side validation.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Delivery: Creator offers managed environments. A conventional team would select infrastructure and a deployment pipeline.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Tradeoff: the lab suited structured record processing. Specialized algorithms and unrestricted UI behavior would require extensions or a different architecture. No speed or cost percentage is claimed.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486400" cy="2407443"/>
            <wp:docPr id="1" name="lab-01-1.jpg" descr="Actual Kanban view created during the lab with three fictional applications."/>
            <a:graphic>
              <a:graphicData uri="http://schemas.openxmlformats.org/drawingml/2006/picture">
                <pic:pic>
                  <pic:nvPicPr>
                    <pic:cNvPr id="1" name="lab-01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Actual Kanban view created during the lab with three fictional applications.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The comparison identifies where visual configuration reduced implementation work and where programming, testing and governance remained necessary.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https://www.zoho.com/creator/glossary.html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01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