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0"/>
        <w:rPr>
          <w:rFonts w:ascii="Times New Roman"/>
        </w:rPr>
      </w:pPr>
    </w:p>
    <w:p>
      <w:pPr>
        <w:spacing w:line="240" w:lineRule="auto"/>
        <w:ind w:left="1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1400" cy="14986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1400" cy="1498600"/>
                          <a:chExt cx="6121400" cy="1498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122035" cy="149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1499235">
                                <a:moveTo>
                                  <a:pt x="612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12"/>
                                </a:lnTo>
                                <a:lnTo>
                                  <a:pt x="0" y="419100"/>
                                </a:lnTo>
                                <a:lnTo>
                                  <a:pt x="0" y="825512"/>
                                </a:lnTo>
                                <a:lnTo>
                                  <a:pt x="0" y="1308112"/>
                                </a:lnTo>
                                <a:lnTo>
                                  <a:pt x="0" y="1320812"/>
                                </a:lnTo>
                                <a:lnTo>
                                  <a:pt x="0" y="1498612"/>
                                </a:lnTo>
                                <a:lnTo>
                                  <a:pt x="6121412" y="1498612"/>
                                </a:lnTo>
                                <a:lnTo>
                                  <a:pt x="6121412" y="406412"/>
                                </a:lnTo>
                                <a:lnTo>
                                  <a:pt x="6121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B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121400" cy="149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152" w:right="0" w:firstLine="1601"/>
                                <w:jc w:val="left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6"/>
                                </w:rPr>
                                <w:t>SUPPLY CHAIN DELIVERY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6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before="0"/>
                                <w:ind w:left="3646" w:right="0" w:firstLine="0"/>
                                <w:jc w:val="left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before="120"/>
                                <w:ind w:left="0" w:right="1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B0C3DE"/>
                                  <w:sz w:val="24"/>
                                </w:rPr>
                                <w:t>End-to-End Order Fulfillment Analysis &amp; Predictive </w:t>
                              </w:r>
                              <w:r>
                                <w:rPr>
                                  <w:color w:val="B0C3DE"/>
                                  <w:spacing w:val="-2"/>
                                  <w:sz w:val="24"/>
                                </w:rPr>
                                <w:t>Insight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pt;height:118pt;mso-position-horizontal-relative:char;mso-position-vertical-relative:line" id="docshapegroup1" coordorigin="0,0" coordsize="9640,2360">
                <v:shape style="position:absolute;left:-1;top:0;width:9641;height:2361" id="docshape2" coordorigin="0,0" coordsize="9641,2361" path="m9640,0l0,0,0,640,0,660,0,1300,0,2060,0,2080,0,2360,9640,2360,9640,640,9640,0xe" filled="true" fillcolor="#0d1b2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640;height:2360" type="#_x0000_t202" id="docshape3" filled="false" stroked="false">
                  <v:textbox inset="0,0,0,0">
                    <w:txbxContent>
                      <w:p>
                        <w:pPr>
                          <w:spacing w:before="4"/>
                          <w:ind w:left="1152" w:right="0" w:firstLine="1601"/>
                          <w:jc w:val="left"/>
                          <w:rPr>
                            <w:rFonts w:ascii="Arial"/>
                            <w:b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6"/>
                          </w:rPr>
                          <w:t>SUPPLY CHAIN DELIVERY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9"/>
                            <w:sz w:val="5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56"/>
                          </w:rPr>
                          <w:t>PERFORMANCE</w:t>
                        </w:r>
                      </w:p>
                      <w:p>
                        <w:pPr>
                          <w:spacing w:before="0"/>
                          <w:ind w:left="3646" w:right="0" w:firstLine="0"/>
                          <w:jc w:val="left"/>
                          <w:rPr>
                            <w:rFonts w:ascii="Arial"/>
                            <w:b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56"/>
                          </w:rPr>
                          <w:t>REPORT</w:t>
                        </w:r>
                      </w:p>
                      <w:p>
                        <w:pPr>
                          <w:spacing w:before="120"/>
                          <w:ind w:left="0" w:right="1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B0C3DE"/>
                            <w:sz w:val="24"/>
                          </w:rPr>
                          <w:t>End-to-End Order Fulfillment Analysis &amp; Predictive </w:t>
                        </w:r>
                        <w:r>
                          <w:rPr>
                            <w:color w:val="B0C3DE"/>
                            <w:spacing w:val="-2"/>
                            <w:sz w:val="24"/>
                          </w:rPr>
                          <w:t>Insight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20" w:h="16840"/>
          <w:pgMar w:top="1940" w:bottom="280" w:left="992" w:right="708"/>
        </w:sectPr>
      </w:pPr>
    </w:p>
    <w:p>
      <w:pPr>
        <w:pStyle w:val="BodyText"/>
        <w:spacing w:before="12"/>
        <w:rPr>
          <w:rFonts w:ascii="Times New Roman"/>
          <w:sz w:val="32"/>
        </w:rPr>
      </w:pPr>
    </w:p>
    <w:p>
      <w:pPr>
        <w:pStyle w:val="Heading1"/>
        <w:ind w:left="141" w:firstLine="0"/>
      </w:pPr>
      <w:bookmarkStart w:name="Table of Contents " w:id="1"/>
      <w:bookmarkEnd w:id="1"/>
      <w:r>
        <w:rPr>
          <w:b w:val="0"/>
        </w:rPr>
      </w:r>
      <w:r>
        <w:rPr>
          <w:color w:val="1B294A"/>
        </w:rPr>
        <w:t>Table</w:t>
      </w:r>
      <w:r>
        <w:rPr>
          <w:color w:val="1B294A"/>
          <w:spacing w:val="-15"/>
        </w:rPr>
        <w:t> </w:t>
      </w:r>
      <w:r>
        <w:rPr>
          <w:color w:val="1B294A"/>
        </w:rPr>
        <w:t>of</w:t>
      </w:r>
      <w:r>
        <w:rPr>
          <w:color w:val="1B294A"/>
          <w:spacing w:val="-15"/>
        </w:rPr>
        <w:t> </w:t>
      </w:r>
      <w:r>
        <w:rPr>
          <w:color w:val="1B294A"/>
          <w:spacing w:val="-2"/>
        </w:rPr>
        <w:t>Contents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723899</wp:posOffset>
                </wp:positionH>
                <wp:positionV relativeFrom="paragraph">
                  <wp:posOffset>52110</wp:posOffset>
                </wp:positionV>
                <wp:extent cx="6121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4.103162pt;width:482pt;height:.1pt;mso-position-horizontal-relative:page;mso-position-vertical-relative:paragraph;z-index:-15728128;mso-wrap-distance-left:0;mso-wrap-distance-right:0" id="docshape5" coordorigin="1140,82" coordsize="9640,0" path="m1140,82l10780,82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98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Executive</w:t>
      </w:r>
      <w:r>
        <w:rPr>
          <w:color w:val="1A1A2E"/>
          <w:spacing w:val="-9"/>
          <w:sz w:val="20"/>
        </w:rPr>
        <w:t> </w:t>
      </w:r>
      <w:r>
        <w:rPr>
          <w:color w:val="1A1A2E"/>
          <w:spacing w:val="-2"/>
          <w:sz w:val="20"/>
        </w:rPr>
        <w:t>Summary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Business</w:t>
      </w:r>
      <w:r>
        <w:rPr>
          <w:color w:val="1A1A2E"/>
          <w:spacing w:val="-6"/>
          <w:sz w:val="20"/>
        </w:rPr>
        <w:t> </w:t>
      </w:r>
      <w:r>
        <w:rPr>
          <w:color w:val="1A1A2E"/>
          <w:sz w:val="20"/>
        </w:rPr>
        <w:t>Context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&amp;</w:t>
      </w:r>
      <w:r>
        <w:rPr>
          <w:color w:val="1A1A2E"/>
          <w:spacing w:val="-5"/>
          <w:sz w:val="20"/>
        </w:rPr>
        <w:t> </w:t>
      </w:r>
      <w:r>
        <w:rPr>
          <w:color w:val="1A1A2E"/>
          <w:spacing w:val="-2"/>
          <w:sz w:val="20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Key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Performance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Indicators</w:t>
      </w:r>
      <w:r>
        <w:rPr>
          <w:color w:val="1A1A2E"/>
          <w:spacing w:val="-8"/>
          <w:sz w:val="20"/>
        </w:rPr>
        <w:t> </w:t>
      </w:r>
      <w:r>
        <w:rPr>
          <w:color w:val="1A1A2E"/>
          <w:spacing w:val="-2"/>
          <w:sz w:val="20"/>
        </w:rPr>
        <w:t>(KPIs)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Profitability</w:t>
      </w:r>
      <w:r>
        <w:rPr>
          <w:color w:val="1A1A2E"/>
          <w:spacing w:val="-13"/>
          <w:sz w:val="20"/>
        </w:rPr>
        <w:t> </w:t>
      </w:r>
      <w:r>
        <w:rPr>
          <w:color w:val="1A1A2E"/>
          <w:spacing w:val="-2"/>
          <w:sz w:val="20"/>
        </w:rPr>
        <w:t>Analysis</w:t>
      </w: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40" w:lineRule="auto" w:before="100" w:after="0"/>
        <w:ind w:left="1432" w:right="0" w:hanging="386"/>
        <w:jc w:val="left"/>
        <w:rPr>
          <w:sz w:val="20"/>
        </w:rPr>
      </w:pPr>
      <w:r>
        <w:rPr>
          <w:color w:val="3A3A5C"/>
          <w:sz w:val="20"/>
        </w:rPr>
        <w:t>Profitability</w:t>
      </w:r>
      <w:r>
        <w:rPr>
          <w:color w:val="3A3A5C"/>
          <w:spacing w:val="-13"/>
          <w:sz w:val="20"/>
        </w:rPr>
        <w:t> </w:t>
      </w:r>
      <w:r>
        <w:rPr>
          <w:color w:val="3A3A5C"/>
          <w:spacing w:val="-2"/>
          <w:sz w:val="20"/>
        </w:rPr>
        <w:t>Distribution</w:t>
      </w: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40" w:lineRule="auto" w:before="60" w:after="0"/>
        <w:ind w:left="1432" w:right="0" w:hanging="386"/>
        <w:jc w:val="left"/>
        <w:rPr>
          <w:sz w:val="20"/>
        </w:rPr>
      </w:pPr>
      <w:r>
        <w:rPr>
          <w:color w:val="3A3A5C"/>
          <w:sz w:val="20"/>
        </w:rPr>
        <w:t>Delay</w:t>
      </w:r>
      <w:r>
        <w:rPr>
          <w:color w:val="3A3A5C"/>
          <w:spacing w:val="-6"/>
          <w:sz w:val="20"/>
        </w:rPr>
        <w:t> </w:t>
      </w:r>
      <w:r>
        <w:rPr>
          <w:color w:val="3A3A5C"/>
          <w:sz w:val="20"/>
        </w:rPr>
        <w:t>Distribution</w:t>
      </w:r>
      <w:r>
        <w:rPr>
          <w:color w:val="3A3A5C"/>
          <w:spacing w:val="-5"/>
          <w:sz w:val="20"/>
        </w:rPr>
        <w:t> </w:t>
      </w:r>
      <w:r>
        <w:rPr>
          <w:color w:val="3A3A5C"/>
          <w:sz w:val="20"/>
        </w:rPr>
        <w:t>&amp;</w:t>
      </w:r>
      <w:r>
        <w:rPr>
          <w:color w:val="3A3A5C"/>
          <w:spacing w:val="-5"/>
          <w:sz w:val="20"/>
        </w:rPr>
        <w:t> </w:t>
      </w:r>
      <w:r>
        <w:rPr>
          <w:color w:val="3A3A5C"/>
          <w:sz w:val="20"/>
        </w:rPr>
        <w:t>Profit</w:t>
      </w:r>
      <w:r>
        <w:rPr>
          <w:color w:val="3A3A5C"/>
          <w:spacing w:val="-6"/>
          <w:sz w:val="20"/>
        </w:rPr>
        <w:t> </w:t>
      </w:r>
      <w:r>
        <w:rPr>
          <w:color w:val="3A3A5C"/>
          <w:sz w:val="20"/>
        </w:rPr>
        <w:t>vs.</w:t>
      </w:r>
      <w:r>
        <w:rPr>
          <w:color w:val="3A3A5C"/>
          <w:spacing w:val="-5"/>
          <w:sz w:val="20"/>
        </w:rPr>
        <w:t> </w:t>
      </w:r>
      <w:r>
        <w:rPr>
          <w:color w:val="3A3A5C"/>
          <w:sz w:val="20"/>
        </w:rPr>
        <w:t>Delay</w:t>
      </w:r>
      <w:r>
        <w:rPr>
          <w:color w:val="3A3A5C"/>
          <w:spacing w:val="-5"/>
          <w:sz w:val="20"/>
        </w:rPr>
        <w:t> </w:t>
      </w:r>
      <w:r>
        <w:rPr>
          <w:color w:val="3A3A5C"/>
          <w:spacing w:val="-4"/>
          <w:sz w:val="20"/>
        </w:rPr>
        <w:t>Days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6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Bottleneck</w:t>
      </w:r>
      <w:r>
        <w:rPr>
          <w:color w:val="1A1A2E"/>
          <w:spacing w:val="-10"/>
          <w:sz w:val="20"/>
        </w:rPr>
        <w:t> </w:t>
      </w:r>
      <w:r>
        <w:rPr>
          <w:color w:val="1A1A2E"/>
          <w:spacing w:val="-2"/>
          <w:sz w:val="20"/>
        </w:rPr>
        <w:t>Detection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Root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Cause</w:t>
      </w:r>
      <w:r>
        <w:rPr>
          <w:color w:val="1A1A2E"/>
          <w:spacing w:val="-4"/>
          <w:sz w:val="20"/>
        </w:rPr>
        <w:t> </w:t>
      </w:r>
      <w:r>
        <w:rPr>
          <w:color w:val="1A1A2E"/>
          <w:spacing w:val="-2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Time-Based</w:t>
      </w:r>
      <w:r>
        <w:rPr>
          <w:color w:val="1A1A2E"/>
          <w:spacing w:val="-11"/>
          <w:sz w:val="20"/>
        </w:rPr>
        <w:t> </w:t>
      </w:r>
      <w:r>
        <w:rPr>
          <w:color w:val="1A1A2E"/>
          <w:sz w:val="20"/>
        </w:rPr>
        <w:t>Delay</w:t>
      </w:r>
      <w:r>
        <w:rPr>
          <w:color w:val="1A1A2E"/>
          <w:spacing w:val="-11"/>
          <w:sz w:val="20"/>
        </w:rPr>
        <w:t> </w:t>
      </w:r>
      <w:r>
        <w:rPr>
          <w:color w:val="1A1A2E"/>
          <w:spacing w:val="-2"/>
          <w:sz w:val="20"/>
        </w:rPr>
        <w:t>Patterns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00" w:after="0"/>
        <w:ind w:left="472" w:right="0" w:hanging="331"/>
        <w:jc w:val="left"/>
        <w:rPr>
          <w:sz w:val="20"/>
        </w:rPr>
      </w:pPr>
      <w:r>
        <w:rPr>
          <w:color w:val="1A1A2E"/>
          <w:sz w:val="20"/>
        </w:rPr>
        <w:t>Machine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Learning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Model</w:t>
      </w:r>
      <w:r>
        <w:rPr>
          <w:color w:val="1A1A2E"/>
          <w:spacing w:val="-6"/>
          <w:sz w:val="20"/>
        </w:rPr>
        <w:t> </w:t>
      </w:r>
      <w:r>
        <w:rPr>
          <w:color w:val="1A1A2E"/>
          <w:spacing w:val="-2"/>
          <w:sz w:val="20"/>
        </w:rPr>
        <w:t>Results</w:t>
      </w: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40" w:lineRule="auto" w:before="100" w:after="0"/>
        <w:ind w:left="361" w:right="0" w:hanging="220"/>
        <w:jc w:val="left"/>
        <w:rPr>
          <w:sz w:val="20"/>
        </w:rPr>
      </w:pPr>
      <w:r>
        <w:rPr>
          <w:color w:val="1A1A2E"/>
          <w:sz w:val="20"/>
        </w:rPr>
        <w:t>Strategic</w:t>
      </w:r>
      <w:r>
        <w:rPr>
          <w:color w:val="1A1A2E"/>
          <w:spacing w:val="-9"/>
          <w:sz w:val="20"/>
        </w:rPr>
        <w:t> </w:t>
      </w:r>
      <w:r>
        <w:rPr>
          <w:color w:val="1A1A2E"/>
          <w:spacing w:val="-2"/>
          <w:sz w:val="20"/>
        </w:rPr>
        <w:t>Recommendations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</w:tabs>
        <w:spacing w:line="240" w:lineRule="auto" w:before="100" w:after="0"/>
        <w:ind w:left="471" w:right="0" w:hanging="330"/>
        <w:jc w:val="left"/>
        <w:rPr>
          <w:sz w:val="20"/>
        </w:rPr>
      </w:pPr>
      <w:r>
        <w:rPr>
          <w:color w:val="1A1A2E"/>
          <w:spacing w:val="-2"/>
          <w:sz w:val="20"/>
        </w:rPr>
        <w:t>Conclusion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footerReference w:type="default" r:id="rId6"/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53"/>
        <w:jc w:val="left"/>
      </w:pPr>
      <w:r>
        <w:rPr>
          <w:color w:val="1B294A"/>
        </w:rPr>
        <w:t>Executive</w:t>
      </w:r>
      <w:r>
        <w:rPr>
          <w:color w:val="1B294A"/>
          <w:spacing w:val="-9"/>
        </w:rPr>
        <w:t> </w:t>
      </w:r>
      <w:r>
        <w:rPr>
          <w:color w:val="1B294A"/>
          <w:spacing w:val="-2"/>
        </w:rPr>
        <w:t>Summary</w:t>
      </w:r>
    </w:p>
    <w:p>
      <w:pPr>
        <w:pStyle w:val="BodyText"/>
        <w:ind w:left="141" w:right="481"/>
      </w:pPr>
      <w:r>
        <w:rPr>
          <w:color w:val="1A1A2E"/>
        </w:rPr>
        <w:t>This report presents a comprehensive analysis of the delivery operations of a global e-commerce company managing</w:t>
      </w:r>
      <w:r>
        <w:rPr>
          <w:color w:val="1A1A2E"/>
          <w:spacing w:val="-4"/>
        </w:rPr>
        <w:t> </w:t>
      </w:r>
      <w:r>
        <w:rPr>
          <w:color w:val="1A1A2E"/>
        </w:rPr>
        <w:t>end-to-end</w:t>
      </w:r>
      <w:r>
        <w:rPr>
          <w:color w:val="1A1A2E"/>
          <w:spacing w:val="-4"/>
        </w:rPr>
        <w:t> </w:t>
      </w:r>
      <w:r>
        <w:rPr>
          <w:color w:val="1A1A2E"/>
        </w:rPr>
        <w:t>order</w:t>
      </w:r>
      <w:r>
        <w:rPr>
          <w:color w:val="1A1A2E"/>
          <w:spacing w:val="-4"/>
        </w:rPr>
        <w:t> </w:t>
      </w:r>
      <w:r>
        <w:rPr>
          <w:color w:val="1A1A2E"/>
        </w:rPr>
        <w:t>fulfillment</w:t>
      </w:r>
      <w:r>
        <w:rPr>
          <w:color w:val="1A1A2E"/>
          <w:spacing w:val="-4"/>
        </w:rPr>
        <w:t> </w:t>
      </w:r>
      <w:r>
        <w:rPr>
          <w:color w:val="1A1A2E"/>
        </w:rPr>
        <w:t>across</w:t>
      </w:r>
      <w:r>
        <w:rPr>
          <w:color w:val="1A1A2E"/>
          <w:spacing w:val="-4"/>
        </w:rPr>
        <w:t> </w:t>
      </w:r>
      <w:r>
        <w:rPr>
          <w:color w:val="1A1A2E"/>
        </w:rPr>
        <w:t>multiple</w:t>
      </w:r>
      <w:r>
        <w:rPr>
          <w:color w:val="1A1A2E"/>
          <w:spacing w:val="-4"/>
        </w:rPr>
        <w:t> </w:t>
      </w:r>
      <w:r>
        <w:rPr>
          <w:color w:val="1A1A2E"/>
        </w:rPr>
        <w:t>regions.</w:t>
      </w:r>
      <w:r>
        <w:rPr>
          <w:color w:val="1A1A2E"/>
          <w:spacing w:val="-4"/>
        </w:rPr>
        <w:t> </w:t>
      </w:r>
      <w:r>
        <w:rPr>
          <w:color w:val="1A1A2E"/>
        </w:rPr>
        <w:t>The</w:t>
      </w:r>
      <w:r>
        <w:rPr>
          <w:color w:val="1A1A2E"/>
          <w:spacing w:val="-4"/>
        </w:rPr>
        <w:t> </w:t>
      </w:r>
      <w:r>
        <w:rPr>
          <w:color w:val="1A1A2E"/>
        </w:rPr>
        <w:t>analysis</w:t>
      </w:r>
      <w:r>
        <w:rPr>
          <w:color w:val="1A1A2E"/>
          <w:spacing w:val="-4"/>
        </w:rPr>
        <w:t> </w:t>
      </w:r>
      <w:r>
        <w:rPr>
          <w:color w:val="1A1A2E"/>
        </w:rPr>
        <w:t>covers</w:t>
      </w:r>
      <w:r>
        <w:rPr>
          <w:color w:val="1A1A2E"/>
          <w:spacing w:val="-4"/>
        </w:rPr>
        <w:t> </w:t>
      </w:r>
      <w:r>
        <w:rPr>
          <w:color w:val="1A1A2E"/>
        </w:rPr>
        <w:t>172,765</w:t>
      </w:r>
      <w:r>
        <w:rPr>
          <w:color w:val="1A1A2E"/>
          <w:spacing w:val="-4"/>
        </w:rPr>
        <w:t> </w:t>
      </w:r>
      <w:r>
        <w:rPr>
          <w:color w:val="1A1A2E"/>
        </w:rPr>
        <w:t>orders</w:t>
      </w:r>
      <w:r>
        <w:rPr>
          <w:color w:val="1A1A2E"/>
          <w:spacing w:val="-4"/>
        </w:rPr>
        <w:t> </w:t>
      </w:r>
      <w:r>
        <w:rPr>
          <w:color w:val="1A1A2E"/>
        </w:rPr>
        <w:t>spanning January 2015 through January 2018, focusing on identifying root causes of chronic late deliveries,</w:t>
      </w:r>
      <w:r>
        <w:rPr>
          <w:color w:val="1A1A2E"/>
        </w:rPr>
        <w:t> quantifying their financial impact, and establishing a data-driven framework for improvement.</w:t>
      </w:r>
    </w:p>
    <w:p>
      <w:pPr>
        <w:pStyle w:val="BodyText"/>
        <w:spacing w:before="120"/>
        <w:ind w:left="141" w:right="685"/>
      </w:pP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headline</w:t>
      </w:r>
      <w:r>
        <w:rPr>
          <w:color w:val="1A1A2E"/>
          <w:spacing w:val="-3"/>
        </w:rPr>
        <w:t> </w:t>
      </w:r>
      <w:r>
        <w:rPr>
          <w:color w:val="1A1A2E"/>
        </w:rPr>
        <w:t>finding</w:t>
      </w:r>
      <w:r>
        <w:rPr>
          <w:color w:val="1A1A2E"/>
          <w:spacing w:val="-3"/>
        </w:rPr>
        <w:t> </w:t>
      </w:r>
      <w:r>
        <w:rPr>
          <w:color w:val="1A1A2E"/>
        </w:rPr>
        <w:t>is</w:t>
      </w:r>
      <w:r>
        <w:rPr>
          <w:color w:val="1A1A2E"/>
          <w:spacing w:val="-3"/>
        </w:rPr>
        <w:t> </w:t>
      </w:r>
      <w:r>
        <w:rPr>
          <w:color w:val="1A1A2E"/>
        </w:rPr>
        <w:t>stark:</w:t>
      </w:r>
      <w:r>
        <w:rPr>
          <w:color w:val="1A1A2E"/>
          <w:spacing w:val="-3"/>
        </w:rPr>
        <w:t> </w:t>
      </w:r>
      <w:r>
        <w:rPr>
          <w:color w:val="1A1A2E"/>
        </w:rPr>
        <w:t>54.71%</w:t>
      </w:r>
      <w:r>
        <w:rPr>
          <w:color w:val="1A1A2E"/>
          <w:spacing w:val="-3"/>
        </w:rPr>
        <w:t> </w:t>
      </w:r>
      <w:r>
        <w:rPr>
          <w:color w:val="1A1A2E"/>
        </w:rPr>
        <w:t>of</w:t>
      </w:r>
      <w:r>
        <w:rPr>
          <w:color w:val="1A1A2E"/>
          <w:spacing w:val="-3"/>
        </w:rPr>
        <w:t> </w:t>
      </w:r>
      <w:r>
        <w:rPr>
          <w:color w:val="1A1A2E"/>
        </w:rPr>
        <w:t>all</w:t>
      </w:r>
      <w:r>
        <w:rPr>
          <w:color w:val="1A1A2E"/>
          <w:spacing w:val="-3"/>
        </w:rPr>
        <w:t> </w:t>
      </w:r>
      <w:r>
        <w:rPr>
          <w:color w:val="1A1A2E"/>
        </w:rPr>
        <w:t>orders</w:t>
      </w:r>
      <w:r>
        <w:rPr>
          <w:color w:val="1A1A2E"/>
          <w:spacing w:val="-3"/>
        </w:rPr>
        <w:t> </w:t>
      </w:r>
      <w:r>
        <w:rPr>
          <w:color w:val="1A1A2E"/>
        </w:rPr>
        <w:t>are</w:t>
      </w:r>
      <w:r>
        <w:rPr>
          <w:color w:val="1A1A2E"/>
          <w:spacing w:val="-3"/>
        </w:rPr>
        <w:t> </w:t>
      </w:r>
      <w:r>
        <w:rPr>
          <w:color w:val="1A1A2E"/>
        </w:rPr>
        <w:t>delivered</w:t>
      </w:r>
      <w:r>
        <w:rPr>
          <w:color w:val="1A1A2E"/>
          <w:spacing w:val="-3"/>
        </w:rPr>
        <w:t> </w:t>
      </w:r>
      <w:r>
        <w:rPr>
          <w:color w:val="1A1A2E"/>
        </w:rPr>
        <w:t>late,</w:t>
      </w:r>
      <w:r>
        <w:rPr>
          <w:color w:val="1A1A2E"/>
          <w:spacing w:val="-3"/>
        </w:rPr>
        <w:t> </w:t>
      </w:r>
      <w:r>
        <w:rPr>
          <w:color w:val="1A1A2E"/>
        </w:rPr>
        <w:t>costing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business</w:t>
      </w:r>
      <w:r>
        <w:rPr>
          <w:color w:val="1A1A2E"/>
          <w:spacing w:val="-3"/>
        </w:rPr>
        <w:t> </w:t>
      </w:r>
      <w:r>
        <w:rPr>
          <w:color w:val="1A1A2E"/>
        </w:rPr>
        <w:t>$2.1M</w:t>
      </w:r>
      <w:r>
        <w:rPr>
          <w:color w:val="1A1A2E"/>
          <w:spacing w:val="-3"/>
        </w:rPr>
        <w:t> </w:t>
      </w:r>
      <w:r>
        <w:rPr>
          <w:color w:val="1A1A2E"/>
        </w:rPr>
        <w:t>in</w:t>
      </w:r>
      <w:r>
        <w:rPr>
          <w:color w:val="1A1A2E"/>
          <w:spacing w:val="-3"/>
        </w:rPr>
        <w:t> </w:t>
      </w:r>
      <w:r>
        <w:rPr>
          <w:color w:val="1A1A2E"/>
        </w:rPr>
        <w:t>eroded profitability on delayed orders alone. While total profit across fulfilled orders reached $7.5M, the persistent late-delivery problem represents both a significant financial drain and a major customer experience risk. A Random Forest predictive model achieved 74% accuracy in identifying at-risk orders before they become </w:t>
      </w:r>
      <w:r>
        <w:rPr>
          <w:color w:val="1A1A2E"/>
          <w:spacing w:val="-2"/>
        </w:rPr>
        <w:t>late.</w:t>
      </w: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0"/>
        <w:gridCol w:w="3640"/>
      </w:tblGrid>
      <w:tr>
        <w:trPr>
          <w:trHeight w:val="360" w:hRule="atLeast"/>
        </w:trPr>
        <w:tc>
          <w:tcPr>
            <w:tcW w:w="6000" w:type="dxa"/>
            <w:shd w:val="clear" w:color="auto" w:fill="1B294A"/>
          </w:tcPr>
          <w:p>
            <w:pPr>
              <w:pStyle w:val="TableParagraph"/>
              <w:spacing w:before="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Finding</w:t>
            </w:r>
          </w:p>
        </w:tc>
        <w:tc>
          <w:tcPr>
            <w:tcW w:w="3640" w:type="dxa"/>
            <w:shd w:val="clear" w:color="auto" w:fill="1B294A"/>
          </w:tcPr>
          <w:p>
            <w:pPr>
              <w:pStyle w:val="TableParagraph"/>
              <w:spacing w:before="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</w:tr>
      <w:tr>
        <w:trPr>
          <w:trHeight w:val="360" w:hRule="atLeast"/>
        </w:trPr>
        <w:tc>
          <w:tcPr>
            <w:tcW w:w="6000" w:type="dxa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color w:val="1A1A2E"/>
                <w:sz w:val="19"/>
              </w:rPr>
              <w:t>Overall</w:t>
            </w:r>
            <w:r>
              <w:rPr>
                <w:color w:val="1A1A2E"/>
                <w:spacing w:val="-7"/>
                <w:sz w:val="19"/>
              </w:rPr>
              <w:t> </w:t>
            </w:r>
            <w:r>
              <w:rPr>
                <w:color w:val="1A1A2E"/>
                <w:sz w:val="19"/>
              </w:rPr>
              <w:t>Late</w:t>
            </w:r>
            <w:r>
              <w:rPr>
                <w:color w:val="1A1A2E"/>
                <w:spacing w:val="-6"/>
                <w:sz w:val="19"/>
              </w:rPr>
              <w:t> </w:t>
            </w:r>
            <w:r>
              <w:rPr>
                <w:color w:val="1A1A2E"/>
                <w:sz w:val="19"/>
              </w:rPr>
              <w:t>Delivery</w:t>
            </w:r>
            <w:r>
              <w:rPr>
                <w:color w:val="1A1A2E"/>
                <w:spacing w:val="-6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Rate</w:t>
            </w:r>
          </w:p>
        </w:tc>
        <w:tc>
          <w:tcPr>
            <w:tcW w:w="3640" w:type="dxa"/>
          </w:tcPr>
          <w:p>
            <w:pPr>
              <w:pStyle w:val="TableParagraph"/>
              <w:spacing w:before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54.71%</w:t>
            </w:r>
          </w:p>
        </w:tc>
      </w:tr>
      <w:tr>
        <w:trPr>
          <w:trHeight w:val="359" w:hRule="atLeast"/>
        </w:trPr>
        <w:tc>
          <w:tcPr>
            <w:tcW w:w="6000" w:type="dxa"/>
            <w:shd w:val="clear" w:color="auto" w:fill="F4F5F9"/>
          </w:tcPr>
          <w:p>
            <w:pPr>
              <w:pStyle w:val="TableParagraph"/>
              <w:spacing w:before="84"/>
              <w:rPr>
                <w:sz w:val="19"/>
              </w:rPr>
            </w:pPr>
            <w:r>
              <w:rPr>
                <w:color w:val="1A1A2E"/>
                <w:sz w:val="19"/>
              </w:rPr>
              <w:t>On-Time</w:t>
            </w:r>
            <w:r>
              <w:rPr>
                <w:color w:val="1A1A2E"/>
                <w:spacing w:val="-11"/>
                <w:sz w:val="19"/>
              </w:rPr>
              <w:t> </w:t>
            </w:r>
            <w:r>
              <w:rPr>
                <w:color w:val="1A1A2E"/>
                <w:sz w:val="19"/>
              </w:rPr>
              <w:t>Delivery</w:t>
            </w:r>
            <w:r>
              <w:rPr>
                <w:color w:val="1A1A2E"/>
                <w:spacing w:val="-11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Rate</w:t>
            </w:r>
          </w:p>
        </w:tc>
        <w:tc>
          <w:tcPr>
            <w:tcW w:w="3640" w:type="dxa"/>
            <w:shd w:val="clear" w:color="auto" w:fill="F4F5F9"/>
          </w:tcPr>
          <w:p>
            <w:pPr>
              <w:pStyle w:val="TableParagraph"/>
              <w:spacing w:before="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45.29%</w:t>
            </w:r>
          </w:p>
        </w:tc>
      </w:tr>
      <w:tr>
        <w:trPr>
          <w:trHeight w:val="379" w:hRule="atLeast"/>
        </w:trPr>
        <w:tc>
          <w:tcPr>
            <w:tcW w:w="6000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Total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Orders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Analyzed</w:t>
            </w:r>
          </w:p>
        </w:tc>
        <w:tc>
          <w:tcPr>
            <w:tcW w:w="364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172,765</w:t>
            </w:r>
          </w:p>
        </w:tc>
      </w:tr>
      <w:tr>
        <w:trPr>
          <w:trHeight w:val="360" w:hRule="atLeast"/>
        </w:trPr>
        <w:tc>
          <w:tcPr>
            <w:tcW w:w="6000" w:type="dxa"/>
            <w:shd w:val="clear" w:color="auto" w:fill="F4F5F9"/>
          </w:tcPr>
          <w:p>
            <w:pPr>
              <w:pStyle w:val="TableParagraph"/>
              <w:spacing w:before="71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Total</w:t>
            </w:r>
            <w:r>
              <w:rPr>
                <w:color w:val="1A1A2E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Profit</w:t>
            </w:r>
            <w:r>
              <w:rPr>
                <w:color w:val="1A1A2E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(profitable</w:t>
            </w:r>
            <w:r>
              <w:rPr>
                <w:color w:val="1A1A2E"/>
                <w:spacing w:val="1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orders)</w:t>
            </w:r>
          </w:p>
        </w:tc>
        <w:tc>
          <w:tcPr>
            <w:tcW w:w="3640" w:type="dxa"/>
            <w:shd w:val="clear" w:color="auto" w:fill="F4F5F9"/>
          </w:tcPr>
          <w:p>
            <w:pPr>
              <w:pStyle w:val="TableParagraph"/>
              <w:spacing w:before="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$7.5M</w:t>
            </w:r>
          </w:p>
        </w:tc>
      </w:tr>
      <w:tr>
        <w:trPr>
          <w:trHeight w:val="359" w:hRule="atLeast"/>
        </w:trPr>
        <w:tc>
          <w:tcPr>
            <w:tcW w:w="6000" w:type="dxa"/>
          </w:tcPr>
          <w:p>
            <w:pPr>
              <w:pStyle w:val="TableParagraph"/>
              <w:spacing w:before="75"/>
              <w:rPr>
                <w:sz w:val="19"/>
              </w:rPr>
            </w:pPr>
            <w:r>
              <w:rPr>
                <w:color w:val="1A1A2E"/>
                <w:sz w:val="19"/>
              </w:rPr>
              <w:t>Profit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z w:val="19"/>
              </w:rPr>
              <w:t>at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z w:val="19"/>
              </w:rPr>
              <w:t>Risk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z w:val="19"/>
              </w:rPr>
              <w:t>(delayed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orders)</w:t>
            </w:r>
          </w:p>
        </w:tc>
        <w:tc>
          <w:tcPr>
            <w:tcW w:w="364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$2.1M</w:t>
            </w:r>
          </w:p>
        </w:tc>
      </w:tr>
      <w:tr>
        <w:trPr>
          <w:trHeight w:val="360" w:hRule="atLeast"/>
        </w:trPr>
        <w:tc>
          <w:tcPr>
            <w:tcW w:w="6000" w:type="dxa"/>
            <w:shd w:val="clear" w:color="auto" w:fill="F4F5F9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A1A2E"/>
                <w:sz w:val="19"/>
              </w:rPr>
              <w:t>Predictive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Model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Accuracy</w:t>
            </w:r>
            <w:r>
              <w:rPr>
                <w:color w:val="1A1A2E"/>
                <w:spacing w:val="-7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(RF)</w:t>
            </w:r>
          </w:p>
        </w:tc>
        <w:tc>
          <w:tcPr>
            <w:tcW w:w="3640" w:type="dxa"/>
            <w:shd w:val="clear" w:color="auto" w:fill="F4F5F9"/>
          </w:tcPr>
          <w:p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5"/>
                <w:sz w:val="19"/>
              </w:rPr>
              <w:t>74%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290" w:after="0"/>
        <w:ind w:left="494" w:right="0" w:hanging="353"/>
        <w:jc w:val="left"/>
      </w:pPr>
      <w:bookmarkStart w:name="2. Business Context &amp; Objectives " w:id="2"/>
      <w:bookmarkEnd w:id="2"/>
      <w:r>
        <w:rPr>
          <w:b w:val="0"/>
        </w:rPr>
      </w:r>
      <w:r>
        <w:rPr>
          <w:color w:val="1B294A"/>
        </w:rPr>
        <w:t>Business</w:t>
      </w:r>
      <w:r>
        <w:rPr>
          <w:color w:val="1B294A"/>
          <w:spacing w:val="-6"/>
        </w:rPr>
        <w:t> </w:t>
      </w:r>
      <w:r>
        <w:rPr>
          <w:color w:val="1B294A"/>
        </w:rPr>
        <w:t>Context</w:t>
      </w:r>
      <w:r>
        <w:rPr>
          <w:color w:val="1B294A"/>
          <w:spacing w:val="-5"/>
        </w:rPr>
        <w:t> </w:t>
      </w:r>
      <w:r>
        <w:rPr>
          <w:color w:val="1B294A"/>
        </w:rPr>
        <w:t>&amp;</w:t>
      </w:r>
      <w:r>
        <w:rPr>
          <w:color w:val="1B294A"/>
          <w:spacing w:val="-5"/>
        </w:rPr>
        <w:t> </w:t>
      </w:r>
      <w:r>
        <w:rPr>
          <w:color w:val="1B294A"/>
          <w:spacing w:val="-2"/>
        </w:rPr>
        <w:t>Objectives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723899</wp:posOffset>
                </wp:positionH>
                <wp:positionV relativeFrom="paragraph">
                  <wp:posOffset>47644</wp:posOffset>
                </wp:positionV>
                <wp:extent cx="6121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3.751567pt;width:482pt;height:.1pt;mso-position-horizontal-relative:page;mso-position-vertical-relative:paragraph;z-index:-15727616;mso-wrap-distance-left:0;mso-wrap-distance-right:0" id="docshape6" coordorigin="1140,75" coordsize="9640,0" path="m1140,75l10780,75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ind w:left="141" w:right="481"/>
      </w:pPr>
      <w:r>
        <w:rPr>
          <w:color w:val="1A1A2E"/>
        </w:rPr>
        <w:t>The</w:t>
      </w:r>
      <w:r>
        <w:rPr>
          <w:color w:val="1A1A2E"/>
          <w:spacing w:val="-4"/>
        </w:rPr>
        <w:t> </w:t>
      </w:r>
      <w:r>
        <w:rPr>
          <w:color w:val="1A1A2E"/>
        </w:rPr>
        <w:t>company</w:t>
      </w:r>
      <w:r>
        <w:rPr>
          <w:color w:val="1A1A2E"/>
          <w:spacing w:val="-4"/>
        </w:rPr>
        <w:t> </w:t>
      </w:r>
      <w:r>
        <w:rPr>
          <w:color w:val="1A1A2E"/>
        </w:rPr>
        <w:t>operates</w:t>
      </w:r>
      <w:r>
        <w:rPr>
          <w:color w:val="1A1A2E"/>
          <w:spacing w:val="-4"/>
        </w:rPr>
        <w:t> </w:t>
      </w:r>
      <w:r>
        <w:rPr>
          <w:color w:val="1A1A2E"/>
        </w:rPr>
        <w:t>a</w:t>
      </w:r>
      <w:r>
        <w:rPr>
          <w:color w:val="1A1A2E"/>
          <w:spacing w:val="-4"/>
        </w:rPr>
        <w:t> </w:t>
      </w:r>
      <w:r>
        <w:rPr>
          <w:color w:val="1A1A2E"/>
        </w:rPr>
        <w:t>global</w:t>
      </w:r>
      <w:r>
        <w:rPr>
          <w:color w:val="1A1A2E"/>
          <w:spacing w:val="-4"/>
        </w:rPr>
        <w:t> </w:t>
      </w:r>
      <w:r>
        <w:rPr>
          <w:color w:val="1A1A2E"/>
        </w:rPr>
        <w:t>e-commerce</w:t>
      </w:r>
      <w:r>
        <w:rPr>
          <w:color w:val="1A1A2E"/>
          <w:spacing w:val="-4"/>
        </w:rPr>
        <w:t> </w:t>
      </w:r>
      <w:r>
        <w:rPr>
          <w:color w:val="1A1A2E"/>
        </w:rPr>
        <w:t>platform</w:t>
      </w:r>
      <w:r>
        <w:rPr>
          <w:color w:val="1A1A2E"/>
          <w:spacing w:val="-4"/>
        </w:rPr>
        <w:t> </w:t>
      </w:r>
      <w:r>
        <w:rPr>
          <w:color w:val="1A1A2E"/>
        </w:rPr>
        <w:t>selling</w:t>
      </w:r>
      <w:r>
        <w:rPr>
          <w:color w:val="1A1A2E"/>
          <w:spacing w:val="-4"/>
        </w:rPr>
        <w:t> </w:t>
      </w:r>
      <w:r>
        <w:rPr>
          <w:color w:val="1A1A2E"/>
        </w:rPr>
        <w:t>products</w:t>
      </w:r>
      <w:r>
        <w:rPr>
          <w:color w:val="1A1A2E"/>
          <w:spacing w:val="-4"/>
        </w:rPr>
        <w:t> </w:t>
      </w:r>
      <w:r>
        <w:rPr>
          <w:color w:val="1A1A2E"/>
        </w:rPr>
        <w:t>across</w:t>
      </w:r>
      <w:r>
        <w:rPr>
          <w:color w:val="1A1A2E"/>
          <w:spacing w:val="-4"/>
        </w:rPr>
        <w:t> </w:t>
      </w:r>
      <w:r>
        <w:rPr>
          <w:color w:val="1A1A2E"/>
        </w:rPr>
        <w:t>categories</w:t>
      </w:r>
      <w:r>
        <w:rPr>
          <w:color w:val="1A1A2E"/>
          <w:spacing w:val="-4"/>
        </w:rPr>
        <w:t> </w:t>
      </w:r>
      <w:r>
        <w:rPr>
          <w:color w:val="1A1A2E"/>
        </w:rPr>
        <w:t>including</w:t>
      </w:r>
      <w:r>
        <w:rPr>
          <w:color w:val="1A1A2E"/>
          <w:spacing w:val="-4"/>
        </w:rPr>
        <w:t> </w:t>
      </w:r>
      <w:r>
        <w:rPr>
          <w:color w:val="1A1A2E"/>
        </w:rPr>
        <w:t>sporting goods, fitness equipment, outdoor gear, footwear, and apparel across multiple international regions.</w:t>
      </w:r>
    </w:p>
    <w:p>
      <w:pPr>
        <w:pStyle w:val="Heading2"/>
      </w:pPr>
      <w:bookmarkStart w:name="Core Business Problem " w:id="3"/>
      <w:bookmarkEnd w:id="3"/>
      <w:r>
        <w:rPr>
          <w:b w:val="0"/>
        </w:rPr>
      </w:r>
      <w:r>
        <w:rPr>
          <w:color w:val="2E8B79"/>
        </w:rPr>
        <w:t>Core Business </w:t>
      </w:r>
      <w:r>
        <w:rPr>
          <w:color w:val="2E8B79"/>
          <w:spacing w:val="-2"/>
        </w:rPr>
        <w:t>Problem</w:t>
      </w:r>
    </w:p>
    <w:p>
      <w:pPr>
        <w:pStyle w:val="BodyText"/>
        <w:spacing w:before="80"/>
        <w:ind w:left="141" w:right="481"/>
      </w:pPr>
      <w:r>
        <w:rPr>
          <w:color w:val="1A1A2E"/>
        </w:rPr>
        <w:t>Actual</w:t>
      </w:r>
      <w:r>
        <w:rPr>
          <w:color w:val="1A1A2E"/>
          <w:spacing w:val="-4"/>
        </w:rPr>
        <w:t> </w:t>
      </w:r>
      <w:r>
        <w:rPr>
          <w:color w:val="1A1A2E"/>
        </w:rPr>
        <w:t>shipping</w:t>
      </w:r>
      <w:r>
        <w:rPr>
          <w:color w:val="1A1A2E"/>
          <w:spacing w:val="-4"/>
        </w:rPr>
        <w:t> </w:t>
      </w:r>
      <w:r>
        <w:rPr>
          <w:color w:val="1A1A2E"/>
        </w:rPr>
        <w:t>times</w:t>
      </w:r>
      <w:r>
        <w:rPr>
          <w:color w:val="1A1A2E"/>
          <w:spacing w:val="-4"/>
        </w:rPr>
        <w:t> </w:t>
      </w:r>
      <w:r>
        <w:rPr>
          <w:color w:val="1A1A2E"/>
        </w:rPr>
        <w:t>frequently</w:t>
      </w:r>
      <w:r>
        <w:rPr>
          <w:color w:val="1A1A2E"/>
          <w:spacing w:val="-4"/>
        </w:rPr>
        <w:t> </w:t>
      </w:r>
      <w:r>
        <w:rPr>
          <w:color w:val="1A1A2E"/>
        </w:rPr>
        <w:t>deviate</w:t>
      </w:r>
      <w:r>
        <w:rPr>
          <w:color w:val="1A1A2E"/>
          <w:spacing w:val="-4"/>
        </w:rPr>
        <w:t> </w:t>
      </w:r>
      <w:r>
        <w:rPr>
          <w:color w:val="1A1A2E"/>
        </w:rPr>
        <w:t>from</w:t>
      </w:r>
      <w:r>
        <w:rPr>
          <w:color w:val="1A1A2E"/>
          <w:spacing w:val="-4"/>
        </w:rPr>
        <w:t> </w:t>
      </w:r>
      <w:r>
        <w:rPr>
          <w:color w:val="1A1A2E"/>
        </w:rPr>
        <w:t>scheduled</w:t>
      </w:r>
      <w:r>
        <w:rPr>
          <w:color w:val="1A1A2E"/>
          <w:spacing w:val="-4"/>
        </w:rPr>
        <w:t> </w:t>
      </w:r>
      <w:r>
        <w:rPr>
          <w:color w:val="1A1A2E"/>
        </w:rPr>
        <w:t>delivery</w:t>
      </w:r>
      <w:r>
        <w:rPr>
          <w:color w:val="1A1A2E"/>
          <w:spacing w:val="-4"/>
        </w:rPr>
        <w:t> </w:t>
      </w:r>
      <w:r>
        <w:rPr>
          <w:color w:val="1A1A2E"/>
        </w:rPr>
        <w:t>windows,</w:t>
      </w:r>
      <w:r>
        <w:rPr>
          <w:color w:val="1A1A2E"/>
          <w:spacing w:val="-4"/>
        </w:rPr>
        <w:t> </w:t>
      </w:r>
      <w:r>
        <w:rPr>
          <w:color w:val="1A1A2E"/>
        </w:rPr>
        <w:t>creating</w:t>
      </w:r>
      <w:r>
        <w:rPr>
          <w:color w:val="1A1A2E"/>
          <w:spacing w:val="-4"/>
        </w:rPr>
        <w:t> </w:t>
      </w:r>
      <w:r>
        <w:rPr>
          <w:color w:val="1A1A2E"/>
        </w:rPr>
        <w:t>eroded</w:t>
      </w:r>
      <w:r>
        <w:rPr>
          <w:color w:val="1A1A2E"/>
          <w:spacing w:val="-4"/>
        </w:rPr>
        <w:t> </w:t>
      </w:r>
      <w:r>
        <w:rPr>
          <w:color w:val="1A1A2E"/>
        </w:rPr>
        <w:t>customer</w:t>
      </w:r>
      <w:r>
        <w:rPr>
          <w:color w:val="1A1A2E"/>
          <w:spacing w:val="-4"/>
        </w:rPr>
        <w:t> </w:t>
      </w:r>
      <w:r>
        <w:rPr>
          <w:color w:val="1A1A2E"/>
        </w:rPr>
        <w:t>trust, reduced order profitability, and an inability to make reliable commitments to buyers at point of purchase.</w:t>
      </w:r>
    </w:p>
    <w:p>
      <w:pPr>
        <w:pStyle w:val="Heading2"/>
      </w:pPr>
      <w:bookmarkStart w:name="Analytical Objectives " w:id="4"/>
      <w:bookmarkEnd w:id="4"/>
      <w:r>
        <w:rPr>
          <w:b w:val="0"/>
        </w:rPr>
      </w:r>
      <w:r>
        <w:rPr>
          <w:color w:val="2E8B79"/>
        </w:rPr>
        <w:t>Analytical </w:t>
      </w:r>
      <w:r>
        <w:rPr>
          <w:color w:val="2E8B79"/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0" w:after="0"/>
        <w:ind w:left="861" w:right="877" w:hanging="360"/>
        <w:jc w:val="left"/>
        <w:rPr>
          <w:sz w:val="20"/>
        </w:rPr>
      </w:pPr>
      <w:r>
        <w:rPr>
          <w:color w:val="1A1A2E"/>
          <w:sz w:val="20"/>
        </w:rPr>
        <w:t>Understand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the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current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state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of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delivery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performance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across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all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dimensions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(region,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mode,</w:t>
      </w:r>
      <w:r>
        <w:rPr>
          <w:color w:val="1A1A2E"/>
          <w:spacing w:val="-4"/>
          <w:sz w:val="20"/>
        </w:rPr>
        <w:t> </w:t>
      </w:r>
      <w:r>
        <w:rPr>
          <w:color w:val="1A1A2E"/>
          <w:sz w:val="20"/>
        </w:rPr>
        <w:t>time, </w:t>
      </w:r>
      <w:r>
        <w:rPr>
          <w:color w:val="1A1A2E"/>
          <w:spacing w:val="-2"/>
          <w:sz w:val="20"/>
        </w:rPr>
        <w:t>segment)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0"/>
        </w:rPr>
      </w:pPr>
      <w:r>
        <w:rPr>
          <w:color w:val="1A1A2E"/>
          <w:sz w:val="20"/>
        </w:rPr>
        <w:t>Quantify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the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financial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impact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of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delays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on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order</w:t>
      </w:r>
      <w:r>
        <w:rPr>
          <w:color w:val="1A1A2E"/>
          <w:spacing w:val="-5"/>
          <w:sz w:val="20"/>
        </w:rPr>
        <w:t> </w:t>
      </w:r>
      <w:r>
        <w:rPr>
          <w:color w:val="1A1A2E"/>
          <w:spacing w:val="-2"/>
          <w:sz w:val="20"/>
        </w:rPr>
        <w:t>profitability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0"/>
        </w:rPr>
      </w:pPr>
      <w:r>
        <w:rPr>
          <w:color w:val="1A1A2E"/>
          <w:sz w:val="20"/>
        </w:rPr>
        <w:t>Identify</w:t>
      </w:r>
      <w:r>
        <w:rPr>
          <w:color w:val="1A1A2E"/>
          <w:spacing w:val="-10"/>
          <w:sz w:val="20"/>
        </w:rPr>
        <w:t> </w:t>
      </w:r>
      <w:r>
        <w:rPr>
          <w:color w:val="1A1A2E"/>
          <w:sz w:val="20"/>
        </w:rPr>
        <w:t>the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primary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operational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bottlenecks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driving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late</w:t>
      </w:r>
      <w:r>
        <w:rPr>
          <w:color w:val="1A1A2E"/>
          <w:spacing w:val="-7"/>
          <w:sz w:val="20"/>
        </w:rPr>
        <w:t> </w:t>
      </w:r>
      <w:r>
        <w:rPr>
          <w:color w:val="1A1A2E"/>
          <w:spacing w:val="-2"/>
          <w:sz w:val="20"/>
        </w:rPr>
        <w:t>deliveries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0"/>
        </w:rPr>
      </w:pPr>
      <w:r>
        <w:rPr>
          <w:color w:val="1A1A2E"/>
          <w:sz w:val="20"/>
        </w:rPr>
        <w:t>Build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a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predictive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model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to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flag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high-risk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orders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before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they</w:t>
      </w:r>
      <w:r>
        <w:rPr>
          <w:color w:val="1A1A2E"/>
          <w:spacing w:val="-5"/>
          <w:sz w:val="20"/>
        </w:rPr>
        <w:t> </w:t>
      </w:r>
      <w:r>
        <w:rPr>
          <w:color w:val="1A1A2E"/>
          <w:sz w:val="20"/>
        </w:rPr>
        <w:t>are</w:t>
      </w:r>
      <w:r>
        <w:rPr>
          <w:color w:val="1A1A2E"/>
          <w:spacing w:val="-5"/>
          <w:sz w:val="20"/>
        </w:rPr>
        <w:t> </w:t>
      </w:r>
      <w:r>
        <w:rPr>
          <w:color w:val="1A1A2E"/>
          <w:spacing w:val="-2"/>
          <w:sz w:val="20"/>
        </w:rPr>
        <w:t>shipped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0"/>
        </w:rPr>
      </w:pPr>
      <w:r>
        <w:rPr>
          <w:color w:val="1A1A2E"/>
          <w:sz w:val="20"/>
        </w:rPr>
        <w:t>Deliver</w:t>
      </w:r>
      <w:r>
        <w:rPr>
          <w:color w:val="1A1A2E"/>
          <w:spacing w:val="-10"/>
          <w:sz w:val="20"/>
        </w:rPr>
        <w:t> </w:t>
      </w:r>
      <w:r>
        <w:rPr>
          <w:color w:val="1A1A2E"/>
          <w:sz w:val="20"/>
        </w:rPr>
        <w:t>actionable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recommendations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to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improve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on-time</w:t>
      </w:r>
      <w:r>
        <w:rPr>
          <w:color w:val="1A1A2E"/>
          <w:spacing w:val="-8"/>
          <w:sz w:val="20"/>
        </w:rPr>
        <w:t> </w:t>
      </w:r>
      <w:r>
        <w:rPr>
          <w:color w:val="1A1A2E"/>
          <w:sz w:val="20"/>
        </w:rPr>
        <w:t>delivery</w:t>
      </w:r>
      <w:r>
        <w:rPr>
          <w:color w:val="1A1A2E"/>
          <w:spacing w:val="-7"/>
          <w:sz w:val="20"/>
        </w:rPr>
        <w:t> </w:t>
      </w:r>
      <w:r>
        <w:rPr>
          <w:color w:val="1A1A2E"/>
          <w:sz w:val="20"/>
        </w:rPr>
        <w:t>and</w:t>
      </w:r>
      <w:r>
        <w:rPr>
          <w:color w:val="1A1A2E"/>
          <w:spacing w:val="-7"/>
          <w:sz w:val="20"/>
        </w:rPr>
        <w:t> </w:t>
      </w:r>
      <w:r>
        <w:rPr>
          <w:color w:val="1A1A2E"/>
          <w:spacing w:val="-2"/>
          <w:sz w:val="20"/>
        </w:rPr>
        <w:t>profitability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53"/>
        <w:jc w:val="left"/>
      </w:pPr>
      <w:bookmarkStart w:name="3. Key Performance Indicators (KPIs) " w:id="5"/>
      <w:bookmarkEnd w:id="5"/>
      <w:r>
        <w:rPr>
          <w:b w:val="0"/>
        </w:rPr>
      </w:r>
      <w:r>
        <w:rPr>
          <w:color w:val="1B294A"/>
        </w:rPr>
        <w:t>Key</w:t>
      </w:r>
      <w:r>
        <w:rPr>
          <w:color w:val="1B294A"/>
          <w:spacing w:val="-8"/>
        </w:rPr>
        <w:t> </w:t>
      </w:r>
      <w:r>
        <w:rPr>
          <w:color w:val="1B294A"/>
        </w:rPr>
        <w:t>Performance</w:t>
      </w:r>
      <w:r>
        <w:rPr>
          <w:color w:val="1B294A"/>
          <w:spacing w:val="-8"/>
        </w:rPr>
        <w:t> </w:t>
      </w:r>
      <w:r>
        <w:rPr>
          <w:color w:val="1B294A"/>
        </w:rPr>
        <w:t>Indicators</w:t>
      </w:r>
      <w:r>
        <w:rPr>
          <w:color w:val="1B294A"/>
          <w:spacing w:val="-8"/>
        </w:rPr>
        <w:t> </w:t>
      </w:r>
      <w:r>
        <w:rPr>
          <w:color w:val="1B294A"/>
          <w:spacing w:val="-2"/>
        </w:rPr>
        <w:t>(KPIs)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723899</wp:posOffset>
                </wp:positionH>
                <wp:positionV relativeFrom="paragraph">
                  <wp:posOffset>47823</wp:posOffset>
                </wp:positionV>
                <wp:extent cx="6121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3.765623pt;width:482pt;height:.1pt;mso-position-horizontal-relative:page;mso-position-vertical-relative:paragraph;z-index:-15727104;mso-wrap-distance-left:0;mso-wrap-distance-right:0" id="docshape7" coordorigin="1140,75" coordsize="9640,0" path="m1140,75l10780,75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ind w:left="141"/>
      </w:pPr>
      <w:r>
        <w:rPr>
          <w:color w:val="1A1A2E"/>
        </w:rPr>
        <w:t>The</w:t>
      </w:r>
      <w:r>
        <w:rPr>
          <w:color w:val="1A1A2E"/>
          <w:spacing w:val="-6"/>
        </w:rPr>
        <w:t> </w:t>
      </w:r>
      <w:r>
        <w:rPr>
          <w:color w:val="1A1A2E"/>
        </w:rPr>
        <w:t>following</w:t>
      </w:r>
      <w:r>
        <w:rPr>
          <w:color w:val="1A1A2E"/>
          <w:spacing w:val="-6"/>
        </w:rPr>
        <w:t> </w:t>
      </w:r>
      <w:r>
        <w:rPr>
          <w:color w:val="1A1A2E"/>
        </w:rPr>
        <w:t>KPIs</w:t>
      </w:r>
      <w:r>
        <w:rPr>
          <w:color w:val="1A1A2E"/>
          <w:spacing w:val="-6"/>
        </w:rPr>
        <w:t> </w:t>
      </w:r>
      <w:r>
        <w:rPr>
          <w:color w:val="1A1A2E"/>
        </w:rPr>
        <w:t>were</w:t>
      </w:r>
      <w:r>
        <w:rPr>
          <w:color w:val="1A1A2E"/>
          <w:spacing w:val="-5"/>
        </w:rPr>
        <w:t> </w:t>
      </w:r>
      <w:r>
        <w:rPr>
          <w:color w:val="1A1A2E"/>
        </w:rPr>
        <w:t>computed</w:t>
      </w:r>
      <w:r>
        <w:rPr>
          <w:color w:val="1A1A2E"/>
          <w:spacing w:val="-6"/>
        </w:rPr>
        <w:t> </w:t>
      </w:r>
      <w:r>
        <w:rPr>
          <w:color w:val="1A1A2E"/>
        </w:rPr>
        <w:t>directly</w:t>
      </w:r>
      <w:r>
        <w:rPr>
          <w:color w:val="1A1A2E"/>
          <w:spacing w:val="-6"/>
        </w:rPr>
        <w:t> </w:t>
      </w:r>
      <w:r>
        <w:rPr>
          <w:color w:val="1A1A2E"/>
        </w:rPr>
        <w:t>from</w:t>
      </w:r>
      <w:r>
        <w:rPr>
          <w:color w:val="1A1A2E"/>
          <w:spacing w:val="-5"/>
        </w:rPr>
        <w:t> </w:t>
      </w:r>
      <w:r>
        <w:rPr>
          <w:color w:val="1A1A2E"/>
        </w:rPr>
        <w:t>the</w:t>
      </w:r>
      <w:r>
        <w:rPr>
          <w:color w:val="1A1A2E"/>
          <w:spacing w:val="-6"/>
        </w:rPr>
        <w:t> </w:t>
      </w:r>
      <w:r>
        <w:rPr>
          <w:color w:val="1A1A2E"/>
        </w:rPr>
        <w:t>cleaned</w:t>
      </w:r>
      <w:r>
        <w:rPr>
          <w:color w:val="1A1A2E"/>
          <w:spacing w:val="-6"/>
        </w:rPr>
        <w:t> </w:t>
      </w:r>
      <w:r>
        <w:rPr>
          <w:color w:val="1A1A2E"/>
        </w:rPr>
        <w:t>dataset</w:t>
      </w:r>
      <w:r>
        <w:rPr>
          <w:color w:val="1A1A2E"/>
          <w:spacing w:val="-6"/>
        </w:rPr>
        <w:t> </w:t>
      </w:r>
      <w:r>
        <w:rPr>
          <w:color w:val="1A1A2E"/>
        </w:rPr>
        <w:t>to</w:t>
      </w:r>
      <w:r>
        <w:rPr>
          <w:color w:val="1A1A2E"/>
          <w:spacing w:val="-5"/>
        </w:rPr>
        <w:t> </w:t>
      </w:r>
      <w:r>
        <w:rPr>
          <w:color w:val="1A1A2E"/>
        </w:rPr>
        <w:t>establish</w:t>
      </w:r>
      <w:r>
        <w:rPr>
          <w:color w:val="1A1A2E"/>
          <w:spacing w:val="-6"/>
        </w:rPr>
        <w:t> </w:t>
      </w:r>
      <w:r>
        <w:rPr>
          <w:color w:val="1A1A2E"/>
        </w:rPr>
        <w:t>a</w:t>
      </w:r>
      <w:r>
        <w:rPr>
          <w:color w:val="1A1A2E"/>
          <w:spacing w:val="-6"/>
        </w:rPr>
        <w:t> </w:t>
      </w:r>
      <w:r>
        <w:rPr>
          <w:color w:val="1A1A2E"/>
        </w:rPr>
        <w:t>performance</w:t>
      </w:r>
      <w:r>
        <w:rPr>
          <w:color w:val="1A1A2E"/>
          <w:spacing w:val="-5"/>
        </w:rPr>
        <w:t> </w:t>
      </w:r>
      <w:r>
        <w:rPr>
          <w:color w:val="1A1A2E"/>
          <w:spacing w:val="-2"/>
        </w:rPr>
        <w:t>baseline.</w:t>
      </w: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2420"/>
        <w:gridCol w:w="2400"/>
        <w:gridCol w:w="2420"/>
      </w:tblGrid>
      <w:tr>
        <w:trPr>
          <w:trHeight w:val="840" w:hRule="atLeast"/>
        </w:trPr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19"/>
              <w:ind w:left="33" w:right="1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B294A"/>
                <w:spacing w:val="-2"/>
                <w:sz w:val="32"/>
              </w:rPr>
              <w:t>172,765</w:t>
            </w:r>
          </w:p>
          <w:p>
            <w:pPr>
              <w:pStyle w:val="TableParagraph"/>
              <w:spacing w:before="40"/>
              <w:ind w:left="33" w:right="10"/>
              <w:jc w:val="center"/>
              <w:rPr>
                <w:sz w:val="17"/>
              </w:rPr>
            </w:pPr>
            <w:r>
              <w:rPr>
                <w:color w:val="3A3A5C"/>
                <w:spacing w:val="-4"/>
                <w:sz w:val="17"/>
              </w:rPr>
              <w:t>Total</w:t>
            </w:r>
            <w:r>
              <w:rPr>
                <w:color w:val="3A3A5C"/>
                <w:spacing w:val="-3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Orders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19"/>
              <w:ind w:left="7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800000"/>
                <w:spacing w:val="-2"/>
                <w:sz w:val="32"/>
              </w:rPr>
              <w:t>94,523</w:t>
            </w:r>
          </w:p>
          <w:p>
            <w:pPr>
              <w:pStyle w:val="TableParagraph"/>
              <w:spacing w:before="40"/>
              <w:ind w:left="644"/>
              <w:rPr>
                <w:sz w:val="17"/>
              </w:rPr>
            </w:pPr>
            <w:r>
              <w:rPr>
                <w:color w:val="3A3A5C"/>
                <w:sz w:val="17"/>
              </w:rPr>
              <w:t>Late</w:t>
            </w:r>
            <w:r>
              <w:rPr>
                <w:color w:val="3A3A5C"/>
                <w:spacing w:val="-4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Deliveries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119"/>
              <w:ind w:left="6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800000"/>
                <w:spacing w:val="-2"/>
                <w:sz w:val="32"/>
              </w:rPr>
              <w:t>54.71%</w:t>
            </w:r>
          </w:p>
          <w:p>
            <w:pPr>
              <w:pStyle w:val="TableParagraph"/>
              <w:spacing w:before="40"/>
              <w:ind w:left="606"/>
              <w:rPr>
                <w:sz w:val="17"/>
              </w:rPr>
            </w:pPr>
            <w:r>
              <w:rPr>
                <w:color w:val="3A3A5C"/>
                <w:sz w:val="17"/>
              </w:rPr>
              <w:t>Late</w:t>
            </w:r>
            <w:r>
              <w:rPr>
                <w:color w:val="3A3A5C"/>
                <w:spacing w:val="-6"/>
                <w:sz w:val="17"/>
              </w:rPr>
              <w:t> </w:t>
            </w:r>
            <w:r>
              <w:rPr>
                <w:color w:val="3A3A5C"/>
                <w:sz w:val="17"/>
              </w:rPr>
              <w:t>Delivery</w:t>
            </w:r>
            <w:r>
              <w:rPr>
                <w:color w:val="3A3A5C"/>
                <w:spacing w:val="-6"/>
                <w:sz w:val="17"/>
              </w:rPr>
              <w:t> </w:t>
            </w:r>
            <w:r>
              <w:rPr>
                <w:color w:val="3A3A5C"/>
                <w:spacing w:val="-10"/>
                <w:sz w:val="17"/>
              </w:rPr>
              <w:t>%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19"/>
              <w:ind w:left="3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2E8B79"/>
                <w:spacing w:val="-2"/>
                <w:sz w:val="32"/>
              </w:rPr>
              <w:t>45.29%</w:t>
            </w:r>
          </w:p>
          <w:p>
            <w:pPr>
              <w:pStyle w:val="TableParagraph"/>
              <w:spacing w:before="40"/>
              <w:ind w:left="33"/>
              <w:jc w:val="center"/>
              <w:rPr>
                <w:sz w:val="17"/>
              </w:rPr>
            </w:pPr>
            <w:r>
              <w:rPr>
                <w:color w:val="3A3A5C"/>
                <w:sz w:val="17"/>
              </w:rPr>
              <w:t>On-Time</w:t>
            </w:r>
            <w:r>
              <w:rPr>
                <w:color w:val="3A3A5C"/>
                <w:spacing w:val="-11"/>
                <w:sz w:val="17"/>
              </w:rPr>
              <w:t> </w:t>
            </w:r>
            <w:r>
              <w:rPr>
                <w:color w:val="3A3A5C"/>
                <w:sz w:val="17"/>
              </w:rPr>
              <w:t>Delivery</w:t>
            </w:r>
            <w:r>
              <w:rPr>
                <w:color w:val="3A3A5C"/>
                <w:spacing w:val="-10"/>
                <w:sz w:val="17"/>
              </w:rPr>
              <w:t> %</w:t>
            </w:r>
          </w:p>
        </w:tc>
      </w:tr>
    </w:tbl>
    <w:p>
      <w:pPr>
        <w:pStyle w:val="BodyText"/>
        <w:spacing w:before="110"/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2420"/>
        <w:gridCol w:w="2400"/>
        <w:gridCol w:w="2420"/>
      </w:tblGrid>
      <w:tr>
        <w:trPr>
          <w:trHeight w:val="599" w:hRule="atLeast"/>
        </w:trPr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23"/>
              <w:ind w:left="76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B294A"/>
                <w:spacing w:val="-2"/>
                <w:sz w:val="32"/>
              </w:rPr>
              <w:t>$7.5M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23"/>
              <w:ind w:left="76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800000"/>
                <w:spacing w:val="-2"/>
                <w:sz w:val="32"/>
              </w:rPr>
              <w:t>$2.1M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123"/>
              <w:ind w:left="703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B294A"/>
                <w:sz w:val="32"/>
              </w:rPr>
              <w:t>3</w:t>
            </w:r>
            <w:r>
              <w:rPr>
                <w:rFonts w:ascii="Arial"/>
                <w:b/>
                <w:color w:val="1B294A"/>
                <w:spacing w:val="-1"/>
                <w:sz w:val="32"/>
              </w:rPr>
              <w:t> </w:t>
            </w:r>
            <w:r>
              <w:rPr>
                <w:rFonts w:ascii="Arial"/>
                <w:b/>
                <w:color w:val="1B294A"/>
                <w:spacing w:val="-4"/>
                <w:sz w:val="32"/>
              </w:rPr>
              <w:t>days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23"/>
              <w:ind w:left="7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2E8B79"/>
                <w:spacing w:val="-2"/>
                <w:sz w:val="32"/>
              </w:rPr>
              <w:t>$22.03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32"/>
        </w:rPr>
        <w:sectPr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50"/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2420"/>
        <w:gridCol w:w="2400"/>
        <w:gridCol w:w="2420"/>
      </w:tblGrid>
      <w:tr>
        <w:trPr>
          <w:trHeight w:val="659" w:hRule="atLeast"/>
        </w:trPr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55"/>
              <w:ind w:left="116"/>
              <w:rPr>
                <w:sz w:val="17"/>
              </w:rPr>
            </w:pPr>
            <w:r>
              <w:rPr>
                <w:color w:val="3A3A5C"/>
                <w:spacing w:val="-2"/>
                <w:sz w:val="17"/>
              </w:rPr>
              <w:t>Total</w:t>
            </w:r>
            <w:r>
              <w:rPr>
                <w:color w:val="3A3A5C"/>
                <w:spacing w:val="1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Profit</w:t>
            </w:r>
            <w:r>
              <w:rPr>
                <w:color w:val="3A3A5C"/>
                <w:spacing w:val="1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(profitable</w:t>
            </w:r>
            <w:r>
              <w:rPr>
                <w:color w:val="3A3A5C"/>
                <w:spacing w:val="2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orders)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55"/>
              <w:ind w:left="937" w:hanging="562"/>
              <w:rPr>
                <w:sz w:val="17"/>
              </w:rPr>
            </w:pPr>
            <w:r>
              <w:rPr>
                <w:color w:val="3A3A5C"/>
                <w:sz w:val="17"/>
              </w:rPr>
              <w:t>Profit</w:t>
            </w:r>
            <w:r>
              <w:rPr>
                <w:color w:val="3A3A5C"/>
                <w:spacing w:val="-12"/>
                <w:sz w:val="17"/>
              </w:rPr>
              <w:t> </w:t>
            </w:r>
            <w:r>
              <w:rPr>
                <w:color w:val="3A3A5C"/>
                <w:sz w:val="17"/>
              </w:rPr>
              <w:t>at</w:t>
            </w:r>
            <w:r>
              <w:rPr>
                <w:color w:val="3A3A5C"/>
                <w:spacing w:val="-12"/>
                <w:sz w:val="17"/>
              </w:rPr>
              <w:t> </w:t>
            </w:r>
            <w:r>
              <w:rPr>
                <w:color w:val="3A3A5C"/>
                <w:sz w:val="17"/>
              </w:rPr>
              <w:t>Risk</w:t>
            </w:r>
            <w:r>
              <w:rPr>
                <w:color w:val="3A3A5C"/>
                <w:spacing w:val="-12"/>
                <w:sz w:val="17"/>
              </w:rPr>
              <w:t> </w:t>
            </w:r>
            <w:r>
              <w:rPr>
                <w:color w:val="3A3A5C"/>
                <w:sz w:val="17"/>
              </w:rPr>
              <w:t>(delayed </w:t>
            </w:r>
            <w:r>
              <w:rPr>
                <w:color w:val="3A3A5C"/>
                <w:spacing w:val="-2"/>
                <w:sz w:val="17"/>
              </w:rPr>
              <w:t>orders)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155"/>
              <w:ind w:left="393"/>
              <w:rPr>
                <w:sz w:val="17"/>
              </w:rPr>
            </w:pPr>
            <w:r>
              <w:rPr>
                <w:color w:val="3A3A5C"/>
                <w:sz w:val="17"/>
              </w:rPr>
              <w:t>90th</w:t>
            </w:r>
            <w:r>
              <w:rPr>
                <w:color w:val="3A3A5C"/>
                <w:spacing w:val="-7"/>
                <w:sz w:val="17"/>
              </w:rPr>
              <w:t> </w:t>
            </w:r>
            <w:r>
              <w:rPr>
                <w:color w:val="3A3A5C"/>
                <w:sz w:val="17"/>
              </w:rPr>
              <w:t>Percentile</w:t>
            </w:r>
            <w:r>
              <w:rPr>
                <w:color w:val="3A3A5C"/>
                <w:spacing w:val="-7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Delay</w:t>
            </w:r>
          </w:p>
        </w:tc>
        <w:tc>
          <w:tcPr>
            <w:tcW w:w="2420" w:type="dxa"/>
            <w:shd w:val="clear" w:color="auto" w:fill="F4F5F9"/>
          </w:tcPr>
          <w:p>
            <w:pPr>
              <w:pStyle w:val="TableParagraph"/>
              <w:spacing w:before="155"/>
              <w:ind w:left="608"/>
              <w:rPr>
                <w:sz w:val="17"/>
              </w:rPr>
            </w:pPr>
            <w:r>
              <w:rPr>
                <w:color w:val="3A3A5C"/>
                <w:sz w:val="17"/>
              </w:rPr>
              <w:t>Avg</w:t>
            </w:r>
            <w:r>
              <w:rPr>
                <w:color w:val="3A3A5C"/>
                <w:spacing w:val="-6"/>
                <w:sz w:val="17"/>
              </w:rPr>
              <w:t> </w:t>
            </w:r>
            <w:r>
              <w:rPr>
                <w:color w:val="3A3A5C"/>
                <w:sz w:val="17"/>
              </w:rPr>
              <w:t>Order</w:t>
            </w:r>
            <w:r>
              <w:rPr>
                <w:color w:val="3A3A5C"/>
                <w:spacing w:val="-5"/>
                <w:sz w:val="17"/>
              </w:rPr>
              <w:t> </w:t>
            </w:r>
            <w:r>
              <w:rPr>
                <w:color w:val="3A3A5C"/>
                <w:spacing w:val="-2"/>
                <w:sz w:val="17"/>
              </w:rPr>
              <w:t>Profit</w:t>
            </w:r>
          </w:p>
        </w:tc>
      </w:tr>
    </w:tbl>
    <w:p>
      <w:pPr>
        <w:pStyle w:val="BodyText"/>
        <w:spacing w:before="151"/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3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2" w:val="left" w:leader="none"/>
              </w:tabs>
              <w:spacing w:line="240" w:lineRule="auto" w:before="111" w:after="0"/>
              <w:ind w:left="126" w:right="193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Late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Delivery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Rate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at </w:t>
            </w: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54.71%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11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More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than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half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of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all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arrive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late.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This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not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an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edge-case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problem,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it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the default experience for the majority of customers.</w:t>
            </w:r>
          </w:p>
        </w:tc>
      </w:tr>
    </w:tbl>
    <w:p>
      <w:pPr>
        <w:pStyle w:val="BodyText"/>
        <w:spacing w:before="91"/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3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2" w:val="left" w:leader="none"/>
              </w:tabs>
              <w:spacing w:line="240" w:lineRule="auto" w:before="118" w:after="0"/>
              <w:ind w:left="292" w:right="0" w:hanging="166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$2.1M</w:t>
            </w:r>
            <w:r>
              <w:rPr>
                <w:rFonts w:ascii="Arial" w:hAnsi="Arial"/>
                <w:b/>
                <w:color w:val="1B294A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Profit</w:t>
            </w:r>
            <w:r>
              <w:rPr>
                <w:rFonts w:ascii="Arial" w:hAnsi="Arial"/>
                <w:b/>
                <w:color w:val="1B294A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at</w:t>
            </w:r>
            <w:r>
              <w:rPr>
                <w:rFonts w:ascii="Arial" w:hAnsi="Arial"/>
                <w:b/>
                <w:color w:val="1B294A"/>
                <w:spacing w:val="-4"/>
                <w:sz w:val="19"/>
              </w:rPr>
              <w:t> Risk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18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that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experienced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delays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collectively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generated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$2.1M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profit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that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under constant pressure from further operational deterioration.</w:t>
            </w:r>
          </w:p>
        </w:tc>
      </w:tr>
    </w:tbl>
    <w:p>
      <w:pPr>
        <w:pStyle w:val="BodyText"/>
        <w:spacing w:before="111"/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4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2" w:val="left" w:leader="none"/>
              </w:tabs>
              <w:spacing w:line="240" w:lineRule="auto" w:before="105" w:after="0"/>
              <w:ind w:left="292" w:right="0" w:hanging="166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90th</w:t>
            </w:r>
            <w:r>
              <w:rPr>
                <w:rFonts w:ascii="Arial" w:hAnsi="Arial"/>
                <w:b/>
                <w:color w:val="1B294A"/>
                <w:spacing w:val="-7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Percentile</w:t>
            </w:r>
            <w:r>
              <w:rPr>
                <w:rFonts w:ascii="Arial" w:hAnsi="Arial"/>
                <w:b/>
                <w:color w:val="1B294A"/>
                <w:spacing w:val="-7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Delay</w:t>
            </w:r>
          </w:p>
          <w:p>
            <w:pPr>
              <w:pStyle w:val="TableParagraph"/>
              <w:ind w:left="1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94A"/>
                <w:sz w:val="19"/>
              </w:rPr>
              <w:t>=</w:t>
            </w:r>
            <w:r>
              <w:rPr>
                <w:rFonts w:ascii="Arial"/>
                <w:b/>
                <w:color w:val="1B294A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1B294A"/>
                <w:sz w:val="19"/>
              </w:rPr>
              <w:t>3</w:t>
            </w:r>
            <w:r>
              <w:rPr>
                <w:rFonts w:ascii="Arial"/>
                <w:b/>
                <w:color w:val="1B294A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1B294A"/>
                <w:spacing w:val="-4"/>
                <w:sz w:val="19"/>
              </w:rPr>
              <w:t>Days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5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Even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most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extreme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cases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are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contained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within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3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days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of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lateness,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suggesting the problem is systemic and process-driven rather than catastrophic.</w:t>
            </w:r>
          </w:p>
        </w:tc>
      </w:tr>
    </w:tbl>
    <w:p>
      <w:pPr>
        <w:pStyle w:val="BodyText"/>
        <w:spacing w:before="143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1" w:after="0"/>
        <w:ind w:left="494" w:right="0" w:hanging="353"/>
        <w:jc w:val="left"/>
      </w:pPr>
      <w:bookmarkStart w:name="4. Profitability Analysis " w:id="6"/>
      <w:bookmarkEnd w:id="6"/>
      <w:r>
        <w:rPr>
          <w:b w:val="0"/>
        </w:rPr>
      </w:r>
      <w:r>
        <w:rPr>
          <w:color w:val="1B294A"/>
        </w:rPr>
        <w:t>Profitability</w:t>
      </w:r>
      <w:r>
        <w:rPr>
          <w:color w:val="1B294A"/>
          <w:spacing w:val="-13"/>
        </w:rPr>
        <w:t> </w:t>
      </w:r>
      <w:r>
        <w:rPr>
          <w:color w:val="1B294A"/>
          <w:spacing w:val="-2"/>
        </w:rPr>
        <w:t>Analysis</w:t>
      </w:r>
    </w:p>
    <w:p>
      <w:pPr>
        <w:pStyle w:val="BodyText"/>
        <w:spacing w:before="8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723899</wp:posOffset>
                </wp:positionH>
                <wp:positionV relativeFrom="paragraph">
                  <wp:posOffset>57189</wp:posOffset>
                </wp:positionV>
                <wp:extent cx="6121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4.503126pt;width:482pt;height:.1pt;mso-position-horizontal-relative:page;mso-position-vertical-relative:paragraph;z-index:-15726592;mso-wrap-distance-left:0;mso-wrap-distance-right:0" id="docshape8" coordorigin="1140,90" coordsize="9640,0" path="m1140,90l10780,90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08" w:val="left" w:leader="none"/>
        </w:tabs>
        <w:spacing w:line="240" w:lineRule="auto" w:before="209" w:after="0"/>
        <w:ind w:left="608" w:right="0" w:hanging="467"/>
        <w:jc w:val="left"/>
      </w:pPr>
      <w:bookmarkStart w:name="4.1  Profitability Distribution " w:id="7"/>
      <w:bookmarkEnd w:id="7"/>
      <w:r>
        <w:rPr>
          <w:b w:val="0"/>
        </w:rPr>
      </w:r>
      <w:r>
        <w:rPr>
          <w:color w:val="2E8B79"/>
        </w:rPr>
        <w:t>Profitability </w:t>
      </w:r>
      <w:r>
        <w:rPr>
          <w:color w:val="2E8B79"/>
          <w:spacing w:val="-2"/>
        </w:rPr>
        <w:t>Distribution</w:t>
      </w:r>
    </w:p>
    <w:p>
      <w:pPr>
        <w:pStyle w:val="BodyText"/>
        <w:spacing w:before="80"/>
        <w:ind w:left="141" w:right="481"/>
      </w:pPr>
      <w:r>
        <w:rPr>
          <w:color w:val="1A1A2E"/>
        </w:rPr>
        <w:t>Order-level</w:t>
      </w:r>
      <w:r>
        <w:rPr>
          <w:color w:val="1A1A2E"/>
          <w:spacing w:val="-4"/>
        </w:rPr>
        <w:t> </w:t>
      </w:r>
      <w:r>
        <w:rPr>
          <w:color w:val="1A1A2E"/>
        </w:rPr>
        <w:t>profitability</w:t>
      </w:r>
      <w:r>
        <w:rPr>
          <w:color w:val="1A1A2E"/>
          <w:spacing w:val="-4"/>
        </w:rPr>
        <w:t> </w:t>
      </w:r>
      <w:r>
        <w:rPr>
          <w:color w:val="1A1A2E"/>
        </w:rPr>
        <w:t>was</w:t>
      </w:r>
      <w:r>
        <w:rPr>
          <w:color w:val="1A1A2E"/>
          <w:spacing w:val="-4"/>
        </w:rPr>
        <w:t> </w:t>
      </w:r>
      <w:r>
        <w:rPr>
          <w:color w:val="1A1A2E"/>
        </w:rPr>
        <w:t>classified</w:t>
      </w:r>
      <w:r>
        <w:rPr>
          <w:color w:val="1A1A2E"/>
          <w:spacing w:val="-4"/>
        </w:rPr>
        <w:t> </w:t>
      </w:r>
      <w:r>
        <w:rPr>
          <w:color w:val="1A1A2E"/>
        </w:rPr>
        <w:t>into</w:t>
      </w:r>
      <w:r>
        <w:rPr>
          <w:color w:val="1A1A2E"/>
          <w:spacing w:val="-4"/>
        </w:rPr>
        <w:t> </w:t>
      </w:r>
      <w:r>
        <w:rPr>
          <w:color w:val="1A1A2E"/>
        </w:rPr>
        <w:t>three</w:t>
      </w:r>
      <w:r>
        <w:rPr>
          <w:color w:val="1A1A2E"/>
          <w:spacing w:val="-4"/>
        </w:rPr>
        <w:t> </w:t>
      </w:r>
      <w:r>
        <w:rPr>
          <w:color w:val="1A1A2E"/>
        </w:rPr>
        <w:t>tiers</w:t>
      </w:r>
      <w:r>
        <w:rPr>
          <w:color w:val="1A1A2E"/>
          <w:spacing w:val="-4"/>
        </w:rPr>
        <w:t> </w:t>
      </w:r>
      <w:r>
        <w:rPr>
          <w:color w:val="1A1A2E"/>
        </w:rPr>
        <w:t>based</w:t>
      </w:r>
      <w:r>
        <w:rPr>
          <w:color w:val="1A1A2E"/>
          <w:spacing w:val="-4"/>
        </w:rPr>
        <w:t> </w:t>
      </w:r>
      <w:r>
        <w:rPr>
          <w:color w:val="1A1A2E"/>
        </w:rPr>
        <w:t>on</w:t>
      </w:r>
      <w:r>
        <w:rPr>
          <w:color w:val="1A1A2E"/>
          <w:spacing w:val="-4"/>
        </w:rPr>
        <w:t> </w:t>
      </w:r>
      <w:r>
        <w:rPr>
          <w:color w:val="1A1A2E"/>
        </w:rPr>
        <w:t>Order</w:t>
      </w:r>
      <w:r>
        <w:rPr>
          <w:color w:val="1A1A2E"/>
          <w:spacing w:val="-4"/>
        </w:rPr>
        <w:t> </w:t>
      </w:r>
      <w:r>
        <w:rPr>
          <w:color w:val="1A1A2E"/>
        </w:rPr>
        <w:t>Profit</w:t>
      </w:r>
      <w:r>
        <w:rPr>
          <w:color w:val="1A1A2E"/>
          <w:spacing w:val="-4"/>
        </w:rPr>
        <w:t> </w:t>
      </w:r>
      <w:r>
        <w:rPr>
          <w:color w:val="1A1A2E"/>
        </w:rPr>
        <w:t>Per</w:t>
      </w:r>
      <w:r>
        <w:rPr>
          <w:color w:val="1A1A2E"/>
          <w:spacing w:val="-4"/>
        </w:rPr>
        <w:t> </w:t>
      </w:r>
      <w:r>
        <w:rPr>
          <w:color w:val="1A1A2E"/>
        </w:rPr>
        <w:t>Order.</w:t>
      </w:r>
      <w:r>
        <w:rPr>
          <w:color w:val="1A1A2E"/>
          <w:spacing w:val="-4"/>
        </w:rPr>
        <w:t> </w:t>
      </w:r>
      <w:r>
        <w:rPr>
          <w:color w:val="1A1A2E"/>
        </w:rPr>
        <w:t>While</w:t>
      </w:r>
      <w:r>
        <w:rPr>
          <w:color w:val="1A1A2E"/>
          <w:spacing w:val="-4"/>
        </w:rPr>
        <w:t> </w:t>
      </w:r>
      <w:r>
        <w:rPr>
          <w:color w:val="1A1A2E"/>
        </w:rPr>
        <w:t>80.7%</w:t>
      </w:r>
      <w:r>
        <w:rPr>
          <w:color w:val="1A1A2E"/>
          <w:spacing w:val="-4"/>
        </w:rPr>
        <w:t> </w:t>
      </w:r>
      <w:r>
        <w:rPr>
          <w:color w:val="1A1A2E"/>
        </w:rPr>
        <w:t>of</w:t>
      </w:r>
      <w:r>
        <w:rPr>
          <w:color w:val="1A1A2E"/>
          <w:spacing w:val="-4"/>
        </w:rPr>
        <w:t> </w:t>
      </w:r>
      <w:r>
        <w:rPr>
          <w:color w:val="1A1A2E"/>
        </w:rPr>
        <w:t>orders are profitable, the 18.7% loss-making share represents a meaningful drag that is disproportionately concentrated among delayed shipments.</w:t>
      </w:r>
    </w:p>
    <w:p>
      <w:pPr>
        <w:pStyle w:val="BodyText"/>
        <w:spacing w:before="47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2398257</wp:posOffset>
            </wp:positionH>
            <wp:positionV relativeFrom="paragraph">
              <wp:posOffset>191459</wp:posOffset>
            </wp:positionV>
            <wp:extent cx="2753469" cy="375046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469" cy="375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spacing w:before="0"/>
        <w:ind w:left="0" w:right="297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3A3A5C"/>
          <w:sz w:val="17"/>
        </w:rPr>
        <w:t>Figure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1: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Profitability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Distribution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—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80.7%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Profit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|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18.7%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Loss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|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0.6%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Break-</w:t>
      </w:r>
      <w:r>
        <w:rPr>
          <w:rFonts w:ascii="Arial" w:hAnsi="Arial"/>
          <w:i/>
          <w:color w:val="3A3A5C"/>
          <w:spacing w:val="-4"/>
          <w:sz w:val="17"/>
        </w:rPr>
        <w:t>even</w:t>
      </w:r>
    </w:p>
    <w:p>
      <w:pPr>
        <w:pStyle w:val="BodyText"/>
        <w:spacing w:before="2"/>
        <w:rPr>
          <w:rFonts w:ascii="Arial"/>
          <w:i/>
          <w:sz w:val="13"/>
        </w:rPr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5500"/>
        <w:gridCol w:w="1740"/>
      </w:tblGrid>
      <w:tr>
        <w:trPr>
          <w:trHeight w:val="359" w:hRule="atLeast"/>
        </w:trPr>
        <w:tc>
          <w:tcPr>
            <w:tcW w:w="2400" w:type="dxa"/>
            <w:shd w:val="clear" w:color="auto" w:fill="1B294A"/>
          </w:tcPr>
          <w:p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Tier</w:t>
            </w:r>
          </w:p>
        </w:tc>
        <w:tc>
          <w:tcPr>
            <w:tcW w:w="5500" w:type="dxa"/>
            <w:shd w:val="clear" w:color="auto" w:fill="1B294A"/>
          </w:tcPr>
          <w:p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Definition</w:t>
            </w:r>
          </w:p>
        </w:tc>
        <w:tc>
          <w:tcPr>
            <w:tcW w:w="1740" w:type="dxa"/>
            <w:shd w:val="clear" w:color="auto" w:fill="1B294A"/>
          </w:tcPr>
          <w:p>
            <w:pPr>
              <w:pStyle w:val="TableParagraph"/>
              <w:spacing w:before="78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Share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spacing w:before="82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Profit</w:t>
            </w:r>
          </w:p>
        </w:tc>
        <w:tc>
          <w:tcPr>
            <w:tcW w:w="5500" w:type="dxa"/>
          </w:tcPr>
          <w:p>
            <w:pPr>
              <w:pStyle w:val="TableParagraph"/>
              <w:spacing w:before="82"/>
              <w:rPr>
                <w:sz w:val="19"/>
              </w:rPr>
            </w:pP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Profit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&gt;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pacing w:val="-10"/>
                <w:sz w:val="19"/>
              </w:rPr>
              <w:t>0</w:t>
            </w:r>
          </w:p>
        </w:tc>
        <w:tc>
          <w:tcPr>
            <w:tcW w:w="1740" w:type="dxa"/>
          </w:tcPr>
          <w:p>
            <w:pPr>
              <w:pStyle w:val="TableParagraph"/>
              <w:spacing w:before="82"/>
              <w:ind w:left="128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80.7%</w:t>
            </w:r>
          </w:p>
        </w:tc>
      </w:tr>
      <w:tr>
        <w:trPr>
          <w:trHeight w:val="360" w:hRule="atLeast"/>
        </w:trPr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85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Loss</w:t>
            </w:r>
          </w:p>
        </w:tc>
        <w:tc>
          <w:tcPr>
            <w:tcW w:w="5500" w:type="dxa"/>
            <w:shd w:val="clear" w:color="auto" w:fill="F4F5F9"/>
          </w:tcPr>
          <w:p>
            <w:pPr>
              <w:pStyle w:val="TableParagraph"/>
              <w:spacing w:before="85"/>
              <w:rPr>
                <w:sz w:val="19"/>
              </w:rPr>
            </w:pP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Profit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&lt;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pacing w:val="-10"/>
                <w:sz w:val="19"/>
              </w:rPr>
              <w:t>0</w:t>
            </w:r>
          </w:p>
        </w:tc>
        <w:tc>
          <w:tcPr>
            <w:tcW w:w="1740" w:type="dxa"/>
            <w:shd w:val="clear" w:color="auto" w:fill="F4F5F9"/>
          </w:tcPr>
          <w:p>
            <w:pPr>
              <w:pStyle w:val="TableParagraph"/>
              <w:spacing w:before="85"/>
              <w:ind w:left="128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18.7%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50"/>
        <w:rPr>
          <w:rFonts w:ascii="Arial"/>
          <w:i/>
        </w:rPr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5500"/>
        <w:gridCol w:w="1740"/>
      </w:tblGrid>
      <w:tr>
        <w:trPr>
          <w:trHeight w:val="359" w:hRule="atLeast"/>
        </w:trPr>
        <w:tc>
          <w:tcPr>
            <w:tcW w:w="2400" w:type="dxa"/>
          </w:tcPr>
          <w:p>
            <w:pPr>
              <w:pStyle w:val="TableParagraph"/>
              <w:spacing w:before="70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Break-</w:t>
            </w:r>
            <w:r>
              <w:rPr>
                <w:color w:val="1A1A2E"/>
                <w:spacing w:val="-4"/>
                <w:sz w:val="19"/>
              </w:rPr>
              <w:t>even</w:t>
            </w:r>
          </w:p>
        </w:tc>
        <w:tc>
          <w:tcPr>
            <w:tcW w:w="5500" w:type="dxa"/>
          </w:tcPr>
          <w:p>
            <w:pPr>
              <w:pStyle w:val="TableParagraph"/>
              <w:spacing w:before="70"/>
              <w:rPr>
                <w:sz w:val="19"/>
              </w:rPr>
            </w:pP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Profit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Per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Order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=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pacing w:val="-10"/>
                <w:sz w:val="19"/>
              </w:rPr>
              <w:t>0</w:t>
            </w:r>
          </w:p>
        </w:tc>
        <w:tc>
          <w:tcPr>
            <w:tcW w:w="1740" w:type="dxa"/>
          </w:tcPr>
          <w:p>
            <w:pPr>
              <w:pStyle w:val="TableParagraph"/>
              <w:spacing w:before="70"/>
              <w:ind w:left="128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0.6%</w:t>
            </w:r>
          </w:p>
        </w:tc>
      </w:tr>
    </w:tbl>
    <w:p>
      <w:pPr>
        <w:pStyle w:val="BodyText"/>
        <w:spacing w:before="173"/>
        <w:rPr>
          <w:rFonts w:ascii="Arial"/>
          <w:i/>
          <w:sz w:val="24"/>
        </w:rPr>
      </w:pPr>
    </w:p>
    <w:p>
      <w:pPr>
        <w:pStyle w:val="Heading2"/>
        <w:numPr>
          <w:ilvl w:val="1"/>
          <w:numId w:val="2"/>
        </w:numPr>
        <w:tabs>
          <w:tab w:pos="608" w:val="left" w:leader="none"/>
        </w:tabs>
        <w:spacing w:line="240" w:lineRule="auto" w:before="0" w:after="0"/>
        <w:ind w:left="608" w:right="0" w:hanging="467"/>
        <w:jc w:val="left"/>
      </w:pPr>
      <w:bookmarkStart w:name="4.2  Delay Distribution &amp; Profit vs. Del" w:id="8"/>
      <w:bookmarkEnd w:id="8"/>
      <w:r>
        <w:rPr>
          <w:b w:val="0"/>
        </w:rPr>
      </w:r>
      <w:r>
        <w:rPr>
          <w:color w:val="2E8B79"/>
        </w:rPr>
        <w:t>Delay Distribution &amp; Profit vs. Delay </w:t>
      </w:r>
      <w:r>
        <w:rPr>
          <w:color w:val="2E8B79"/>
          <w:spacing w:val="-4"/>
        </w:rPr>
        <w:t>Days</w:t>
      </w:r>
    </w:p>
    <w:p>
      <w:pPr>
        <w:pStyle w:val="BodyText"/>
        <w:spacing w:before="80"/>
        <w:ind w:left="141" w:right="392"/>
      </w:pPr>
      <w:r>
        <w:rPr>
          <w:color w:val="1A1A2E"/>
        </w:rPr>
        <w:t>The delay distribution shows that 31.0% of all orders arrive exactly 1 day late the single largest cohort. Combined,</w:t>
      </w:r>
      <w:r>
        <w:rPr>
          <w:color w:val="1A1A2E"/>
          <w:spacing w:val="-3"/>
        </w:rPr>
        <w:t> </w:t>
      </w:r>
      <w:r>
        <w:rPr>
          <w:color w:val="1A1A2E"/>
        </w:rPr>
        <w:t>orders</w:t>
      </w:r>
      <w:r>
        <w:rPr>
          <w:color w:val="1A1A2E"/>
          <w:spacing w:val="-3"/>
        </w:rPr>
        <w:t> </w:t>
      </w:r>
      <w:r>
        <w:rPr>
          <w:color w:val="1A1A2E"/>
        </w:rPr>
        <w:t>delayed</w:t>
      </w:r>
      <w:r>
        <w:rPr>
          <w:color w:val="1A1A2E"/>
          <w:spacing w:val="-3"/>
        </w:rPr>
        <w:t> </w:t>
      </w:r>
      <w:r>
        <w:rPr>
          <w:color w:val="1A1A2E"/>
        </w:rPr>
        <w:t>by</w:t>
      </w:r>
      <w:r>
        <w:rPr>
          <w:color w:val="1A1A2E"/>
          <w:spacing w:val="-3"/>
        </w:rPr>
        <w:t> </w:t>
      </w:r>
      <w:r>
        <w:rPr>
          <w:color w:val="1A1A2E"/>
        </w:rPr>
        <w:t>1–4</w:t>
      </w:r>
      <w:r>
        <w:rPr>
          <w:color w:val="1A1A2E"/>
          <w:spacing w:val="-3"/>
        </w:rPr>
        <w:t> </w:t>
      </w:r>
      <w:r>
        <w:rPr>
          <w:color w:val="1A1A2E"/>
        </w:rPr>
        <w:t>days</w:t>
      </w:r>
      <w:r>
        <w:rPr>
          <w:color w:val="1A1A2E"/>
          <w:spacing w:val="-3"/>
        </w:rPr>
        <w:t> </w:t>
      </w:r>
      <w:r>
        <w:rPr>
          <w:color w:val="1A1A2E"/>
        </w:rPr>
        <w:t>account</w:t>
      </w:r>
      <w:r>
        <w:rPr>
          <w:color w:val="1A1A2E"/>
          <w:spacing w:val="-3"/>
        </w:rPr>
        <w:t> </w:t>
      </w:r>
      <w:r>
        <w:rPr>
          <w:color w:val="1A1A2E"/>
        </w:rPr>
        <w:t>for</w:t>
      </w:r>
      <w:r>
        <w:rPr>
          <w:color w:val="1A1A2E"/>
          <w:spacing w:val="-3"/>
        </w:rPr>
        <w:t> </w:t>
      </w:r>
      <w:r>
        <w:rPr>
          <w:color w:val="1A1A2E"/>
        </w:rPr>
        <w:t>54.7%</w:t>
      </w:r>
      <w:r>
        <w:rPr>
          <w:color w:val="1A1A2E"/>
          <w:spacing w:val="-3"/>
        </w:rPr>
        <w:t> </w:t>
      </w:r>
      <w:r>
        <w:rPr>
          <w:color w:val="1A1A2E"/>
        </w:rPr>
        <w:t>of</w:t>
      </w:r>
      <w:r>
        <w:rPr>
          <w:color w:val="1A1A2E"/>
          <w:spacing w:val="-3"/>
        </w:rPr>
        <w:t> </w:t>
      </w:r>
      <w:r>
        <w:rPr>
          <w:color w:val="1A1A2E"/>
        </w:rPr>
        <w:t>all</w:t>
      </w:r>
      <w:r>
        <w:rPr>
          <w:color w:val="1A1A2E"/>
          <w:spacing w:val="-3"/>
        </w:rPr>
        <w:t> </w:t>
      </w:r>
      <w:r>
        <w:rPr>
          <w:color w:val="1A1A2E"/>
        </w:rPr>
        <w:t>order</w:t>
      </w:r>
      <w:r>
        <w:rPr>
          <w:color w:val="1A1A2E"/>
          <w:spacing w:val="-3"/>
        </w:rPr>
        <w:t> </w:t>
      </w:r>
      <w:r>
        <w:rPr>
          <w:color w:val="1A1A2E"/>
        </w:rPr>
        <w:t>volume,</w:t>
      </w:r>
      <w:r>
        <w:rPr>
          <w:color w:val="1A1A2E"/>
          <w:spacing w:val="-3"/>
        </w:rPr>
        <w:t> </w:t>
      </w:r>
      <w:r>
        <w:rPr>
          <w:color w:val="1A1A2E"/>
        </w:rPr>
        <w:t>directly</w:t>
      </w:r>
      <w:r>
        <w:rPr>
          <w:color w:val="1A1A2E"/>
          <w:spacing w:val="-3"/>
        </w:rPr>
        <w:t> </w:t>
      </w:r>
      <w:r>
        <w:rPr>
          <w:color w:val="1A1A2E"/>
        </w:rPr>
        <w:t>mapping</w:t>
      </w:r>
      <w:r>
        <w:rPr>
          <w:color w:val="1A1A2E"/>
          <w:spacing w:val="-3"/>
        </w:rPr>
        <w:t> </w:t>
      </w:r>
      <w:r>
        <w:rPr>
          <w:color w:val="1A1A2E"/>
        </w:rPr>
        <w:t>to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overall late delivery rate.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789447</wp:posOffset>
            </wp:positionH>
            <wp:positionV relativeFrom="paragraph">
              <wp:posOffset>149346</wp:posOffset>
            </wp:positionV>
            <wp:extent cx="6212695" cy="221694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695" cy="221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6"/>
        <w:ind w:left="0" w:right="297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A3A5C"/>
          <w:sz w:val="17"/>
        </w:rPr>
        <w:t>Figure</w:t>
      </w:r>
      <w:r>
        <w:rPr>
          <w:rFonts w:ascii="Arial"/>
          <w:i/>
          <w:color w:val="3A3A5C"/>
          <w:spacing w:val="-8"/>
          <w:sz w:val="17"/>
        </w:rPr>
        <w:t> </w:t>
      </w:r>
      <w:r>
        <w:rPr>
          <w:rFonts w:ascii="Arial"/>
          <w:i/>
          <w:color w:val="3A3A5C"/>
          <w:sz w:val="17"/>
        </w:rPr>
        <w:t>2: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Delay</w:t>
      </w:r>
      <w:r>
        <w:rPr>
          <w:rFonts w:ascii="Arial"/>
          <w:i/>
          <w:color w:val="3A3A5C"/>
          <w:spacing w:val="-6"/>
          <w:sz w:val="17"/>
        </w:rPr>
        <w:t> </w:t>
      </w:r>
      <w:r>
        <w:rPr>
          <w:rFonts w:ascii="Arial"/>
          <w:i/>
          <w:color w:val="3A3A5C"/>
          <w:sz w:val="17"/>
        </w:rPr>
        <w:t>Distribution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(left)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and</w:t>
      </w:r>
      <w:r>
        <w:rPr>
          <w:rFonts w:ascii="Arial"/>
          <w:i/>
          <w:color w:val="3A3A5C"/>
          <w:spacing w:val="-6"/>
          <w:sz w:val="17"/>
        </w:rPr>
        <w:t> </w:t>
      </w:r>
      <w:r>
        <w:rPr>
          <w:rFonts w:ascii="Arial"/>
          <w:i/>
          <w:color w:val="3A3A5C"/>
          <w:sz w:val="17"/>
        </w:rPr>
        <w:t>Profit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Analysis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by</w:t>
      </w:r>
      <w:r>
        <w:rPr>
          <w:rFonts w:ascii="Arial"/>
          <w:i/>
          <w:color w:val="3A3A5C"/>
          <w:spacing w:val="-6"/>
          <w:sz w:val="17"/>
        </w:rPr>
        <w:t> </w:t>
      </w:r>
      <w:r>
        <w:rPr>
          <w:rFonts w:ascii="Arial"/>
          <w:i/>
          <w:color w:val="3A3A5C"/>
          <w:sz w:val="17"/>
        </w:rPr>
        <w:t>Delay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z w:val="17"/>
        </w:rPr>
        <w:t>Days</w:t>
      </w:r>
      <w:r>
        <w:rPr>
          <w:rFonts w:ascii="Arial"/>
          <w:i/>
          <w:color w:val="3A3A5C"/>
          <w:spacing w:val="-5"/>
          <w:sz w:val="17"/>
        </w:rPr>
        <w:t> </w:t>
      </w:r>
      <w:r>
        <w:rPr>
          <w:rFonts w:ascii="Arial"/>
          <w:i/>
          <w:color w:val="3A3A5C"/>
          <w:spacing w:val="-2"/>
          <w:sz w:val="17"/>
        </w:rPr>
        <w:t>(right)</w:t>
      </w:r>
    </w:p>
    <w:p>
      <w:pPr>
        <w:pStyle w:val="BodyText"/>
        <w:spacing w:before="160"/>
        <w:ind w:left="141" w:right="481"/>
      </w:pPr>
      <w:r>
        <w:rPr>
          <w:color w:val="1A1A2E"/>
        </w:rPr>
        <w:t>A</w:t>
      </w:r>
      <w:r>
        <w:rPr>
          <w:color w:val="1A1A2E"/>
          <w:spacing w:val="-3"/>
        </w:rPr>
        <w:t> </w:t>
      </w:r>
      <w:r>
        <w:rPr>
          <w:color w:val="1A1A2E"/>
        </w:rPr>
        <w:t>critical</w:t>
      </w:r>
      <w:r>
        <w:rPr>
          <w:color w:val="1A1A2E"/>
          <w:spacing w:val="-3"/>
        </w:rPr>
        <w:t> </w:t>
      </w:r>
      <w:r>
        <w:rPr>
          <w:color w:val="1A1A2E"/>
        </w:rPr>
        <w:t>observation:</w:t>
      </w:r>
      <w:r>
        <w:rPr>
          <w:color w:val="1A1A2E"/>
          <w:spacing w:val="-3"/>
        </w:rPr>
        <w:t> </w:t>
      </w:r>
      <w:r>
        <w:rPr>
          <w:color w:val="1A1A2E"/>
        </w:rPr>
        <w:t>mean</w:t>
      </w:r>
      <w:r>
        <w:rPr>
          <w:color w:val="1A1A2E"/>
          <w:spacing w:val="-3"/>
        </w:rPr>
        <w:t> </w:t>
      </w:r>
      <w:r>
        <w:rPr>
          <w:color w:val="1A1A2E"/>
        </w:rPr>
        <w:t>profit</w:t>
      </w:r>
      <w:r>
        <w:rPr>
          <w:color w:val="1A1A2E"/>
          <w:spacing w:val="-3"/>
        </w:rPr>
        <w:t> </w:t>
      </w:r>
      <w:r>
        <w:rPr>
          <w:color w:val="1A1A2E"/>
        </w:rPr>
        <w:t>per</w:t>
      </w:r>
      <w:r>
        <w:rPr>
          <w:color w:val="1A1A2E"/>
          <w:spacing w:val="-3"/>
        </w:rPr>
        <w:t> </w:t>
      </w:r>
      <w:r>
        <w:rPr>
          <w:color w:val="1A1A2E"/>
        </w:rPr>
        <w:t>order</w:t>
      </w:r>
      <w:r>
        <w:rPr>
          <w:color w:val="1A1A2E"/>
          <w:spacing w:val="-3"/>
        </w:rPr>
        <w:t> </w:t>
      </w:r>
      <w:r>
        <w:rPr>
          <w:color w:val="1A1A2E"/>
        </w:rPr>
        <w:t>remains</w:t>
      </w:r>
      <w:r>
        <w:rPr>
          <w:color w:val="1A1A2E"/>
          <w:spacing w:val="-3"/>
        </w:rPr>
        <w:t> </w:t>
      </w:r>
      <w:r>
        <w:rPr>
          <w:color w:val="1A1A2E"/>
        </w:rPr>
        <w:t>stable</w:t>
      </w:r>
      <w:r>
        <w:rPr>
          <w:color w:val="1A1A2E"/>
          <w:spacing w:val="-3"/>
        </w:rPr>
        <w:t> </w:t>
      </w:r>
      <w:r>
        <w:rPr>
          <w:color w:val="1A1A2E"/>
        </w:rPr>
        <w:t>at</w:t>
      </w:r>
      <w:r>
        <w:rPr>
          <w:color w:val="1A1A2E"/>
          <w:spacing w:val="-3"/>
        </w:rPr>
        <w:t> </w:t>
      </w:r>
      <w:r>
        <w:rPr>
          <w:color w:val="1A1A2E"/>
        </w:rPr>
        <w:t>approximately</w:t>
      </w:r>
      <w:r>
        <w:rPr>
          <w:color w:val="1A1A2E"/>
          <w:spacing w:val="-3"/>
        </w:rPr>
        <w:t> </w:t>
      </w:r>
      <w:r>
        <w:rPr>
          <w:color w:val="1A1A2E"/>
        </w:rPr>
        <w:t>$20–$23</w:t>
      </w:r>
      <w:r>
        <w:rPr>
          <w:color w:val="1A1A2E"/>
          <w:spacing w:val="-3"/>
        </w:rPr>
        <w:t> </w:t>
      </w:r>
      <w:r>
        <w:rPr>
          <w:color w:val="1A1A2E"/>
        </w:rPr>
        <w:t>across</w:t>
      </w:r>
      <w:r>
        <w:rPr>
          <w:color w:val="1A1A2E"/>
          <w:spacing w:val="-3"/>
        </w:rPr>
        <w:t> </w:t>
      </w:r>
      <w:r>
        <w:rPr>
          <w:color w:val="1A1A2E"/>
        </w:rPr>
        <w:t>all</w:t>
      </w:r>
      <w:r>
        <w:rPr>
          <w:color w:val="1A1A2E"/>
          <w:spacing w:val="-3"/>
        </w:rPr>
        <w:t> </w:t>
      </w:r>
      <w:r>
        <w:rPr>
          <w:color w:val="1A1A2E"/>
        </w:rPr>
        <w:t>delay</w:t>
      </w:r>
      <w:r>
        <w:rPr>
          <w:color w:val="1A1A2E"/>
          <w:spacing w:val="-3"/>
        </w:rPr>
        <w:t> </w:t>
      </w:r>
      <w:r>
        <w:rPr>
          <w:color w:val="1A1A2E"/>
        </w:rPr>
        <w:t>levels. The profitability problem is therefore driven by volume of delayed orders, not by individual order economics making systemic throughput improvement the highest-leverage intervention.</w:t>
      </w:r>
    </w:p>
    <w:p>
      <w:pPr>
        <w:pStyle w:val="BodyText"/>
        <w:spacing w:before="50"/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53"/>
        <w:jc w:val="left"/>
      </w:pPr>
      <w:bookmarkStart w:name="5. Bottleneck Detection " w:id="9"/>
      <w:bookmarkEnd w:id="9"/>
      <w:r>
        <w:rPr>
          <w:b w:val="0"/>
        </w:rPr>
      </w:r>
      <w:r>
        <w:rPr>
          <w:color w:val="1B294A"/>
        </w:rPr>
        <w:t>Bottleneck</w:t>
      </w:r>
      <w:r>
        <w:rPr>
          <w:color w:val="1B294A"/>
          <w:spacing w:val="-10"/>
        </w:rPr>
        <w:t> </w:t>
      </w:r>
      <w:r>
        <w:rPr>
          <w:color w:val="1B294A"/>
          <w:spacing w:val="-2"/>
        </w:rPr>
        <w:t>Detection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723899</wp:posOffset>
                </wp:positionH>
                <wp:positionV relativeFrom="paragraph">
                  <wp:posOffset>50984</wp:posOffset>
                </wp:positionV>
                <wp:extent cx="6121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4.014519pt;width:482pt;height:.1pt;mso-position-horizontal-relative:page;mso-position-vertical-relative:paragraph;z-index:-15725056;mso-wrap-distance-left:0;mso-wrap-distance-right:0" id="docshape10" coordorigin="1140,80" coordsize="9640,0" path="m1140,80l10780,80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ind w:left="141"/>
      </w:pPr>
      <w:r>
        <w:rPr>
          <w:color w:val="1A1A2E"/>
        </w:rPr>
        <w:t>Delay</w:t>
      </w:r>
      <w:r>
        <w:rPr>
          <w:color w:val="1A1A2E"/>
          <w:spacing w:val="-3"/>
        </w:rPr>
        <w:t> </w:t>
      </w:r>
      <w:r>
        <w:rPr>
          <w:color w:val="1A1A2E"/>
        </w:rPr>
        <w:t>percentage</w:t>
      </w:r>
      <w:r>
        <w:rPr>
          <w:color w:val="1A1A2E"/>
          <w:spacing w:val="-3"/>
        </w:rPr>
        <w:t> </w:t>
      </w:r>
      <w:r>
        <w:rPr>
          <w:color w:val="1A1A2E"/>
        </w:rPr>
        <w:t>was</w:t>
      </w:r>
      <w:r>
        <w:rPr>
          <w:color w:val="1A1A2E"/>
          <w:spacing w:val="-3"/>
        </w:rPr>
        <w:t> </w:t>
      </w:r>
      <w:r>
        <w:rPr>
          <w:color w:val="1A1A2E"/>
        </w:rPr>
        <w:t>computed</w:t>
      </w:r>
      <w:r>
        <w:rPr>
          <w:color w:val="1A1A2E"/>
          <w:spacing w:val="-3"/>
        </w:rPr>
        <w:t> </w:t>
      </w:r>
      <w:r>
        <w:rPr>
          <w:color w:val="1A1A2E"/>
        </w:rPr>
        <w:t>across</w:t>
      </w:r>
      <w:r>
        <w:rPr>
          <w:color w:val="1A1A2E"/>
          <w:spacing w:val="-3"/>
        </w:rPr>
        <w:t> </w:t>
      </w:r>
      <w:r>
        <w:rPr>
          <w:color w:val="1A1A2E"/>
        </w:rPr>
        <w:t>six</w:t>
      </w:r>
      <w:r>
        <w:rPr>
          <w:color w:val="1A1A2E"/>
          <w:spacing w:val="-3"/>
        </w:rPr>
        <w:t> </w:t>
      </w:r>
      <w:r>
        <w:rPr>
          <w:color w:val="1A1A2E"/>
        </w:rPr>
        <w:t>key</w:t>
      </w:r>
      <w:r>
        <w:rPr>
          <w:color w:val="1A1A2E"/>
          <w:spacing w:val="-3"/>
        </w:rPr>
        <w:t> </w:t>
      </w:r>
      <w:r>
        <w:rPr>
          <w:color w:val="1A1A2E"/>
        </w:rPr>
        <w:t>operational</w:t>
      </w:r>
      <w:r>
        <w:rPr>
          <w:color w:val="1A1A2E"/>
          <w:spacing w:val="-3"/>
        </w:rPr>
        <w:t> </w:t>
      </w:r>
      <w:r>
        <w:rPr>
          <w:color w:val="1A1A2E"/>
        </w:rPr>
        <w:t>dimensions.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charts</w:t>
      </w:r>
      <w:r>
        <w:rPr>
          <w:color w:val="1A1A2E"/>
          <w:spacing w:val="-3"/>
        </w:rPr>
        <w:t> </w:t>
      </w:r>
      <w:r>
        <w:rPr>
          <w:color w:val="1A1A2E"/>
        </w:rPr>
        <w:t>below</w:t>
      </w:r>
      <w:r>
        <w:rPr>
          <w:color w:val="1A1A2E"/>
          <w:spacing w:val="-3"/>
        </w:rPr>
        <w:t> </w:t>
      </w:r>
      <w:r>
        <w:rPr>
          <w:color w:val="1A1A2E"/>
        </w:rPr>
        <w:t>reveal</w:t>
      </w:r>
      <w:r>
        <w:rPr>
          <w:color w:val="1A1A2E"/>
          <w:spacing w:val="-3"/>
        </w:rPr>
        <w:t> </w:t>
      </w:r>
      <w:r>
        <w:rPr>
          <w:color w:val="1A1A2E"/>
        </w:rPr>
        <w:t>where</w:t>
      </w:r>
      <w:r>
        <w:rPr>
          <w:color w:val="1A1A2E"/>
          <w:spacing w:val="-3"/>
        </w:rPr>
        <w:t> </w:t>
      </w:r>
      <w:r>
        <w:rPr>
          <w:color w:val="1A1A2E"/>
        </w:rPr>
        <w:t>the fulfilment process breaks down most severely.</w:t>
      </w:r>
    </w:p>
    <w:p>
      <w:pPr>
        <w:pStyle w:val="BodyText"/>
      </w:pP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787272</wp:posOffset>
            </wp:positionH>
            <wp:positionV relativeFrom="paragraph">
              <wp:posOffset>188989</wp:posOffset>
            </wp:positionV>
            <wp:extent cx="6259257" cy="337908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257" cy="337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84"/>
        <w:rPr>
          <w:sz w:val="17"/>
        </w:rPr>
      </w:pPr>
    </w:p>
    <w:p>
      <w:pPr>
        <w:spacing w:before="0"/>
        <w:ind w:left="4516" w:right="0" w:hanging="4037"/>
        <w:jc w:val="left"/>
        <w:rPr>
          <w:rFonts w:ascii="Arial" w:hAnsi="Arial"/>
          <w:i/>
          <w:sz w:val="17"/>
        </w:rPr>
      </w:pPr>
      <w:bookmarkStart w:name=" " w:id="10"/>
      <w:bookmarkEnd w:id="10"/>
      <w:r>
        <w:rPr/>
      </w:r>
      <w:bookmarkStart w:name=" " w:id="11"/>
      <w:bookmarkEnd w:id="11"/>
      <w:r>
        <w:rPr/>
      </w:r>
      <w:r>
        <w:rPr>
          <w:rFonts w:ascii="Arial" w:hAnsi="Arial"/>
          <w:i/>
          <w:color w:val="3A3A5C"/>
          <w:sz w:val="17"/>
        </w:rPr>
        <w:t>Figure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3: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Delay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%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across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six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operational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categories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—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Region,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Segment,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Shipping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Mode,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Order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Status,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Payment</w:t>
      </w:r>
      <w:r>
        <w:rPr>
          <w:rFonts w:ascii="Arial" w:hAnsi="Arial"/>
          <w:i/>
          <w:color w:val="3A3A5C"/>
          <w:spacing w:val="-4"/>
          <w:sz w:val="17"/>
        </w:rPr>
        <w:t> </w:t>
      </w:r>
      <w:r>
        <w:rPr>
          <w:rFonts w:ascii="Arial" w:hAnsi="Arial"/>
          <w:i/>
          <w:color w:val="3A3A5C"/>
          <w:sz w:val="17"/>
        </w:rPr>
        <w:t>Type, </w:t>
      </w:r>
      <w:r>
        <w:rPr>
          <w:rFonts w:ascii="Arial" w:hAnsi="Arial"/>
          <w:i/>
          <w:color w:val="3A3A5C"/>
          <w:spacing w:val="-2"/>
          <w:sz w:val="17"/>
        </w:rPr>
        <w:t>Department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4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2" w:val="left" w:leader="none"/>
              </w:tabs>
              <w:spacing w:line="240" w:lineRule="auto" w:before="101" w:after="0"/>
              <w:ind w:left="126" w:right="152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Shipping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Mode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is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the #1 Lever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1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First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Class: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100%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delay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rate.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Second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Class: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79.8%.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Standard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Class: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39.8%.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Same Day: 0%. The mode assignment logic is the most impactful single variable to fix.</w:t>
            </w:r>
          </w:p>
        </w:tc>
      </w:tr>
    </w:tbl>
    <w:p>
      <w:pPr>
        <w:pStyle w:val="BodyText"/>
        <w:spacing w:before="90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4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92" w:val="left" w:leader="none"/>
              </w:tabs>
              <w:spacing w:line="240" w:lineRule="auto" w:before="108" w:after="0"/>
              <w:ind w:left="126" w:right="352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Regional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Spread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is Narrow (55–59%)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8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Central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Africa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leads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58.7%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but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all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regions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cluster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between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55–59%.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This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rules out a localised logistics failure and confirms a company-wide systemic issue.</w:t>
            </w:r>
          </w:p>
        </w:tc>
      </w:tr>
    </w:tbl>
    <w:p>
      <w:pPr>
        <w:pStyle w:val="BodyText"/>
        <w:spacing w:before="90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86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92" w:val="left" w:leader="none"/>
              </w:tabs>
              <w:spacing w:line="240" w:lineRule="auto" w:before="115" w:after="0"/>
              <w:ind w:left="126" w:right="215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Customer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Segments Nearly Identical</w:t>
            </w:r>
          </w:p>
          <w:p>
            <w:pPr>
              <w:pStyle w:val="TableParagraph"/>
              <w:ind w:left="12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(54.5–55.4%)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15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No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segment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receives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preferential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service.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All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customers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Consumer,</w:t>
            </w:r>
            <w:r>
              <w:rPr>
                <w:color w:val="3A3A5C"/>
                <w:spacing w:val="-7"/>
                <w:sz w:val="19"/>
              </w:rPr>
              <w:t> </w:t>
            </w:r>
            <w:r>
              <w:rPr>
                <w:color w:val="3A3A5C"/>
                <w:sz w:val="19"/>
              </w:rPr>
              <w:t>Corporate, Home Office experience the same broken delivery promise.</w:t>
            </w:r>
          </w:p>
        </w:tc>
      </w:tr>
    </w:tbl>
    <w:p>
      <w:pPr>
        <w:pStyle w:val="BodyText"/>
        <w:spacing w:before="110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105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92" w:val="left" w:leader="none"/>
              </w:tabs>
              <w:spacing w:line="240" w:lineRule="auto" w:before="100" w:after="0"/>
              <w:ind w:left="126" w:right="298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Health &amp; Beauty (56.9%)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and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Pet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Shop (56.6%) Lead by </w:t>
            </w: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Department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0"/>
              <w:ind w:left="149" w:right="445"/>
              <w:rPr>
                <w:sz w:val="19"/>
              </w:rPr>
            </w:pPr>
            <w:r>
              <w:rPr>
                <w:color w:val="3A3A5C"/>
                <w:sz w:val="19"/>
              </w:rPr>
              <w:t>These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departments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marginally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outpace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others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delay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rate,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warranting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an inventory and carrier audit for these product categories.</w:t>
            </w:r>
          </w:p>
        </w:tc>
      </w:tr>
    </w:tbl>
    <w:p>
      <w:pPr>
        <w:pStyle w:val="BodyText"/>
        <w:spacing w:before="157"/>
        <w:rPr>
          <w:rFonts w:ascii="Arial"/>
          <w:i/>
          <w:sz w:val="32"/>
        </w:rPr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53"/>
        <w:jc w:val="left"/>
      </w:pPr>
      <w:bookmarkStart w:name="6. Root Cause Analysis  " w:id="12"/>
      <w:bookmarkEnd w:id="12"/>
      <w:r>
        <w:rPr>
          <w:b w:val="0"/>
        </w:rPr>
      </w:r>
      <w:r>
        <w:rPr>
          <w:color w:val="1B294A"/>
        </w:rPr>
        <w:t>Root</w:t>
      </w:r>
      <w:r>
        <w:rPr>
          <w:color w:val="1B294A"/>
          <w:spacing w:val="-5"/>
        </w:rPr>
        <w:t> </w:t>
      </w:r>
      <w:r>
        <w:rPr>
          <w:color w:val="1B294A"/>
        </w:rPr>
        <w:t>Cause</w:t>
      </w:r>
      <w:r>
        <w:rPr>
          <w:color w:val="1B294A"/>
          <w:spacing w:val="-4"/>
        </w:rPr>
        <w:t> </w:t>
      </w:r>
      <w:r>
        <w:rPr>
          <w:color w:val="1B294A"/>
          <w:spacing w:val="-2"/>
        </w:rPr>
        <w:t>Analysis</w:t>
      </w:r>
    </w:p>
    <w:p>
      <w:pPr>
        <w:pStyle w:val="BodyText"/>
        <w:spacing w:before="280"/>
        <w:ind w:left="141" w:right="481"/>
      </w:pPr>
      <w:bookmarkStart w:name="Central Africa was selected for deep-div" w:id="13"/>
      <w:bookmarkEnd w:id="13"/>
      <w:r>
        <w:rPr/>
      </w:r>
      <w:r>
        <w:rPr>
          <w:color w:val="1A1A2E"/>
        </w:rPr>
        <w:t>Central</w:t>
      </w:r>
      <w:r>
        <w:rPr>
          <w:color w:val="1A1A2E"/>
          <w:spacing w:val="-3"/>
        </w:rPr>
        <w:t> </w:t>
      </w:r>
      <w:r>
        <w:rPr>
          <w:color w:val="1A1A2E"/>
        </w:rPr>
        <w:t>Africa</w:t>
      </w:r>
      <w:r>
        <w:rPr>
          <w:color w:val="1A1A2E"/>
          <w:spacing w:val="-3"/>
        </w:rPr>
        <w:t> </w:t>
      </w:r>
      <w:r>
        <w:rPr>
          <w:color w:val="1A1A2E"/>
        </w:rPr>
        <w:t>was</w:t>
      </w:r>
      <w:r>
        <w:rPr>
          <w:color w:val="1A1A2E"/>
          <w:spacing w:val="-3"/>
        </w:rPr>
        <w:t> </w:t>
      </w:r>
      <w:r>
        <w:rPr>
          <w:color w:val="1A1A2E"/>
        </w:rPr>
        <w:t>selected</w:t>
      </w:r>
      <w:r>
        <w:rPr>
          <w:color w:val="1A1A2E"/>
          <w:spacing w:val="-3"/>
        </w:rPr>
        <w:t> </w:t>
      </w:r>
      <w:r>
        <w:rPr>
          <w:color w:val="1A1A2E"/>
        </w:rPr>
        <w:t>for</w:t>
      </w:r>
      <w:r>
        <w:rPr>
          <w:color w:val="1A1A2E"/>
          <w:spacing w:val="-3"/>
        </w:rPr>
        <w:t> </w:t>
      </w:r>
      <w:r>
        <w:rPr>
          <w:color w:val="1A1A2E"/>
        </w:rPr>
        <w:t>deep-dive</w:t>
      </w:r>
      <w:r>
        <w:rPr>
          <w:color w:val="1A1A2E"/>
          <w:spacing w:val="-3"/>
        </w:rPr>
        <w:t> </w:t>
      </w:r>
      <w:r>
        <w:rPr>
          <w:color w:val="1A1A2E"/>
        </w:rPr>
        <w:t>root</w:t>
      </w:r>
      <w:r>
        <w:rPr>
          <w:color w:val="1A1A2E"/>
          <w:spacing w:val="-3"/>
        </w:rPr>
        <w:t> </w:t>
      </w:r>
      <w:r>
        <w:rPr>
          <w:color w:val="1A1A2E"/>
        </w:rPr>
        <w:t>cause</w:t>
      </w:r>
      <w:r>
        <w:rPr>
          <w:color w:val="1A1A2E"/>
          <w:spacing w:val="-3"/>
        </w:rPr>
        <w:t> </w:t>
      </w:r>
      <w:r>
        <w:rPr>
          <w:color w:val="1A1A2E"/>
        </w:rPr>
        <w:t>analysis</w:t>
      </w:r>
      <w:r>
        <w:rPr>
          <w:color w:val="1A1A2E"/>
          <w:spacing w:val="-3"/>
        </w:rPr>
        <w:t> </w:t>
      </w:r>
      <w:r>
        <w:rPr>
          <w:color w:val="1A1A2E"/>
        </w:rPr>
        <w:t>as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highest-delay</w:t>
      </w:r>
      <w:r>
        <w:rPr>
          <w:color w:val="1A1A2E"/>
          <w:spacing w:val="-3"/>
        </w:rPr>
        <w:t> </w:t>
      </w:r>
      <w:r>
        <w:rPr>
          <w:color w:val="1A1A2E"/>
        </w:rPr>
        <w:t>region</w:t>
      </w:r>
      <w:r>
        <w:rPr>
          <w:color w:val="1A1A2E"/>
          <w:spacing w:val="-3"/>
        </w:rPr>
        <w:t> </w:t>
      </w:r>
      <w:r>
        <w:rPr>
          <w:color w:val="1A1A2E"/>
        </w:rPr>
        <w:t>(58.7%).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chart below ranks the top 10 driver factors by delay percentage within this region.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723899</wp:posOffset>
                </wp:positionH>
                <wp:positionV relativeFrom="paragraph">
                  <wp:posOffset>49600</wp:posOffset>
                </wp:positionV>
                <wp:extent cx="6121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3.905565pt;width:482pt;height:.1pt;mso-position-horizontal-relative:page;mso-position-vertical-relative:paragraph;z-index:-15724032;mso-wrap-distance-left:0;mso-wrap-distance-right:0" id="docshape11" coordorigin="1140,78" coordsize="9640,0" path="m1140,78l10780,78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815159</wp:posOffset>
            </wp:positionH>
            <wp:positionV relativeFrom="paragraph">
              <wp:posOffset>211415</wp:posOffset>
            </wp:positionV>
            <wp:extent cx="6232371" cy="333517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371" cy="3335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9"/>
        </w:rPr>
      </w:pPr>
    </w:p>
    <w:p>
      <w:pPr>
        <w:spacing w:before="192"/>
        <w:ind w:left="0" w:right="297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3A3A5C"/>
          <w:sz w:val="17"/>
        </w:rPr>
        <w:t>Figure</w:t>
      </w:r>
      <w:r>
        <w:rPr>
          <w:rFonts w:ascii="Arial" w:hAnsi="Arial"/>
          <w:i/>
          <w:color w:val="3A3A5C"/>
          <w:spacing w:val="-8"/>
          <w:sz w:val="17"/>
        </w:rPr>
        <w:t> </w:t>
      </w:r>
      <w:r>
        <w:rPr>
          <w:rFonts w:ascii="Arial" w:hAnsi="Arial"/>
          <w:i/>
          <w:color w:val="3A3A5C"/>
          <w:sz w:val="17"/>
        </w:rPr>
        <w:t>4: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Top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10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Drivers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of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Late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Delivery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in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Central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Africa</w:t>
      </w:r>
      <w:r>
        <w:rPr>
          <w:rFonts w:ascii="Arial" w:hAnsi="Arial"/>
          <w:i/>
          <w:color w:val="3A3A5C"/>
          <w:spacing w:val="-6"/>
          <w:sz w:val="17"/>
        </w:rPr>
        <w:t> </w:t>
      </w:r>
      <w:r>
        <w:rPr>
          <w:rFonts w:ascii="Arial" w:hAnsi="Arial"/>
          <w:i/>
          <w:color w:val="3A3A5C"/>
          <w:sz w:val="17"/>
        </w:rPr>
        <w:t>—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ranked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by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z w:val="17"/>
        </w:rPr>
        <w:t>delay</w:t>
      </w:r>
      <w:r>
        <w:rPr>
          <w:rFonts w:ascii="Arial" w:hAnsi="Arial"/>
          <w:i/>
          <w:color w:val="3A3A5C"/>
          <w:spacing w:val="-5"/>
          <w:sz w:val="17"/>
        </w:rPr>
        <w:t> </w:t>
      </w:r>
      <w:r>
        <w:rPr>
          <w:rFonts w:ascii="Arial" w:hAnsi="Arial"/>
          <w:i/>
          <w:color w:val="3A3A5C"/>
          <w:spacing w:val="-2"/>
          <w:sz w:val="17"/>
        </w:rPr>
        <w:t>percentage</w:t>
      </w:r>
    </w:p>
    <w:p>
      <w:pPr>
        <w:spacing w:after="0"/>
        <w:jc w:val="center"/>
        <w:rPr>
          <w:rFonts w:ascii="Arial" w:hAnsi="Arial"/>
          <w:i/>
          <w:sz w:val="17"/>
        </w:rPr>
        <w:sectPr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2"/>
        <w:rPr>
          <w:rFonts w:ascii="Arial"/>
          <w:i/>
          <w:sz w:val="32"/>
        </w:rPr>
      </w:pPr>
    </w:p>
    <w:p>
      <w:pPr>
        <w:pStyle w:val="Heading1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4" w:right="0" w:hanging="353"/>
        <w:jc w:val="left"/>
      </w:pPr>
      <w:bookmarkStart w:name="7. Time-Based Delay Patterns " w:id="14"/>
      <w:bookmarkEnd w:id="14"/>
      <w:r>
        <w:rPr>
          <w:b w:val="0"/>
        </w:rPr>
      </w:r>
      <w:r>
        <w:rPr>
          <w:color w:val="1B294A"/>
        </w:rPr>
        <w:t>Time-Based</w:t>
      </w:r>
      <w:r>
        <w:rPr>
          <w:color w:val="1B294A"/>
          <w:spacing w:val="-10"/>
        </w:rPr>
        <w:t> </w:t>
      </w:r>
      <w:r>
        <w:rPr>
          <w:color w:val="1B294A"/>
        </w:rPr>
        <w:t>Delay</w:t>
      </w:r>
      <w:r>
        <w:rPr>
          <w:color w:val="1B294A"/>
          <w:spacing w:val="-10"/>
        </w:rPr>
        <w:t> </w:t>
      </w:r>
      <w:r>
        <w:rPr>
          <w:color w:val="1B294A"/>
          <w:spacing w:val="-2"/>
        </w:rPr>
        <w:t>Patterns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723899</wp:posOffset>
                </wp:positionH>
                <wp:positionV relativeFrom="paragraph">
                  <wp:posOffset>52104</wp:posOffset>
                </wp:positionV>
                <wp:extent cx="61214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8B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4.102734pt;width:482pt;height:.1pt;mso-position-horizontal-relative:page;mso-position-vertical-relative:paragraph;z-index:-15723008;mso-wrap-distance-left:0;mso-wrap-distance-right:0" id="docshape13" coordorigin="1140,82" coordsize="9640,0" path="m1140,82l10780,82e" filled="false" stroked="true" strokeweight="1.0pt" strokecolor="#2e8b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ind w:left="141" w:right="481"/>
      </w:pPr>
      <w:r>
        <w:rPr>
          <w:color w:val="1A1A2E"/>
        </w:rPr>
        <w:t>Three</w:t>
      </w:r>
      <w:r>
        <w:rPr>
          <w:color w:val="1A1A2E"/>
          <w:spacing w:val="-4"/>
        </w:rPr>
        <w:t> </w:t>
      </w:r>
      <w:r>
        <w:rPr>
          <w:color w:val="1A1A2E"/>
        </w:rPr>
        <w:t>temporal</w:t>
      </w:r>
      <w:r>
        <w:rPr>
          <w:color w:val="1A1A2E"/>
          <w:spacing w:val="-4"/>
        </w:rPr>
        <w:t> </w:t>
      </w:r>
      <w:r>
        <w:rPr>
          <w:color w:val="1A1A2E"/>
        </w:rPr>
        <w:t>dimensions</w:t>
      </w:r>
      <w:r>
        <w:rPr>
          <w:color w:val="1A1A2E"/>
          <w:spacing w:val="-4"/>
        </w:rPr>
        <w:t> </w:t>
      </w:r>
      <w:r>
        <w:rPr>
          <w:color w:val="1A1A2E"/>
        </w:rPr>
        <w:t>were</w:t>
      </w:r>
      <w:r>
        <w:rPr>
          <w:color w:val="1A1A2E"/>
          <w:spacing w:val="-4"/>
        </w:rPr>
        <w:t> </w:t>
      </w:r>
      <w:r>
        <w:rPr>
          <w:color w:val="1A1A2E"/>
        </w:rPr>
        <w:t>analysed:</w:t>
      </w:r>
      <w:r>
        <w:rPr>
          <w:color w:val="1A1A2E"/>
          <w:spacing w:val="-4"/>
        </w:rPr>
        <w:t> </w:t>
      </w:r>
      <w:r>
        <w:rPr>
          <w:color w:val="1A1A2E"/>
        </w:rPr>
        <w:t>month</w:t>
      </w:r>
      <w:r>
        <w:rPr>
          <w:color w:val="1A1A2E"/>
          <w:spacing w:val="-4"/>
        </w:rPr>
        <w:t> </w:t>
      </w:r>
      <w:r>
        <w:rPr>
          <w:color w:val="1A1A2E"/>
        </w:rPr>
        <w:t>of</w:t>
      </w:r>
      <w:r>
        <w:rPr>
          <w:color w:val="1A1A2E"/>
          <w:spacing w:val="-4"/>
        </w:rPr>
        <w:t> </w:t>
      </w:r>
      <w:r>
        <w:rPr>
          <w:color w:val="1A1A2E"/>
        </w:rPr>
        <w:t>year,</w:t>
      </w:r>
      <w:r>
        <w:rPr>
          <w:color w:val="1A1A2E"/>
          <w:spacing w:val="-4"/>
        </w:rPr>
        <w:t> </w:t>
      </w:r>
      <w:r>
        <w:rPr>
          <w:color w:val="1A1A2E"/>
        </w:rPr>
        <w:t>day</w:t>
      </w:r>
      <w:r>
        <w:rPr>
          <w:color w:val="1A1A2E"/>
          <w:spacing w:val="-4"/>
        </w:rPr>
        <w:t> </w:t>
      </w:r>
      <w:r>
        <w:rPr>
          <w:color w:val="1A1A2E"/>
        </w:rPr>
        <w:t>of</w:t>
      </w:r>
      <w:r>
        <w:rPr>
          <w:color w:val="1A1A2E"/>
          <w:spacing w:val="-4"/>
        </w:rPr>
        <w:t> </w:t>
      </w:r>
      <w:r>
        <w:rPr>
          <w:color w:val="1A1A2E"/>
        </w:rPr>
        <w:t>week,</w:t>
      </w:r>
      <w:r>
        <w:rPr>
          <w:color w:val="1A1A2E"/>
          <w:spacing w:val="-4"/>
        </w:rPr>
        <w:t> </w:t>
      </w:r>
      <w:r>
        <w:rPr>
          <w:color w:val="1A1A2E"/>
        </w:rPr>
        <w:t>and</w:t>
      </w:r>
      <w:r>
        <w:rPr>
          <w:color w:val="1A1A2E"/>
          <w:spacing w:val="-4"/>
        </w:rPr>
        <w:t> </w:t>
      </w:r>
      <w:r>
        <w:rPr>
          <w:color w:val="1A1A2E"/>
        </w:rPr>
        <w:t>hour</w:t>
      </w:r>
      <w:r>
        <w:rPr>
          <w:color w:val="1A1A2E"/>
          <w:spacing w:val="-4"/>
        </w:rPr>
        <w:t> </w:t>
      </w:r>
      <w:r>
        <w:rPr>
          <w:color w:val="1A1A2E"/>
        </w:rPr>
        <w:t>of</w:t>
      </w:r>
      <w:r>
        <w:rPr>
          <w:color w:val="1A1A2E"/>
          <w:spacing w:val="-4"/>
        </w:rPr>
        <w:t> </w:t>
      </w:r>
      <w:r>
        <w:rPr>
          <w:color w:val="1A1A2E"/>
        </w:rPr>
        <w:t>day.</w:t>
      </w:r>
      <w:r>
        <w:rPr>
          <w:color w:val="1A1A2E"/>
          <w:spacing w:val="-4"/>
        </w:rPr>
        <w:t> </w:t>
      </w:r>
      <w:r>
        <w:rPr>
          <w:color w:val="1A1A2E"/>
        </w:rPr>
        <w:t>While</w:t>
      </w:r>
      <w:r>
        <w:rPr>
          <w:color w:val="1A1A2E"/>
          <w:spacing w:val="-4"/>
        </w:rPr>
        <w:t> </w:t>
      </w:r>
      <w:r>
        <w:rPr>
          <w:color w:val="1A1A2E"/>
        </w:rPr>
        <w:t>delay</w:t>
      </w:r>
      <w:r>
        <w:rPr>
          <w:color w:val="1A1A2E"/>
          <w:spacing w:val="-4"/>
        </w:rPr>
        <w:t> </w:t>
      </w:r>
      <w:r>
        <w:rPr>
          <w:color w:val="1A1A2E"/>
        </w:rPr>
        <w:t>rates are relatively stable across all dimensions (53–57%), specific peaks highlight opportunities for targeted capacity planning.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739140</wp:posOffset>
            </wp:positionH>
            <wp:positionV relativeFrom="paragraph">
              <wp:posOffset>95230</wp:posOffset>
            </wp:positionV>
            <wp:extent cx="6061316" cy="200787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316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4365" w:right="481" w:hanging="4032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A3A5C"/>
          <w:sz w:val="17"/>
        </w:rPr>
        <w:t>Figure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5: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Delay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%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by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Month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(left),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Day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of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Week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(centre),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and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Hour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of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Day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(right)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—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red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annotations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mark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the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top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3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peaks</w:t>
      </w:r>
      <w:r>
        <w:rPr>
          <w:rFonts w:ascii="Arial" w:hAnsi="Arial"/>
          <w:i/>
          <w:color w:val="3A3A5C"/>
          <w:spacing w:val="-2"/>
          <w:sz w:val="17"/>
        </w:rPr>
        <w:t> </w:t>
      </w:r>
      <w:r>
        <w:rPr>
          <w:rFonts w:ascii="Arial" w:hAnsi="Arial"/>
          <w:i/>
          <w:color w:val="3A3A5C"/>
          <w:sz w:val="17"/>
        </w:rPr>
        <w:t>in each dimension</w:t>
      </w:r>
    </w:p>
    <w:p>
      <w:pPr>
        <w:pStyle w:val="BodyText"/>
        <w:spacing w:before="224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108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92" w:val="left" w:leader="none"/>
              </w:tabs>
              <w:spacing w:line="240" w:lineRule="auto" w:before="116" w:after="0"/>
              <w:ind w:left="126" w:right="203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Peak Delay Months: August &amp; September (55.4%)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and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December</w:t>
            </w:r>
          </w:p>
          <w:p>
            <w:pPr>
              <w:pStyle w:val="TableParagraph"/>
              <w:ind w:left="1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94A"/>
                <w:spacing w:val="-2"/>
                <w:sz w:val="19"/>
              </w:rPr>
              <w:t>(55.2%)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16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August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September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are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highest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months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at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55.4%,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with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December</w:t>
            </w:r>
            <w:r>
              <w:rPr>
                <w:color w:val="3A3A5C"/>
                <w:spacing w:val="-1"/>
                <w:sz w:val="19"/>
              </w:rPr>
              <w:t> </w:t>
            </w:r>
            <w:r>
              <w:rPr>
                <w:color w:val="3A3A5C"/>
                <w:sz w:val="19"/>
              </w:rPr>
              <w:t>close behind.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These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reflect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mid-year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promotions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Q4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holiday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surge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overwhelming fulfilment capacity. July represents a notable low-point (~53.75%), confirming seasonal variation is plannable.</w:t>
            </w:r>
          </w:p>
        </w:tc>
      </w:tr>
    </w:tbl>
    <w:p>
      <w:pPr>
        <w:pStyle w:val="BodyText"/>
        <w:spacing w:before="110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85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92" w:val="left" w:leader="none"/>
              </w:tabs>
              <w:spacing w:line="240" w:lineRule="auto" w:before="100" w:after="0"/>
              <w:ind w:left="126" w:right="477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Day-of-Week </w:t>
            </w:r>
            <w:r>
              <w:rPr>
                <w:rFonts w:ascii="Arial" w:hAnsi="Arial"/>
                <w:b/>
                <w:color w:val="1B294A"/>
                <w:sz w:val="19"/>
              </w:rPr>
              <w:t>Variance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is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Minimal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0"/>
              <w:ind w:left="149" w:right="131"/>
              <w:rPr>
                <w:sz w:val="19"/>
              </w:rPr>
            </w:pPr>
            <w:r>
              <w:rPr>
                <w:color w:val="3A3A5C"/>
                <w:sz w:val="19"/>
              </w:rPr>
              <w:t>Monday (55.5%) and Sunday (55.2%) are the peak days, but the spread across</w:t>
            </w:r>
            <w:r>
              <w:rPr>
                <w:color w:val="3A3A5C"/>
                <w:sz w:val="19"/>
              </w:rPr>
              <w:t> 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week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less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than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1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percentage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point.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Day-of-week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not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meaningful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lever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for operational intervention.</w:t>
            </w:r>
          </w:p>
        </w:tc>
      </w:tr>
    </w:tbl>
    <w:p>
      <w:pPr>
        <w:pStyle w:val="BodyText"/>
        <w:spacing w:before="91"/>
        <w:rPr>
          <w:rFonts w:ascii="Arial"/>
          <w:i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107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92" w:val="left" w:leader="none"/>
              </w:tabs>
              <w:spacing w:line="240" w:lineRule="auto" w:before="105" w:after="0"/>
              <w:ind w:left="126" w:right="256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Intra-Day Peaks: Hour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21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(57.1%),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Hour</w:t>
            </w:r>
          </w:p>
          <w:p>
            <w:pPr>
              <w:pStyle w:val="TableParagraph"/>
              <w:ind w:left="1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94A"/>
                <w:sz w:val="19"/>
              </w:rPr>
              <w:t>11</w:t>
            </w:r>
            <w:r>
              <w:rPr>
                <w:rFonts w:ascii="Arial"/>
                <w:b/>
                <w:color w:val="1B294A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1B294A"/>
                <w:sz w:val="19"/>
              </w:rPr>
              <w:t>(56.7%),</w:t>
            </w:r>
            <w:r>
              <w:rPr>
                <w:rFonts w:ascii="Arial"/>
                <w:b/>
                <w:color w:val="1B294A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1B294A"/>
                <w:sz w:val="19"/>
              </w:rPr>
              <w:t>Hour</w:t>
            </w:r>
            <w:r>
              <w:rPr>
                <w:rFonts w:ascii="Arial"/>
                <w:b/>
                <w:color w:val="1B294A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1B294A"/>
                <w:spacing w:val="-5"/>
                <w:sz w:val="19"/>
              </w:rPr>
              <w:t>12</w:t>
            </w:r>
          </w:p>
          <w:p>
            <w:pPr>
              <w:pStyle w:val="TableParagraph"/>
              <w:ind w:left="1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94A"/>
                <w:spacing w:val="-2"/>
                <w:sz w:val="19"/>
              </w:rPr>
              <w:t>(56.0%)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5"/>
              <w:ind w:left="149" w:right="445"/>
              <w:rPr>
                <w:sz w:val="19"/>
              </w:rPr>
            </w:pPr>
            <w:r>
              <w:rPr>
                <w:color w:val="3A3A5C"/>
                <w:sz w:val="19"/>
              </w:rPr>
              <w:t>Late-evening orders (hour 21) have the highest delay rate at 57.1%, likely reflecting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processing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cutoff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windows.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Midday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peaks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suggest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bottlenecks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during peak-volume hours.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3"/>
          <w:footerReference w:type="default" r:id="rId14"/>
          <w:pgSz w:w="11920" w:h="16840"/>
          <w:pgMar w:header="800" w:footer="880" w:top="1060" w:bottom="1080" w:left="992" w:right="708"/>
        </w:sectPr>
      </w:pPr>
    </w:p>
    <w:p>
      <w:pPr>
        <w:pStyle w:val="BodyText"/>
        <w:spacing w:before="1"/>
        <w:rPr>
          <w:rFonts w:ascii="Arial"/>
          <w:i/>
          <w:sz w:val="7"/>
        </w:rPr>
      </w:pPr>
    </w:p>
    <w:p>
      <w:pPr>
        <w:spacing w:line="20" w:lineRule="exact"/>
        <w:ind w:left="14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121400" cy="12700"/>
                <wp:effectExtent l="9525" t="0" r="3175" b="635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21400" cy="12700"/>
                          <a:chExt cx="6121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1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8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pt;height:1pt;mso-position-horizontal-relative:char;mso-position-vertical-relative:line" id="docshapegroup16" coordorigin="0,0" coordsize="9640,20">
                <v:line style="position:absolute" from="0,10" to="9640,10" stroked="true" strokeweight="1.0pt" strokecolor="#2e8b79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88"/>
        <w:ind w:left="141" w:right="481"/>
      </w:pPr>
      <w:bookmarkStart w:name="8. Machine Learning Model Results " w:id="15"/>
      <w:bookmarkEnd w:id="15"/>
      <w:r>
        <w:rPr/>
      </w:r>
      <w:r>
        <w:rPr>
          <w:color w:val="1A1A2E"/>
        </w:rPr>
        <w:t>A</w:t>
      </w:r>
      <w:r>
        <w:rPr>
          <w:color w:val="1A1A2E"/>
          <w:spacing w:val="-3"/>
        </w:rPr>
        <w:t> </w:t>
      </w:r>
      <w:r>
        <w:rPr>
          <w:color w:val="1A1A2E"/>
        </w:rPr>
        <w:t>supervised</w:t>
      </w:r>
      <w:r>
        <w:rPr>
          <w:color w:val="1A1A2E"/>
          <w:spacing w:val="-3"/>
        </w:rPr>
        <w:t> </w:t>
      </w:r>
      <w:r>
        <w:rPr>
          <w:color w:val="1A1A2E"/>
        </w:rPr>
        <w:t>classification</w:t>
      </w:r>
      <w:r>
        <w:rPr>
          <w:color w:val="1A1A2E"/>
          <w:spacing w:val="-3"/>
        </w:rPr>
        <w:t> </w:t>
      </w:r>
      <w:r>
        <w:rPr>
          <w:color w:val="1A1A2E"/>
        </w:rPr>
        <w:t>model</w:t>
      </w:r>
      <w:r>
        <w:rPr>
          <w:color w:val="1A1A2E"/>
          <w:spacing w:val="-3"/>
        </w:rPr>
        <w:t> </w:t>
      </w:r>
      <w:r>
        <w:rPr>
          <w:color w:val="1A1A2E"/>
        </w:rPr>
        <w:t>was</w:t>
      </w:r>
      <w:r>
        <w:rPr>
          <w:color w:val="1A1A2E"/>
          <w:spacing w:val="-3"/>
        </w:rPr>
        <w:t> </w:t>
      </w:r>
      <w:r>
        <w:rPr>
          <w:color w:val="1A1A2E"/>
        </w:rPr>
        <w:t>built</w:t>
      </w:r>
      <w:r>
        <w:rPr>
          <w:color w:val="1A1A2E"/>
          <w:spacing w:val="-3"/>
        </w:rPr>
        <w:t> </w:t>
      </w:r>
      <w:r>
        <w:rPr>
          <w:color w:val="1A1A2E"/>
        </w:rPr>
        <w:t>to</w:t>
      </w:r>
      <w:r>
        <w:rPr>
          <w:color w:val="1A1A2E"/>
          <w:spacing w:val="-3"/>
        </w:rPr>
        <w:t> </w:t>
      </w:r>
      <w:r>
        <w:rPr>
          <w:color w:val="1A1A2E"/>
        </w:rPr>
        <w:t>predict</w:t>
      </w:r>
      <w:r>
        <w:rPr>
          <w:color w:val="1A1A2E"/>
          <w:spacing w:val="-3"/>
        </w:rPr>
        <w:t> </w:t>
      </w:r>
      <w:r>
        <w:rPr>
          <w:color w:val="1A1A2E"/>
        </w:rPr>
        <w:t>whether</w:t>
      </w:r>
      <w:r>
        <w:rPr>
          <w:color w:val="1A1A2E"/>
          <w:spacing w:val="-3"/>
        </w:rPr>
        <w:t> </w:t>
      </w:r>
      <w:r>
        <w:rPr>
          <w:color w:val="1A1A2E"/>
        </w:rPr>
        <w:t>an</w:t>
      </w:r>
      <w:r>
        <w:rPr>
          <w:color w:val="1A1A2E"/>
          <w:spacing w:val="-3"/>
        </w:rPr>
        <w:t> </w:t>
      </w:r>
      <w:r>
        <w:rPr>
          <w:color w:val="1A1A2E"/>
        </w:rPr>
        <w:t>individual</w:t>
      </w:r>
      <w:r>
        <w:rPr>
          <w:color w:val="1A1A2E"/>
          <w:spacing w:val="-3"/>
        </w:rPr>
        <w:t> </w:t>
      </w:r>
      <w:r>
        <w:rPr>
          <w:color w:val="1A1A2E"/>
        </w:rPr>
        <w:t>order</w:t>
      </w:r>
      <w:r>
        <w:rPr>
          <w:color w:val="1A1A2E"/>
          <w:spacing w:val="-3"/>
        </w:rPr>
        <w:t> </w:t>
      </w:r>
      <w:r>
        <w:rPr>
          <w:color w:val="1A1A2E"/>
        </w:rPr>
        <w:t>will</w:t>
      </w:r>
      <w:r>
        <w:rPr>
          <w:color w:val="1A1A2E"/>
          <w:spacing w:val="-3"/>
        </w:rPr>
        <w:t> </w:t>
      </w:r>
      <w:r>
        <w:rPr>
          <w:color w:val="1A1A2E"/>
        </w:rPr>
        <w:t>be</w:t>
      </w:r>
      <w:r>
        <w:rPr>
          <w:color w:val="1A1A2E"/>
          <w:spacing w:val="-3"/>
        </w:rPr>
        <w:t> </w:t>
      </w:r>
      <w:r>
        <w:rPr>
          <w:color w:val="1A1A2E"/>
        </w:rPr>
        <w:t>delivered</w:t>
      </w:r>
      <w:r>
        <w:rPr>
          <w:color w:val="1A1A2E"/>
          <w:spacing w:val="-3"/>
        </w:rPr>
        <w:t> </w:t>
      </w:r>
      <w:r>
        <w:rPr>
          <w:color w:val="1A1A2E"/>
        </w:rPr>
        <w:t>late (Late_delivery_risk = 1). The pipeline included frequency encoding of categorical variables, stratified train/test split, SMOTE oversampling to address class imbalance, and Random Forest classification.</w:t>
      </w:r>
    </w:p>
    <w:p>
      <w:pPr>
        <w:pStyle w:val="Heading2"/>
      </w:pPr>
      <w:bookmarkStart w:name="Class Imbalance Handling (SMOTE) " w:id="16"/>
      <w:bookmarkEnd w:id="16"/>
      <w:r>
        <w:rPr>
          <w:b w:val="0"/>
        </w:rPr>
      </w:r>
      <w:r>
        <w:rPr>
          <w:color w:val="2E8B79"/>
        </w:rPr>
        <w:t>Class Imbalance Handling </w:t>
      </w:r>
      <w:r>
        <w:rPr>
          <w:color w:val="2E8B79"/>
          <w:spacing w:val="-2"/>
        </w:rPr>
        <w:t>(SMOTE)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0"/>
        <w:gridCol w:w="2800"/>
        <w:gridCol w:w="3040"/>
      </w:tblGrid>
      <w:tr>
        <w:trPr>
          <w:trHeight w:val="359" w:hRule="atLeast"/>
        </w:trPr>
        <w:tc>
          <w:tcPr>
            <w:tcW w:w="3800" w:type="dxa"/>
            <w:shd w:val="clear" w:color="auto" w:fill="1B294A"/>
          </w:tcPr>
          <w:p>
            <w:pPr>
              <w:pStyle w:val="TableParagraph"/>
              <w:spacing w:before="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Split</w:t>
            </w:r>
          </w:p>
        </w:tc>
        <w:tc>
          <w:tcPr>
            <w:tcW w:w="2800" w:type="dxa"/>
            <w:shd w:val="clear" w:color="auto" w:fill="1B294A"/>
          </w:tcPr>
          <w:p>
            <w:pPr>
              <w:pStyle w:val="TableParagraph"/>
              <w:spacing w:before="74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Class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0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(On-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time)</w:t>
            </w:r>
          </w:p>
        </w:tc>
        <w:tc>
          <w:tcPr>
            <w:tcW w:w="3040" w:type="dxa"/>
            <w:shd w:val="clear" w:color="auto" w:fill="1B294A"/>
          </w:tcPr>
          <w:p>
            <w:pPr>
              <w:pStyle w:val="TableParagraph"/>
              <w:spacing w:before="74"/>
              <w:ind w:left="1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Class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1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(Late)</w:t>
            </w:r>
          </w:p>
        </w:tc>
      </w:tr>
      <w:tr>
        <w:trPr>
          <w:trHeight w:val="360" w:hRule="atLeast"/>
        </w:trPr>
        <w:tc>
          <w:tcPr>
            <w:tcW w:w="3800" w:type="dxa"/>
          </w:tcPr>
          <w:p>
            <w:pPr>
              <w:pStyle w:val="TableParagraph"/>
              <w:spacing w:before="77"/>
              <w:rPr>
                <w:sz w:val="19"/>
              </w:rPr>
            </w:pPr>
            <w:r>
              <w:rPr>
                <w:color w:val="1A1A2E"/>
                <w:sz w:val="19"/>
              </w:rPr>
              <w:t>Before</w:t>
            </w:r>
            <w:r>
              <w:rPr>
                <w:color w:val="1A1A2E"/>
                <w:spacing w:val="-6"/>
                <w:sz w:val="19"/>
              </w:rPr>
              <w:t> </w:t>
            </w:r>
            <w:r>
              <w:rPr>
                <w:color w:val="1A1A2E"/>
                <w:sz w:val="19"/>
              </w:rPr>
              <w:t>SMOTE</w:t>
            </w:r>
            <w:r>
              <w:rPr>
                <w:color w:val="1A1A2E"/>
                <w:spacing w:val="-5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(train)</w:t>
            </w:r>
          </w:p>
        </w:tc>
        <w:tc>
          <w:tcPr>
            <w:tcW w:w="2800" w:type="dxa"/>
          </w:tcPr>
          <w:p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59,030</w:t>
            </w:r>
          </w:p>
        </w:tc>
        <w:tc>
          <w:tcPr>
            <w:tcW w:w="3040" w:type="dxa"/>
          </w:tcPr>
          <w:p>
            <w:pPr>
              <w:pStyle w:val="TableParagraph"/>
              <w:spacing w:before="77"/>
              <w:ind w:left="123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79,182</w:t>
            </w:r>
          </w:p>
        </w:tc>
      </w:tr>
      <w:tr>
        <w:trPr>
          <w:trHeight w:val="360" w:hRule="atLeast"/>
        </w:trPr>
        <w:tc>
          <w:tcPr>
            <w:tcW w:w="3800" w:type="dxa"/>
            <w:shd w:val="clear" w:color="auto" w:fill="F4F5F9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color w:val="1A1A2E"/>
                <w:sz w:val="19"/>
              </w:rPr>
              <w:t>After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SMOTE</w:t>
            </w:r>
            <w:r>
              <w:rPr>
                <w:color w:val="1A1A2E"/>
                <w:spacing w:val="46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(train)</w:t>
            </w:r>
          </w:p>
        </w:tc>
        <w:tc>
          <w:tcPr>
            <w:tcW w:w="2800" w:type="dxa"/>
            <w:shd w:val="clear" w:color="auto" w:fill="F4F5F9"/>
          </w:tcPr>
          <w:p>
            <w:pPr>
              <w:pStyle w:val="TableParagraph"/>
              <w:spacing w:before="81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79,182</w:t>
            </w:r>
          </w:p>
        </w:tc>
        <w:tc>
          <w:tcPr>
            <w:tcW w:w="3040" w:type="dxa"/>
            <w:shd w:val="clear" w:color="auto" w:fill="F4F5F9"/>
          </w:tcPr>
          <w:p>
            <w:pPr>
              <w:pStyle w:val="TableParagraph"/>
              <w:spacing w:before="81"/>
              <w:ind w:left="123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79,182</w:t>
            </w:r>
          </w:p>
        </w:tc>
      </w:tr>
    </w:tbl>
    <w:p>
      <w:pPr>
        <w:pStyle w:val="BodyText"/>
        <w:spacing w:before="184"/>
        <w:rPr>
          <w:rFonts w:ascii="Arial"/>
          <w:b/>
          <w:sz w:val="24"/>
        </w:rPr>
      </w:pPr>
    </w:p>
    <w:p>
      <w:pPr>
        <w:pStyle w:val="Heading2"/>
        <w:spacing w:before="1"/>
      </w:pPr>
      <w:bookmarkStart w:name="Random Forest Classifier – Test Set Perf" w:id="17"/>
      <w:bookmarkEnd w:id="17"/>
      <w:r>
        <w:rPr>
          <w:b w:val="0"/>
        </w:rPr>
      </w:r>
      <w:r>
        <w:rPr>
          <w:color w:val="2E8B79"/>
        </w:rPr>
        <w:t>Random</w:t>
      </w:r>
      <w:r>
        <w:rPr>
          <w:color w:val="2E8B79"/>
          <w:spacing w:val="-3"/>
        </w:rPr>
        <w:t> </w:t>
      </w:r>
      <w:r>
        <w:rPr>
          <w:color w:val="2E8B79"/>
        </w:rPr>
        <w:t>Forest</w:t>
      </w:r>
      <w:r>
        <w:rPr>
          <w:color w:val="2E8B79"/>
          <w:spacing w:val="-2"/>
        </w:rPr>
        <w:t> </w:t>
      </w:r>
      <w:r>
        <w:rPr>
          <w:color w:val="2E8B79"/>
        </w:rPr>
        <w:t>Classifier</w:t>
      </w:r>
      <w:r>
        <w:rPr>
          <w:color w:val="2E8B79"/>
          <w:spacing w:val="-2"/>
        </w:rPr>
        <w:t> </w:t>
      </w:r>
      <w:r>
        <w:rPr>
          <w:color w:val="2E8B79"/>
        </w:rPr>
        <w:t>–</w:t>
      </w:r>
      <w:r>
        <w:rPr>
          <w:color w:val="2E8B79"/>
          <w:spacing w:val="-2"/>
        </w:rPr>
        <w:t> </w:t>
      </w:r>
      <w:r>
        <w:rPr>
          <w:color w:val="2E8B79"/>
        </w:rPr>
        <w:t>Test</w:t>
      </w:r>
      <w:r>
        <w:rPr>
          <w:color w:val="2E8B79"/>
          <w:spacing w:val="-3"/>
        </w:rPr>
        <w:t> </w:t>
      </w:r>
      <w:r>
        <w:rPr>
          <w:color w:val="2E8B79"/>
        </w:rPr>
        <w:t>Set</w:t>
      </w:r>
      <w:r>
        <w:rPr>
          <w:color w:val="2E8B79"/>
          <w:spacing w:val="-2"/>
        </w:rPr>
        <w:t> </w:t>
      </w:r>
      <w:r>
        <w:rPr>
          <w:color w:val="2E8B79"/>
        </w:rPr>
        <w:t>Performance</w:t>
      </w:r>
      <w:r>
        <w:rPr>
          <w:color w:val="2E8B79"/>
          <w:spacing w:val="-2"/>
        </w:rPr>
        <w:t> </w:t>
      </w:r>
      <w:r>
        <w:rPr>
          <w:color w:val="2E8B79"/>
        </w:rPr>
        <w:t>(34,553</w:t>
      </w:r>
      <w:r>
        <w:rPr>
          <w:color w:val="2E8B79"/>
          <w:spacing w:val="-2"/>
        </w:rPr>
        <w:t> records)</w:t>
      </w:r>
    </w:p>
    <w:p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2300"/>
        <w:gridCol w:w="2300"/>
        <w:gridCol w:w="2240"/>
      </w:tblGrid>
      <w:tr>
        <w:trPr>
          <w:trHeight w:val="360" w:hRule="atLeast"/>
        </w:trPr>
        <w:tc>
          <w:tcPr>
            <w:tcW w:w="2800" w:type="dxa"/>
            <w:shd w:val="clear" w:color="auto" w:fill="1B294A"/>
          </w:tcPr>
          <w:p>
            <w:pPr>
              <w:pStyle w:val="TableParagraph"/>
              <w:spacing w:before="8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  <w:tc>
          <w:tcPr>
            <w:tcW w:w="2300" w:type="dxa"/>
            <w:shd w:val="clear" w:color="auto" w:fill="1B294A"/>
          </w:tcPr>
          <w:p>
            <w:pPr>
              <w:pStyle w:val="TableParagraph"/>
              <w:spacing w:before="85"/>
              <w:ind w:left="1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Class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0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(On-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time)</w:t>
            </w:r>
          </w:p>
        </w:tc>
        <w:tc>
          <w:tcPr>
            <w:tcW w:w="2300" w:type="dxa"/>
            <w:shd w:val="clear" w:color="auto" w:fill="1B294A"/>
          </w:tcPr>
          <w:p>
            <w:pPr>
              <w:pStyle w:val="TableParagraph"/>
              <w:spacing w:before="8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Class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1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(Late)</w:t>
            </w:r>
          </w:p>
        </w:tc>
        <w:tc>
          <w:tcPr>
            <w:tcW w:w="2240" w:type="dxa"/>
            <w:shd w:val="clear" w:color="auto" w:fill="1B294A"/>
          </w:tcPr>
          <w:p>
            <w:pPr>
              <w:pStyle w:val="TableParagraph"/>
              <w:spacing w:before="85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Overall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(Weighted)</w:t>
            </w:r>
          </w:p>
        </w:tc>
      </w:tr>
      <w:tr>
        <w:trPr>
          <w:trHeight w:val="379" w:hRule="atLeast"/>
        </w:trPr>
        <w:tc>
          <w:tcPr>
            <w:tcW w:w="2800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Precision</w:t>
            </w:r>
          </w:p>
        </w:tc>
        <w:tc>
          <w:tcPr>
            <w:tcW w:w="2300" w:type="dxa"/>
          </w:tcPr>
          <w:p>
            <w:pPr>
              <w:pStyle w:val="TableParagraph"/>
              <w:spacing w:before="88"/>
              <w:ind w:left="129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0.68</w:t>
            </w:r>
          </w:p>
        </w:tc>
        <w:tc>
          <w:tcPr>
            <w:tcW w:w="2300" w:type="dxa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0.78</w:t>
            </w:r>
          </w:p>
        </w:tc>
        <w:tc>
          <w:tcPr>
            <w:tcW w:w="2240" w:type="dxa"/>
          </w:tcPr>
          <w:p>
            <w:pPr>
              <w:pStyle w:val="TableParagraph"/>
              <w:spacing w:before="88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4"/>
                <w:sz w:val="19"/>
              </w:rPr>
              <w:t>0.74</w:t>
            </w:r>
          </w:p>
        </w:tc>
      </w:tr>
      <w:tr>
        <w:trPr>
          <w:trHeight w:val="360" w:hRule="atLeast"/>
        </w:trPr>
        <w:tc>
          <w:tcPr>
            <w:tcW w:w="2800" w:type="dxa"/>
            <w:shd w:val="clear" w:color="auto" w:fill="F4F5F9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Recall</w:t>
            </w:r>
          </w:p>
        </w:tc>
        <w:tc>
          <w:tcPr>
            <w:tcW w:w="2300" w:type="dxa"/>
            <w:shd w:val="clear" w:color="auto" w:fill="F4F5F9"/>
          </w:tcPr>
          <w:p>
            <w:pPr>
              <w:pStyle w:val="TableParagraph"/>
              <w:spacing w:before="72"/>
              <w:ind w:left="129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0.72</w:t>
            </w:r>
          </w:p>
        </w:tc>
        <w:tc>
          <w:tcPr>
            <w:tcW w:w="2300" w:type="dxa"/>
            <w:shd w:val="clear" w:color="auto" w:fill="F4F5F9"/>
          </w:tcPr>
          <w:p>
            <w:pPr>
              <w:pStyle w:val="TableParagraph"/>
              <w:spacing w:before="72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0.75</w:t>
            </w:r>
          </w:p>
        </w:tc>
        <w:tc>
          <w:tcPr>
            <w:tcW w:w="2240" w:type="dxa"/>
            <w:shd w:val="clear" w:color="auto" w:fill="F4F5F9"/>
          </w:tcPr>
          <w:p>
            <w:pPr>
              <w:pStyle w:val="TableParagraph"/>
              <w:spacing w:before="72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4"/>
                <w:sz w:val="19"/>
              </w:rPr>
              <w:t>0.74</w:t>
            </w:r>
          </w:p>
        </w:tc>
      </w:tr>
      <w:tr>
        <w:trPr>
          <w:trHeight w:val="359" w:hRule="atLeast"/>
        </w:trPr>
        <w:tc>
          <w:tcPr>
            <w:tcW w:w="2800" w:type="dxa"/>
          </w:tcPr>
          <w:p>
            <w:pPr>
              <w:pStyle w:val="TableParagraph"/>
              <w:spacing w:before="75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F1-Score</w:t>
            </w:r>
          </w:p>
        </w:tc>
        <w:tc>
          <w:tcPr>
            <w:tcW w:w="2300" w:type="dxa"/>
          </w:tcPr>
          <w:p>
            <w:pPr>
              <w:pStyle w:val="TableParagraph"/>
              <w:spacing w:before="75"/>
              <w:ind w:left="129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0.70</w:t>
            </w:r>
          </w:p>
        </w:tc>
        <w:tc>
          <w:tcPr>
            <w:tcW w:w="2300" w:type="dxa"/>
          </w:tcPr>
          <w:p>
            <w:pPr>
              <w:pStyle w:val="TableParagraph"/>
              <w:spacing w:before="75"/>
              <w:rPr>
                <w:sz w:val="19"/>
              </w:rPr>
            </w:pPr>
            <w:r>
              <w:rPr>
                <w:color w:val="1A1A2E"/>
                <w:spacing w:val="-4"/>
                <w:sz w:val="19"/>
              </w:rPr>
              <w:t>0.77</w:t>
            </w:r>
          </w:p>
        </w:tc>
        <w:tc>
          <w:tcPr>
            <w:tcW w:w="2240" w:type="dxa"/>
          </w:tcPr>
          <w:p>
            <w:pPr>
              <w:pStyle w:val="TableParagraph"/>
              <w:spacing w:before="75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4"/>
                <w:sz w:val="19"/>
              </w:rPr>
              <w:t>0.74</w:t>
            </w:r>
          </w:p>
        </w:tc>
      </w:tr>
      <w:tr>
        <w:trPr>
          <w:trHeight w:val="360" w:hRule="atLeast"/>
        </w:trPr>
        <w:tc>
          <w:tcPr>
            <w:tcW w:w="2800" w:type="dxa"/>
            <w:shd w:val="clear" w:color="auto" w:fill="F4F5F9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Accuracy</w:t>
            </w:r>
          </w:p>
        </w:tc>
        <w:tc>
          <w:tcPr>
            <w:tcW w:w="2300" w:type="dxa"/>
            <w:shd w:val="clear" w:color="auto" w:fill="F4F5F9"/>
          </w:tcPr>
          <w:p>
            <w:pPr>
              <w:pStyle w:val="TableParagraph"/>
              <w:spacing w:before="79"/>
              <w:ind w:left="129"/>
              <w:rPr>
                <w:sz w:val="19"/>
              </w:rPr>
            </w:pPr>
            <w:r>
              <w:rPr>
                <w:color w:val="1A1A2E"/>
                <w:sz w:val="19"/>
              </w:rPr>
              <w:t>—</w:t>
            </w:r>
          </w:p>
        </w:tc>
        <w:tc>
          <w:tcPr>
            <w:tcW w:w="2300" w:type="dxa"/>
            <w:shd w:val="clear" w:color="auto" w:fill="F4F5F9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A1A2E"/>
                <w:sz w:val="19"/>
              </w:rPr>
              <w:t>—</w:t>
            </w:r>
          </w:p>
        </w:tc>
        <w:tc>
          <w:tcPr>
            <w:tcW w:w="2240" w:type="dxa"/>
            <w:shd w:val="clear" w:color="auto" w:fill="F4F5F9"/>
          </w:tcPr>
          <w:p>
            <w:pPr>
              <w:pStyle w:val="TableParagraph"/>
              <w:spacing w:before="79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4"/>
                <w:sz w:val="19"/>
              </w:rPr>
              <w:t>0.74</w:t>
            </w:r>
          </w:p>
        </w:tc>
      </w:tr>
      <w:tr>
        <w:trPr>
          <w:trHeight w:val="359" w:hRule="atLeast"/>
        </w:trPr>
        <w:tc>
          <w:tcPr>
            <w:tcW w:w="2800" w:type="dxa"/>
          </w:tcPr>
          <w:p>
            <w:pPr>
              <w:pStyle w:val="TableParagraph"/>
              <w:spacing w:before="82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Support</w:t>
            </w:r>
          </w:p>
        </w:tc>
        <w:tc>
          <w:tcPr>
            <w:tcW w:w="2300" w:type="dxa"/>
          </w:tcPr>
          <w:p>
            <w:pPr>
              <w:pStyle w:val="TableParagraph"/>
              <w:spacing w:before="82"/>
              <w:ind w:left="12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14,758</w:t>
            </w:r>
          </w:p>
        </w:tc>
        <w:tc>
          <w:tcPr>
            <w:tcW w:w="2300" w:type="dxa"/>
          </w:tcPr>
          <w:p>
            <w:pPr>
              <w:pStyle w:val="TableParagraph"/>
              <w:spacing w:before="82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19,795</w:t>
            </w:r>
          </w:p>
        </w:tc>
        <w:tc>
          <w:tcPr>
            <w:tcW w:w="2240" w:type="dxa"/>
          </w:tcPr>
          <w:p>
            <w:pPr>
              <w:pStyle w:val="TableParagraph"/>
              <w:spacing w:before="82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pacing w:val="-2"/>
                <w:sz w:val="19"/>
              </w:rPr>
              <w:t>34,553</w:t>
            </w:r>
          </w:p>
        </w:tc>
      </w:tr>
    </w:tbl>
    <w:p>
      <w:pPr>
        <w:pStyle w:val="BodyText"/>
        <w:spacing w:before="173"/>
        <w:rPr>
          <w:rFonts w:ascii="Arial"/>
          <w:b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4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92" w:val="left" w:leader="none"/>
              </w:tabs>
              <w:spacing w:line="240" w:lineRule="auto" w:before="101" w:after="0"/>
              <w:ind w:left="126" w:right="985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74%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Overall </w:t>
            </w:r>
            <w:r>
              <w:rPr>
                <w:rFonts w:ascii="Arial" w:hAnsi="Arial"/>
                <w:b/>
                <w:color w:val="1B294A"/>
                <w:spacing w:val="-2"/>
                <w:sz w:val="19"/>
              </w:rPr>
              <w:t>Accuracy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1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model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correctly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classifies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nearly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3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4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—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strong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foundation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for production deployment as an order-level late-delivery alert system.</w:t>
            </w:r>
          </w:p>
        </w:tc>
      </w:tr>
    </w:tbl>
    <w:p>
      <w:pPr>
        <w:pStyle w:val="BodyText"/>
        <w:spacing w:before="90"/>
        <w:rPr>
          <w:rFonts w:ascii="Arial"/>
          <w:b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85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92" w:val="left" w:leader="none"/>
              </w:tabs>
              <w:spacing w:line="240" w:lineRule="auto" w:before="108" w:after="0"/>
              <w:ind w:left="126" w:right="268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Higher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Precision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on Late Orders (0.78)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8"/>
              <w:ind w:left="149" w:right="632"/>
              <w:rPr>
                <w:sz w:val="19"/>
              </w:rPr>
            </w:pPr>
            <w:r>
              <w:rPr>
                <w:color w:val="3A3A5C"/>
                <w:sz w:val="19"/>
              </w:rPr>
              <w:t>When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model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predicts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an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order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will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be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late,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it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correct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78%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of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time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— sufficient to trigger targeted interventions without generating excessive false </w:t>
            </w:r>
            <w:r>
              <w:rPr>
                <w:color w:val="3A3A5C"/>
                <w:spacing w:val="-2"/>
                <w:sz w:val="19"/>
              </w:rPr>
              <w:t>alarms.</w:t>
            </w:r>
          </w:p>
        </w:tc>
      </w:tr>
    </w:tbl>
    <w:p>
      <w:pPr>
        <w:pStyle w:val="BodyText"/>
        <w:spacing w:before="91"/>
        <w:rPr>
          <w:rFonts w:ascii="Arial"/>
          <w:b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39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92" w:val="left" w:leader="none"/>
              </w:tabs>
              <w:spacing w:line="240" w:lineRule="auto" w:before="113" w:after="0"/>
              <w:ind w:left="126" w:right="753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Recall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for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Late Orders at 0.75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13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model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captures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75%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of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actual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late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orders.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25%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miss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rate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acceptable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for a first-generation alert system, with clear improvement potential.</w:t>
            </w:r>
          </w:p>
        </w:tc>
      </w:tr>
    </w:tbl>
    <w:p>
      <w:pPr>
        <w:pStyle w:val="BodyText"/>
        <w:spacing w:before="111"/>
        <w:rPr>
          <w:rFonts w:ascii="Arial"/>
          <w:b/>
        </w:rPr>
      </w:pPr>
    </w:p>
    <w:tbl>
      <w:tblPr>
        <w:tblW w:w="0" w:type="auto"/>
        <w:jc w:val="left"/>
        <w:tblInd w:w="172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7240"/>
      </w:tblGrid>
      <w:tr>
        <w:trPr>
          <w:trHeight w:val="640" w:hRule="atLeast"/>
        </w:trPr>
        <w:tc>
          <w:tcPr>
            <w:tcW w:w="2390" w:type="dxa"/>
            <w:tcBorders>
              <w:left w:val="single" w:sz="18" w:space="0" w:color="2E8B79"/>
            </w:tcBorders>
            <w:shd w:val="clear" w:color="auto" w:fill="F4F5F9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92" w:val="left" w:leader="none"/>
              </w:tabs>
              <w:spacing w:line="240" w:lineRule="auto" w:before="100" w:after="0"/>
              <w:ind w:left="126" w:right="129" w:firstLine="0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B294A"/>
                <w:sz w:val="19"/>
              </w:rPr>
              <w:t>Class 0 Harder to Predict</w:t>
            </w:r>
            <w:r>
              <w:rPr>
                <w:rFonts w:ascii="Arial" w:hAnsi="Arial"/>
                <w:b/>
                <w:color w:val="1B294A"/>
                <w:spacing w:val="-14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(Precision</w:t>
            </w:r>
            <w:r>
              <w:rPr>
                <w:rFonts w:ascii="Arial" w:hAnsi="Arial"/>
                <w:b/>
                <w:color w:val="1B294A"/>
                <w:spacing w:val="-13"/>
                <w:sz w:val="19"/>
              </w:rPr>
              <w:t> </w:t>
            </w:r>
            <w:r>
              <w:rPr>
                <w:rFonts w:ascii="Arial" w:hAnsi="Arial"/>
                <w:b/>
                <w:color w:val="1B294A"/>
                <w:sz w:val="19"/>
              </w:rPr>
              <w:t>0.68)</w:t>
            </w:r>
          </w:p>
        </w:tc>
        <w:tc>
          <w:tcPr>
            <w:tcW w:w="7240" w:type="dxa"/>
            <w:shd w:val="clear" w:color="auto" w:fill="F4F5F9"/>
          </w:tcPr>
          <w:p>
            <w:pPr>
              <w:pStyle w:val="TableParagraph"/>
              <w:spacing w:before="100"/>
              <w:ind w:left="149" w:right="115"/>
              <w:rPr>
                <w:sz w:val="19"/>
              </w:rPr>
            </w:pPr>
            <w:r>
              <w:rPr>
                <w:color w:val="3A3A5C"/>
                <w:sz w:val="19"/>
              </w:rPr>
              <w:t>On-time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deliveries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share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many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characteristics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with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late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ones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given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systemic nature of delays, making them genuinely difficult to distinguish.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6"/>
          <w:footerReference w:type="default" r:id="rId17"/>
          <w:pgSz w:w="11920" w:h="16840"/>
          <w:pgMar w:header="800" w:footer="880" w:top="1800" w:bottom="1080" w:left="992" w:right="708"/>
        </w:sectPr>
      </w:pPr>
    </w:p>
    <w:p>
      <w:pPr>
        <w:pStyle w:val="BodyText"/>
        <w:spacing w:before="1"/>
        <w:rPr>
          <w:rFonts w:ascii="Arial"/>
          <w:b/>
          <w:sz w:val="7"/>
        </w:rPr>
      </w:pPr>
    </w:p>
    <w:p>
      <w:pPr>
        <w:spacing w:line="20" w:lineRule="exact"/>
        <w:ind w:left="14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121400" cy="12700"/>
                <wp:effectExtent l="9525" t="0" r="3175" b="635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21400" cy="12700"/>
                          <a:chExt cx="6121400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1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8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pt;height:1pt;mso-position-horizontal-relative:char;mso-position-vertical-relative:line" id="docshapegroup19" coordorigin="0,0" coordsize="9640,20">
                <v:line style="position:absolute" from="0,10" to="9640,10" stroked="true" strokeweight="1.0pt" strokecolor="#2e8b79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88"/>
        <w:ind w:left="141"/>
      </w:pPr>
      <w:bookmarkStart w:name="9. Strategic Recommendations " w:id="18"/>
      <w:bookmarkEnd w:id="18"/>
      <w:r>
        <w:rPr/>
      </w:r>
      <w:r>
        <w:rPr>
          <w:color w:val="1A1A2E"/>
        </w:rPr>
        <w:t>Based</w:t>
      </w:r>
      <w:r>
        <w:rPr>
          <w:color w:val="1A1A2E"/>
          <w:spacing w:val="-9"/>
        </w:rPr>
        <w:t> </w:t>
      </w:r>
      <w:r>
        <w:rPr>
          <w:color w:val="1A1A2E"/>
        </w:rPr>
        <w:t>on</w:t>
      </w:r>
      <w:r>
        <w:rPr>
          <w:color w:val="1A1A2E"/>
          <w:spacing w:val="-6"/>
        </w:rPr>
        <w:t> </w:t>
      </w:r>
      <w:r>
        <w:rPr>
          <w:color w:val="1A1A2E"/>
        </w:rPr>
        <w:t>the</w:t>
      </w:r>
      <w:r>
        <w:rPr>
          <w:color w:val="1A1A2E"/>
          <w:spacing w:val="-6"/>
        </w:rPr>
        <w:t> </w:t>
      </w:r>
      <w:r>
        <w:rPr>
          <w:color w:val="1A1A2E"/>
        </w:rPr>
        <w:t>findings</w:t>
      </w:r>
      <w:r>
        <w:rPr>
          <w:color w:val="1A1A2E"/>
          <w:spacing w:val="-6"/>
        </w:rPr>
        <w:t> </w:t>
      </w:r>
      <w:r>
        <w:rPr>
          <w:color w:val="1A1A2E"/>
        </w:rPr>
        <w:t>across</w:t>
      </w:r>
      <w:r>
        <w:rPr>
          <w:color w:val="1A1A2E"/>
          <w:spacing w:val="-7"/>
        </w:rPr>
        <w:t> </w:t>
      </w:r>
      <w:r>
        <w:rPr>
          <w:color w:val="1A1A2E"/>
        </w:rPr>
        <w:t>all</w:t>
      </w:r>
      <w:r>
        <w:rPr>
          <w:color w:val="1A1A2E"/>
          <w:spacing w:val="-6"/>
        </w:rPr>
        <w:t> </w:t>
      </w:r>
      <w:r>
        <w:rPr>
          <w:color w:val="1A1A2E"/>
        </w:rPr>
        <w:t>analytical</w:t>
      </w:r>
      <w:r>
        <w:rPr>
          <w:color w:val="1A1A2E"/>
          <w:spacing w:val="-6"/>
        </w:rPr>
        <w:t> </w:t>
      </w:r>
      <w:r>
        <w:rPr>
          <w:color w:val="1A1A2E"/>
        </w:rPr>
        <w:t>dimensions,</w:t>
      </w:r>
      <w:r>
        <w:rPr>
          <w:color w:val="1A1A2E"/>
          <w:spacing w:val="-6"/>
        </w:rPr>
        <w:t> </w:t>
      </w:r>
      <w:r>
        <w:rPr>
          <w:color w:val="1A1A2E"/>
        </w:rPr>
        <w:t>the</w:t>
      </w:r>
      <w:r>
        <w:rPr>
          <w:color w:val="1A1A2E"/>
          <w:spacing w:val="-7"/>
        </w:rPr>
        <w:t> </w:t>
      </w:r>
      <w:r>
        <w:rPr>
          <w:color w:val="1A1A2E"/>
        </w:rPr>
        <w:t>following</w:t>
      </w:r>
      <w:r>
        <w:rPr>
          <w:color w:val="1A1A2E"/>
          <w:spacing w:val="-6"/>
        </w:rPr>
        <w:t> </w:t>
      </w:r>
      <w:r>
        <w:rPr>
          <w:color w:val="1A1A2E"/>
        </w:rPr>
        <w:t>prioritised</w:t>
      </w:r>
      <w:r>
        <w:rPr>
          <w:color w:val="1A1A2E"/>
          <w:spacing w:val="-6"/>
        </w:rPr>
        <w:t> </w:t>
      </w:r>
      <w:r>
        <w:rPr>
          <w:color w:val="1A1A2E"/>
        </w:rPr>
        <w:t>actions</w:t>
      </w:r>
      <w:r>
        <w:rPr>
          <w:color w:val="1A1A2E"/>
          <w:spacing w:val="-6"/>
        </w:rPr>
        <w:t> </w:t>
      </w:r>
      <w:r>
        <w:rPr>
          <w:color w:val="1A1A2E"/>
        </w:rPr>
        <w:t>are</w:t>
      </w:r>
      <w:r>
        <w:rPr>
          <w:color w:val="1A1A2E"/>
          <w:spacing w:val="-6"/>
        </w:rPr>
        <w:t> </w:t>
      </w:r>
      <w:r>
        <w:rPr>
          <w:color w:val="1A1A2E"/>
          <w:spacing w:val="-2"/>
        </w:rPr>
        <w:t>recommended:</w:t>
      </w:r>
    </w:p>
    <w:p>
      <w:pPr>
        <w:pStyle w:val="BodyText"/>
        <w:spacing w:before="222"/>
      </w:pPr>
    </w:p>
    <w:tbl>
      <w:tblPr>
        <w:tblW w:w="0" w:type="auto"/>
        <w:jc w:val="left"/>
        <w:tblInd w:w="125" w:type="dxa"/>
        <w:tblBorders>
          <w:top w:val="single" w:sz="8" w:space="0" w:color="F0A500"/>
          <w:left w:val="single" w:sz="8" w:space="0" w:color="F0A500"/>
          <w:bottom w:val="single" w:sz="8" w:space="0" w:color="F0A500"/>
          <w:right w:val="single" w:sz="8" w:space="0" w:color="F0A500"/>
          <w:insideH w:val="single" w:sz="8" w:space="0" w:color="F0A500"/>
          <w:insideV w:val="single" w:sz="8" w:space="0" w:color="F0A5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640"/>
      </w:tblGrid>
      <w:tr>
        <w:trPr>
          <w:trHeight w:val="1160" w:hRule="atLeast"/>
        </w:trPr>
        <w:tc>
          <w:tcPr>
            <w:tcW w:w="1010" w:type="dxa"/>
            <w:tcBorders>
              <w:top w:val="nil"/>
              <w:left w:val="nil"/>
              <w:bottom w:val="nil"/>
            </w:tcBorders>
            <w:shd w:val="clear" w:color="auto" w:fill="F0A500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101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CRITICAL</w:t>
            </w:r>
          </w:p>
        </w:tc>
        <w:tc>
          <w:tcPr>
            <w:tcW w:w="8640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18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1.</w:t>
            </w:r>
            <w:r>
              <w:rPr>
                <w:rFonts w:ascii="Arial"/>
                <w:b/>
                <w:color w:val="1B294A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Immediately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Audit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First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Class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&amp;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Second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Class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Shipping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Capacity</w:t>
            </w:r>
          </w:p>
          <w:p>
            <w:pPr>
              <w:pStyle w:val="TableParagraph"/>
              <w:spacing w:before="60"/>
              <w:ind w:left="174"/>
              <w:rPr>
                <w:sz w:val="19"/>
              </w:rPr>
            </w:pPr>
            <w:r>
              <w:rPr>
                <w:color w:val="3A3A5C"/>
                <w:sz w:val="19"/>
              </w:rPr>
              <w:t>First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Class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shipping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has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100%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delay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rate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Second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Class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79.8%.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These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modes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operate</w:t>
            </w:r>
            <w:r>
              <w:rPr>
                <w:color w:val="3A3A5C"/>
                <w:spacing w:val="-3"/>
                <w:sz w:val="19"/>
              </w:rPr>
              <w:t> </w:t>
            </w:r>
            <w:r>
              <w:rPr>
                <w:color w:val="3A3A5C"/>
                <w:sz w:val="19"/>
              </w:rPr>
              <w:t>in complete contradiction to their brand promise. Conduct an immediate carrier SLA audit. Until resolved, consider suspending First Class or repricing to reflect actual performance.</w:t>
            </w:r>
          </w:p>
        </w:tc>
      </w:tr>
    </w:tbl>
    <w:p>
      <w:pPr>
        <w:pStyle w:val="BodyText"/>
        <w:spacing w:before="110"/>
      </w:pPr>
    </w:p>
    <w:tbl>
      <w:tblPr>
        <w:tblW w:w="0" w:type="auto"/>
        <w:jc w:val="left"/>
        <w:tblInd w:w="125" w:type="dxa"/>
        <w:tblBorders>
          <w:top w:val="single" w:sz="8" w:space="0" w:color="800000"/>
          <w:left w:val="single" w:sz="8" w:space="0" w:color="800000"/>
          <w:bottom w:val="single" w:sz="8" w:space="0" w:color="800000"/>
          <w:right w:val="single" w:sz="8" w:space="0" w:color="800000"/>
          <w:insideH w:val="single" w:sz="8" w:space="0" w:color="800000"/>
          <w:insideV w:val="single" w:sz="8" w:space="0" w:color="8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640"/>
      </w:tblGrid>
      <w:tr>
        <w:trPr>
          <w:trHeight w:val="1160" w:hRule="atLeast"/>
        </w:trPr>
        <w:tc>
          <w:tcPr>
            <w:tcW w:w="1010" w:type="dxa"/>
            <w:tcBorders>
              <w:top w:val="nil"/>
              <w:left w:val="nil"/>
              <w:bottom w:val="nil"/>
            </w:tcBorders>
            <w:shd w:val="clear" w:color="auto" w:fill="800000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97"/>
              <w:ind w:left="0"/>
              <w:rPr>
                <w:sz w:val="17"/>
              </w:rPr>
            </w:pPr>
          </w:p>
          <w:p>
            <w:pPr>
              <w:pStyle w:val="TableParagraph"/>
              <w:ind w:left="3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HIGH</w:t>
            </w:r>
          </w:p>
        </w:tc>
        <w:tc>
          <w:tcPr>
            <w:tcW w:w="8640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13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2.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Deploy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the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Predictive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Alert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System</w:t>
            </w:r>
          </w:p>
          <w:p>
            <w:pPr>
              <w:pStyle w:val="TableParagraph"/>
              <w:spacing w:before="60"/>
              <w:ind w:left="174"/>
              <w:rPr>
                <w:sz w:val="19"/>
              </w:rPr>
            </w:pPr>
            <w:r>
              <w:rPr>
                <w:color w:val="3A3A5C"/>
                <w:sz w:val="19"/>
              </w:rPr>
              <w:t>The Random Forest model (74% accuracy, 78% precision on late orders) is ready for production piloting.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Integrate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into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order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management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system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to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flag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high-risk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confirmation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and trigger proactive customer communication and priority handling queues.</w:t>
            </w:r>
          </w:p>
        </w:tc>
      </w:tr>
    </w:tbl>
    <w:p>
      <w:pPr>
        <w:pStyle w:val="BodyText"/>
        <w:spacing w:before="110"/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8631"/>
      </w:tblGrid>
      <w:tr>
        <w:trPr>
          <w:trHeight w:val="1140" w:hRule="atLeast"/>
        </w:trPr>
        <w:tc>
          <w:tcPr>
            <w:tcW w:w="1019" w:type="dxa"/>
            <w:shd w:val="clear" w:color="auto" w:fill="800000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92"/>
              <w:ind w:left="0"/>
              <w:rPr>
                <w:sz w:val="17"/>
              </w:rPr>
            </w:pPr>
          </w:p>
          <w:p>
            <w:pPr>
              <w:pStyle w:val="TableParagraph"/>
              <w:ind w:left="3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HIGH</w:t>
            </w:r>
          </w:p>
        </w:tc>
        <w:tc>
          <w:tcPr>
            <w:tcW w:w="8631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08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3.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Resolve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Payment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Processing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Bottlenecks</w:t>
            </w:r>
          </w:p>
          <w:p>
            <w:pPr>
              <w:pStyle w:val="TableParagraph"/>
              <w:spacing w:before="60"/>
              <w:ind w:left="175"/>
              <w:rPr>
                <w:sz w:val="19"/>
              </w:rPr>
            </w:pP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PAYMENT_REVIEW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(55.3%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overall;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80.0%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Central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Africa)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2"/>
                <w:sz w:val="19"/>
              </w:rPr>
              <w:t> </w:t>
            </w:r>
            <w:r>
              <w:rPr>
                <w:color w:val="3A3A5C"/>
                <w:sz w:val="19"/>
              </w:rPr>
              <w:t>PENDING_PAYMENT (55.0%)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have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significantly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elevated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delay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rates.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Introduce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automated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escalation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for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stalled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payment reviews exceeding 2 hours.</w:t>
            </w:r>
          </w:p>
        </w:tc>
      </w:tr>
    </w:tbl>
    <w:p>
      <w:pPr>
        <w:pStyle w:val="BodyText"/>
        <w:spacing w:before="130"/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8631"/>
      </w:tblGrid>
      <w:tr>
        <w:trPr>
          <w:trHeight w:val="1140" w:hRule="atLeast"/>
        </w:trPr>
        <w:tc>
          <w:tcPr>
            <w:tcW w:w="1019" w:type="dxa"/>
            <w:shd w:val="clear" w:color="auto" w:fill="2E8B79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88"/>
              <w:ind w:left="0"/>
              <w:rPr>
                <w:sz w:val="17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MEDIUM</w:t>
            </w:r>
          </w:p>
        </w:tc>
        <w:tc>
          <w:tcPr>
            <w:tcW w:w="8631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04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4.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Develop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Seasonal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Surge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Capacity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4"/>
                <w:sz w:val="20"/>
              </w:rPr>
              <w:t>Plans</w:t>
            </w:r>
          </w:p>
          <w:p>
            <w:pPr>
              <w:pStyle w:val="TableParagraph"/>
              <w:spacing w:before="60"/>
              <w:ind w:left="175" w:right="101"/>
              <w:rPr>
                <w:sz w:val="19"/>
              </w:rPr>
            </w:pPr>
            <w:r>
              <w:rPr>
                <w:color w:val="3A3A5C"/>
                <w:sz w:val="19"/>
              </w:rPr>
              <w:t>August, October (55.4%), and December (55.2%) are peak delay months. Build pre-season capacity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plans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including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temporary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logistics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partnerships,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inventory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pre-positioning,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adjusted delivery promise windows.</w:t>
            </w:r>
          </w:p>
        </w:tc>
      </w:tr>
    </w:tbl>
    <w:p>
      <w:pPr>
        <w:pStyle w:val="BodyText"/>
        <w:spacing w:before="110"/>
      </w:pPr>
    </w:p>
    <w:tbl>
      <w:tblPr>
        <w:tblW w:w="0" w:type="auto"/>
        <w:jc w:val="left"/>
        <w:tblInd w:w="125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640"/>
      </w:tblGrid>
      <w:tr>
        <w:trPr>
          <w:trHeight w:val="1159" w:hRule="atLeast"/>
        </w:trPr>
        <w:tc>
          <w:tcPr>
            <w:tcW w:w="1010" w:type="dxa"/>
            <w:tcBorders>
              <w:top w:val="nil"/>
              <w:left w:val="nil"/>
              <w:bottom w:val="nil"/>
            </w:tcBorders>
            <w:shd w:val="clear" w:color="auto" w:fill="2E8B79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103"/>
              <w:ind w:left="0"/>
              <w:rPr>
                <w:sz w:val="17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MEDIUM</w:t>
            </w:r>
          </w:p>
        </w:tc>
        <w:tc>
          <w:tcPr>
            <w:tcW w:w="8640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19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5.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Default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to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Standard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Class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for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Eligible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Orders</w:t>
            </w:r>
          </w:p>
          <w:p>
            <w:pPr>
              <w:pStyle w:val="TableParagraph"/>
              <w:spacing w:before="60"/>
              <w:ind w:left="174"/>
              <w:rPr>
                <w:sz w:val="19"/>
              </w:rPr>
            </w:pPr>
            <w:r>
              <w:rPr>
                <w:color w:val="3A3A5C"/>
                <w:sz w:val="19"/>
              </w:rPr>
              <w:t>Standard Class achieves a 39.8% delay rate far superior to First and Second Class. Re-evaluate shipping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mode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assignment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logic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to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default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eligible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orders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to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Standard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Class,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particularly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in</w:t>
            </w:r>
            <w:r>
              <w:rPr>
                <w:color w:val="3A3A5C"/>
                <w:spacing w:val="-4"/>
                <w:sz w:val="19"/>
              </w:rPr>
              <w:t> </w:t>
            </w:r>
            <w:r>
              <w:rPr>
                <w:color w:val="3A3A5C"/>
                <w:sz w:val="19"/>
              </w:rPr>
              <w:t>regions and departments with poor premium mode performance.</w:t>
            </w:r>
          </w:p>
        </w:tc>
      </w:tr>
    </w:tbl>
    <w:p>
      <w:pPr>
        <w:pStyle w:val="BodyText"/>
        <w:spacing w:before="111"/>
      </w:pPr>
    </w:p>
    <w:tbl>
      <w:tblPr>
        <w:tblW w:w="0" w:type="auto"/>
        <w:jc w:val="left"/>
        <w:tblInd w:w="125" w:type="dxa"/>
        <w:tblBorders>
          <w:top w:val="single" w:sz="8" w:space="0" w:color="2E8B79"/>
          <w:left w:val="single" w:sz="8" w:space="0" w:color="2E8B79"/>
          <w:bottom w:val="single" w:sz="8" w:space="0" w:color="2E8B79"/>
          <w:right w:val="single" w:sz="8" w:space="0" w:color="2E8B79"/>
          <w:insideH w:val="single" w:sz="8" w:space="0" w:color="2E8B79"/>
          <w:insideV w:val="single" w:sz="8" w:space="0" w:color="2E8B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8640"/>
      </w:tblGrid>
      <w:tr>
        <w:trPr>
          <w:trHeight w:val="1160" w:hRule="atLeast"/>
        </w:trPr>
        <w:tc>
          <w:tcPr>
            <w:tcW w:w="1010" w:type="dxa"/>
            <w:tcBorders>
              <w:top w:val="nil"/>
              <w:left w:val="nil"/>
              <w:bottom w:val="nil"/>
            </w:tcBorders>
            <w:shd w:val="clear" w:color="auto" w:fill="2E8B79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98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MEDIUM</w:t>
            </w:r>
          </w:p>
        </w:tc>
        <w:tc>
          <w:tcPr>
            <w:tcW w:w="8640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15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6.</w:t>
            </w:r>
            <w:r>
              <w:rPr>
                <w:rFonts w:ascii="Arial"/>
                <w:b/>
                <w:color w:val="1B294A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Investigate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High-Delay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Departments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in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Africa</w:t>
            </w:r>
          </w:p>
          <w:p>
            <w:pPr>
              <w:pStyle w:val="TableParagraph"/>
              <w:spacing w:before="60"/>
              <w:ind w:left="174" w:right="73"/>
              <w:rPr>
                <w:sz w:val="19"/>
              </w:rPr>
            </w:pPr>
            <w:r>
              <w:rPr>
                <w:color w:val="3A3A5C"/>
                <w:sz w:val="19"/>
              </w:rPr>
              <w:t>Outdoors (61.3%) and Golf (60.8%) in Central Africa show significantly elevated delay rates. Conduct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warehouse-level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audit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of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stock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availability,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pick-and-pack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times,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carrier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assignment for these product categories.</w:t>
            </w:r>
          </w:p>
        </w:tc>
      </w:tr>
    </w:tbl>
    <w:p>
      <w:pPr>
        <w:pStyle w:val="BodyText"/>
        <w:spacing w:before="110"/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8631"/>
      </w:tblGrid>
      <w:tr>
        <w:trPr>
          <w:trHeight w:val="1159" w:hRule="atLeast"/>
        </w:trPr>
        <w:tc>
          <w:tcPr>
            <w:tcW w:w="1019" w:type="dxa"/>
            <w:shd w:val="clear" w:color="auto" w:fill="1B294A"/>
          </w:tcPr>
          <w:p>
            <w:pPr>
              <w:pStyle w:val="TableParagraph"/>
              <w:ind w:left="0"/>
              <w:rPr>
                <w:sz w:val="17"/>
              </w:rPr>
            </w:pPr>
          </w:p>
          <w:p>
            <w:pPr>
              <w:pStyle w:val="TableParagraph"/>
              <w:spacing w:before="94"/>
              <w:ind w:left="0"/>
              <w:rPr>
                <w:sz w:val="17"/>
              </w:rPr>
            </w:pPr>
          </w:p>
          <w:p>
            <w:pPr>
              <w:pStyle w:val="TableParagraph"/>
              <w:ind w:left="3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LOW</w:t>
            </w:r>
          </w:p>
        </w:tc>
        <w:tc>
          <w:tcPr>
            <w:tcW w:w="8631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10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7.</w:t>
            </w:r>
            <w:r>
              <w:rPr>
                <w:rFonts w:ascii="Arial"/>
                <w:b/>
                <w:color w:val="1B294A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Reduce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Loss-Making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Order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Share</w:t>
            </w:r>
            <w:r>
              <w:rPr>
                <w:rFonts w:ascii="Arial"/>
                <w:b/>
                <w:color w:val="1B294A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2"/>
                <w:sz w:val="20"/>
              </w:rPr>
              <w:t>(18.7%)</w:t>
            </w:r>
          </w:p>
          <w:p>
            <w:pPr>
              <w:pStyle w:val="TableParagraph"/>
              <w:spacing w:before="60"/>
              <w:ind w:left="175"/>
              <w:rPr>
                <w:sz w:val="19"/>
              </w:rPr>
            </w:pP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18.7%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loss-making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order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share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warrants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separate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pricing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discount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review.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Combine</w:t>
            </w:r>
            <w:r>
              <w:rPr>
                <w:color w:val="3A3A5C"/>
                <w:spacing w:val="-5"/>
                <w:sz w:val="19"/>
              </w:rPr>
              <w:t> </w:t>
            </w:r>
            <w:r>
              <w:rPr>
                <w:color w:val="3A3A5C"/>
                <w:sz w:val="19"/>
              </w:rPr>
              <w:t>with delay analysis to identify whether discounted orders are disproportionately late, creating a compounded margin problem.</w:t>
            </w:r>
          </w:p>
        </w:tc>
      </w:tr>
    </w:tbl>
    <w:p>
      <w:pPr>
        <w:pStyle w:val="BodyText"/>
        <w:spacing w:before="111"/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8631"/>
      </w:tblGrid>
      <w:tr>
        <w:trPr>
          <w:trHeight w:val="920" w:hRule="atLeast"/>
        </w:trPr>
        <w:tc>
          <w:tcPr>
            <w:tcW w:w="1019" w:type="dxa"/>
            <w:shd w:val="clear" w:color="auto" w:fill="1B294A"/>
          </w:tcPr>
          <w:p>
            <w:pPr>
              <w:pStyle w:val="TableParagraph"/>
              <w:spacing w:before="176"/>
              <w:ind w:left="0"/>
              <w:rPr>
                <w:sz w:val="17"/>
              </w:rPr>
            </w:pPr>
          </w:p>
          <w:p>
            <w:pPr>
              <w:pStyle w:val="TableParagraph"/>
              <w:ind w:left="3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LOW</w:t>
            </w:r>
          </w:p>
        </w:tc>
        <w:tc>
          <w:tcPr>
            <w:tcW w:w="8631" w:type="dxa"/>
            <w:tcBorders>
              <w:top w:val="single" w:sz="8" w:space="0" w:color="DDE3EC"/>
              <w:bottom w:val="single" w:sz="8" w:space="0" w:color="DDE3EC"/>
              <w:right w:val="single" w:sz="8" w:space="0" w:color="DDE3EC"/>
            </w:tcBorders>
            <w:shd w:val="clear" w:color="auto" w:fill="F4F5F9"/>
          </w:tcPr>
          <w:p>
            <w:pPr>
              <w:pStyle w:val="TableParagraph"/>
              <w:spacing w:before="105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294A"/>
                <w:sz w:val="20"/>
              </w:rPr>
              <w:t>8.</w:t>
            </w:r>
            <w:r>
              <w:rPr>
                <w:rFonts w:ascii="Arial"/>
                <w:b/>
                <w:color w:val="1B294A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Continuously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Retrain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the</w:t>
            </w:r>
            <w:r>
              <w:rPr>
                <w:rFonts w:ascii="Arial"/>
                <w:b/>
                <w:color w:val="1B294A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B294A"/>
                <w:sz w:val="20"/>
              </w:rPr>
              <w:t>Predictive</w:t>
            </w:r>
            <w:r>
              <w:rPr>
                <w:rFonts w:ascii="Arial"/>
                <w:b/>
                <w:color w:val="1B294A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B294A"/>
                <w:spacing w:val="-4"/>
                <w:sz w:val="20"/>
              </w:rPr>
              <w:t>Model</w:t>
            </w:r>
          </w:p>
          <w:p>
            <w:pPr>
              <w:pStyle w:val="TableParagraph"/>
              <w:spacing w:before="60"/>
              <w:ind w:left="175"/>
              <w:rPr>
                <w:sz w:val="19"/>
              </w:rPr>
            </w:pPr>
            <w:r>
              <w:rPr>
                <w:color w:val="3A3A5C"/>
                <w:sz w:val="19"/>
              </w:rPr>
              <w:t>Retrain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the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model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quarterly.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Explore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adding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carrier-level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data,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weather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events,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and</w:t>
            </w:r>
            <w:r>
              <w:rPr>
                <w:color w:val="3A3A5C"/>
                <w:spacing w:val="-6"/>
                <w:sz w:val="19"/>
              </w:rPr>
              <w:t> </w:t>
            </w:r>
            <w:r>
              <w:rPr>
                <w:color w:val="3A3A5C"/>
                <w:sz w:val="19"/>
              </w:rPr>
              <w:t>warehouse utilisation features. Target a recall improvement to above 80% on late orders within 6 months.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18"/>
          <w:footerReference w:type="default" r:id="rId19"/>
          <w:pgSz w:w="11920" w:h="16840"/>
          <w:pgMar w:header="800" w:footer="880" w:top="1800" w:bottom="1080" w:left="992" w:right="708"/>
        </w:sectPr>
      </w:pPr>
    </w:p>
    <w:p>
      <w:pPr>
        <w:pStyle w:val="BodyText"/>
        <w:spacing w:before="1"/>
        <w:rPr>
          <w:sz w:val="7"/>
        </w:rPr>
      </w:pPr>
    </w:p>
    <w:p>
      <w:pPr>
        <w:spacing w:line="20" w:lineRule="exact"/>
        <w:ind w:left="1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1400" cy="12700"/>
                <wp:effectExtent l="9525" t="0" r="3175" b="635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1400" cy="12700"/>
                          <a:chExt cx="6121400" cy="12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0">
                                <a:moveTo>
                                  <a:pt x="0" y="0"/>
                                </a:moveTo>
                                <a:lnTo>
                                  <a:pt x="6121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8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pt;height:1pt;mso-position-horizontal-relative:char;mso-position-vertical-relative:line" id="docshapegroup22" coordorigin="0,0" coordsize="9640,20">
                <v:line style="position:absolute" from="0,10" to="9640,10" stroked="true" strokeweight="1.0pt" strokecolor="#2e8b7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8"/>
        <w:ind w:left="141" w:right="481"/>
      </w:pPr>
      <w:bookmarkStart w:name="10. Conclusion " w:id="19"/>
      <w:bookmarkEnd w:id="19"/>
      <w:r>
        <w:rPr/>
      </w:r>
      <w:r>
        <w:rPr>
          <w:color w:val="1A1A2E"/>
        </w:rPr>
        <w:t>This analysis has surfaced a clear and urgent picture: a global e-commerce operation where the majority of orders</w:t>
      </w:r>
      <w:r>
        <w:rPr>
          <w:color w:val="1A1A2E"/>
          <w:spacing w:val="-3"/>
        </w:rPr>
        <w:t> </w:t>
      </w:r>
      <w:r>
        <w:rPr>
          <w:color w:val="1A1A2E"/>
        </w:rPr>
        <w:t>(54.71%)</w:t>
      </w:r>
      <w:r>
        <w:rPr>
          <w:color w:val="1A1A2E"/>
          <w:spacing w:val="-3"/>
        </w:rPr>
        <w:t> </w:t>
      </w:r>
      <w:r>
        <w:rPr>
          <w:color w:val="1A1A2E"/>
        </w:rPr>
        <w:t>fail</w:t>
      </w:r>
      <w:r>
        <w:rPr>
          <w:color w:val="1A1A2E"/>
          <w:spacing w:val="-3"/>
        </w:rPr>
        <w:t> </w:t>
      </w:r>
      <w:r>
        <w:rPr>
          <w:color w:val="1A1A2E"/>
        </w:rPr>
        <w:t>to</w:t>
      </w:r>
      <w:r>
        <w:rPr>
          <w:color w:val="1A1A2E"/>
          <w:spacing w:val="-3"/>
        </w:rPr>
        <w:t> </w:t>
      </w:r>
      <w:r>
        <w:rPr>
          <w:color w:val="1A1A2E"/>
        </w:rPr>
        <w:t>meet</w:t>
      </w:r>
      <w:r>
        <w:rPr>
          <w:color w:val="1A1A2E"/>
          <w:spacing w:val="-3"/>
        </w:rPr>
        <w:t> </w:t>
      </w:r>
      <w:r>
        <w:rPr>
          <w:color w:val="1A1A2E"/>
        </w:rPr>
        <w:t>their</w:t>
      </w:r>
      <w:r>
        <w:rPr>
          <w:color w:val="1A1A2E"/>
          <w:spacing w:val="-3"/>
        </w:rPr>
        <w:t> </w:t>
      </w:r>
      <w:r>
        <w:rPr>
          <w:color w:val="1A1A2E"/>
        </w:rPr>
        <w:t>promised</w:t>
      </w:r>
      <w:r>
        <w:rPr>
          <w:color w:val="1A1A2E"/>
          <w:spacing w:val="-3"/>
        </w:rPr>
        <w:t> </w:t>
      </w:r>
      <w:r>
        <w:rPr>
          <w:color w:val="1A1A2E"/>
        </w:rPr>
        <w:t>delivery</w:t>
      </w:r>
      <w:r>
        <w:rPr>
          <w:color w:val="1A1A2E"/>
          <w:spacing w:val="-3"/>
        </w:rPr>
        <w:t> </w:t>
      </w:r>
      <w:r>
        <w:rPr>
          <w:color w:val="1A1A2E"/>
        </w:rPr>
        <w:t>windows,</w:t>
      </w:r>
      <w:r>
        <w:rPr>
          <w:color w:val="1A1A2E"/>
          <w:spacing w:val="-3"/>
        </w:rPr>
        <w:t> </w:t>
      </w:r>
      <w:r>
        <w:rPr>
          <w:color w:val="1A1A2E"/>
        </w:rPr>
        <w:t>costing</w:t>
      </w:r>
      <w:r>
        <w:rPr>
          <w:color w:val="1A1A2E"/>
          <w:spacing w:val="-3"/>
        </w:rPr>
        <w:t> </w:t>
      </w:r>
      <w:r>
        <w:rPr>
          <w:color w:val="1A1A2E"/>
        </w:rPr>
        <w:t>$2.1M</w:t>
      </w:r>
      <w:r>
        <w:rPr>
          <w:color w:val="1A1A2E"/>
          <w:spacing w:val="-3"/>
        </w:rPr>
        <w:t> </w:t>
      </w:r>
      <w:r>
        <w:rPr>
          <w:color w:val="1A1A2E"/>
        </w:rPr>
        <w:t>in</w:t>
      </w:r>
      <w:r>
        <w:rPr>
          <w:color w:val="1A1A2E"/>
          <w:spacing w:val="-3"/>
        </w:rPr>
        <w:t> </w:t>
      </w:r>
      <w:r>
        <w:rPr>
          <w:color w:val="1A1A2E"/>
        </w:rPr>
        <w:t>at-risk</w:t>
      </w:r>
      <w:r>
        <w:rPr>
          <w:color w:val="1A1A2E"/>
          <w:spacing w:val="-3"/>
        </w:rPr>
        <w:t> </w:t>
      </w:r>
      <w:r>
        <w:rPr>
          <w:color w:val="1A1A2E"/>
        </w:rPr>
        <w:t>profit</w:t>
      </w:r>
      <w:r>
        <w:rPr>
          <w:color w:val="1A1A2E"/>
          <w:spacing w:val="-3"/>
        </w:rPr>
        <w:t> </w:t>
      </w:r>
      <w:r>
        <w:rPr>
          <w:color w:val="1A1A2E"/>
        </w:rPr>
        <w:t>and</w:t>
      </w:r>
      <w:r>
        <w:rPr>
          <w:color w:val="1A1A2E"/>
          <w:spacing w:val="-3"/>
        </w:rPr>
        <w:t> </w:t>
      </w:r>
      <w:r>
        <w:rPr>
          <w:color w:val="1A1A2E"/>
        </w:rPr>
        <w:t>undermining customer trust at scale.</w:t>
      </w:r>
    </w:p>
    <w:p>
      <w:pPr>
        <w:pStyle w:val="BodyText"/>
        <w:spacing w:before="120"/>
        <w:ind w:left="141" w:right="392"/>
      </w:pPr>
      <w:r>
        <w:rPr>
          <w:color w:val="1A1A2E"/>
        </w:rPr>
        <w:t>The root causes are identifiable and addressable. Shipping mode misconfiguration (First Class at 100% late, Second</w:t>
      </w:r>
      <w:r>
        <w:rPr>
          <w:color w:val="1A1A2E"/>
          <w:spacing w:val="-3"/>
        </w:rPr>
        <w:t> </w:t>
      </w:r>
      <w:r>
        <w:rPr>
          <w:color w:val="1A1A2E"/>
        </w:rPr>
        <w:t>Class</w:t>
      </w:r>
      <w:r>
        <w:rPr>
          <w:color w:val="1A1A2E"/>
          <w:spacing w:val="-3"/>
        </w:rPr>
        <w:t> </w:t>
      </w:r>
      <w:r>
        <w:rPr>
          <w:color w:val="1A1A2E"/>
        </w:rPr>
        <w:t>at</w:t>
      </w:r>
      <w:r>
        <w:rPr>
          <w:color w:val="1A1A2E"/>
          <w:spacing w:val="-3"/>
        </w:rPr>
        <w:t> </w:t>
      </w:r>
      <w:r>
        <w:rPr>
          <w:color w:val="1A1A2E"/>
        </w:rPr>
        <w:t>79.8%)</w:t>
      </w:r>
      <w:r>
        <w:rPr>
          <w:color w:val="1A1A2E"/>
          <w:spacing w:val="-3"/>
        </w:rPr>
        <w:t> </w:t>
      </w:r>
      <w:r>
        <w:rPr>
          <w:color w:val="1A1A2E"/>
        </w:rPr>
        <w:t>is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dominant</w:t>
      </w:r>
      <w:r>
        <w:rPr>
          <w:color w:val="1A1A2E"/>
          <w:spacing w:val="-3"/>
        </w:rPr>
        <w:t> </w:t>
      </w:r>
      <w:r>
        <w:rPr>
          <w:color w:val="1A1A2E"/>
        </w:rPr>
        <w:t>operational</w:t>
      </w:r>
      <w:r>
        <w:rPr>
          <w:color w:val="1A1A2E"/>
          <w:spacing w:val="-3"/>
        </w:rPr>
        <w:t> </w:t>
      </w:r>
      <w:r>
        <w:rPr>
          <w:color w:val="1A1A2E"/>
        </w:rPr>
        <w:t>failure.</w:t>
      </w:r>
      <w:r>
        <w:rPr>
          <w:color w:val="1A1A2E"/>
          <w:spacing w:val="-3"/>
        </w:rPr>
        <w:t> </w:t>
      </w:r>
      <w:r>
        <w:rPr>
          <w:color w:val="1A1A2E"/>
        </w:rPr>
        <w:t>Payment</w:t>
      </w:r>
      <w:r>
        <w:rPr>
          <w:color w:val="1A1A2E"/>
          <w:spacing w:val="-3"/>
        </w:rPr>
        <w:t> </w:t>
      </w:r>
      <w:r>
        <w:rPr>
          <w:color w:val="1A1A2E"/>
        </w:rPr>
        <w:t>processing</w:t>
      </w:r>
      <w:r>
        <w:rPr>
          <w:color w:val="1A1A2E"/>
          <w:spacing w:val="-3"/>
        </w:rPr>
        <w:t> </w:t>
      </w:r>
      <w:r>
        <w:rPr>
          <w:color w:val="1A1A2E"/>
        </w:rPr>
        <w:t>friction</w:t>
      </w:r>
      <w:r>
        <w:rPr>
          <w:color w:val="1A1A2E"/>
          <w:spacing w:val="-3"/>
        </w:rPr>
        <w:t> </w:t>
      </w:r>
      <w:r>
        <w:rPr>
          <w:color w:val="1A1A2E"/>
        </w:rPr>
        <w:t>creates</w:t>
      </w:r>
      <w:r>
        <w:rPr>
          <w:color w:val="1A1A2E"/>
          <w:spacing w:val="-3"/>
        </w:rPr>
        <w:t> </w:t>
      </w:r>
      <w:r>
        <w:rPr>
          <w:color w:val="1A1A2E"/>
        </w:rPr>
        <w:t>a</w:t>
      </w:r>
      <w:r>
        <w:rPr>
          <w:color w:val="1A1A2E"/>
          <w:spacing w:val="-3"/>
        </w:rPr>
        <w:t> </w:t>
      </w:r>
      <w:r>
        <w:rPr>
          <w:color w:val="1A1A2E"/>
        </w:rPr>
        <w:t>secondary bottleneck. Seasonal volume spikes are not adequately planned for. And geographic disparities, while present, are secondary to the systemic company-wide pattern.</w:t>
      </w:r>
    </w:p>
    <w:p>
      <w:pPr>
        <w:pStyle w:val="BodyText"/>
        <w:spacing w:before="120"/>
        <w:ind w:left="141" w:right="685"/>
      </w:pPr>
      <w:r>
        <w:rPr>
          <w:color w:val="1A1A2E"/>
        </w:rPr>
        <w:t>A</w:t>
      </w:r>
      <w:r>
        <w:rPr>
          <w:color w:val="1A1A2E"/>
          <w:spacing w:val="-4"/>
        </w:rPr>
        <w:t> </w:t>
      </w:r>
      <w:r>
        <w:rPr>
          <w:color w:val="1A1A2E"/>
        </w:rPr>
        <w:t>Random</w:t>
      </w:r>
      <w:r>
        <w:rPr>
          <w:color w:val="1A1A2E"/>
          <w:spacing w:val="-4"/>
        </w:rPr>
        <w:t> </w:t>
      </w:r>
      <w:r>
        <w:rPr>
          <w:color w:val="1A1A2E"/>
        </w:rPr>
        <w:t>Forest</w:t>
      </w:r>
      <w:r>
        <w:rPr>
          <w:color w:val="1A1A2E"/>
          <w:spacing w:val="-4"/>
        </w:rPr>
        <w:t> </w:t>
      </w:r>
      <w:r>
        <w:rPr>
          <w:color w:val="1A1A2E"/>
        </w:rPr>
        <w:t>predictive</w:t>
      </w:r>
      <w:r>
        <w:rPr>
          <w:color w:val="1A1A2E"/>
          <w:spacing w:val="-4"/>
        </w:rPr>
        <w:t> </w:t>
      </w:r>
      <w:r>
        <w:rPr>
          <w:color w:val="1A1A2E"/>
        </w:rPr>
        <w:t>model</w:t>
      </w:r>
      <w:r>
        <w:rPr>
          <w:color w:val="1A1A2E"/>
          <w:spacing w:val="-4"/>
        </w:rPr>
        <w:t> </w:t>
      </w:r>
      <w:r>
        <w:rPr>
          <w:color w:val="1A1A2E"/>
        </w:rPr>
        <w:t>trained</w:t>
      </w:r>
      <w:r>
        <w:rPr>
          <w:color w:val="1A1A2E"/>
          <w:spacing w:val="-4"/>
        </w:rPr>
        <w:t> </w:t>
      </w:r>
      <w:r>
        <w:rPr>
          <w:color w:val="1A1A2E"/>
        </w:rPr>
        <w:t>on</w:t>
      </w:r>
      <w:r>
        <w:rPr>
          <w:color w:val="1A1A2E"/>
          <w:spacing w:val="-4"/>
        </w:rPr>
        <w:t> </w:t>
      </w:r>
      <w:r>
        <w:rPr>
          <w:color w:val="1A1A2E"/>
        </w:rPr>
        <w:t>readily</w:t>
      </w:r>
      <w:r>
        <w:rPr>
          <w:color w:val="1A1A2E"/>
          <w:spacing w:val="-4"/>
        </w:rPr>
        <w:t> </w:t>
      </w:r>
      <w:r>
        <w:rPr>
          <w:color w:val="1A1A2E"/>
        </w:rPr>
        <w:t>available</w:t>
      </w:r>
      <w:r>
        <w:rPr>
          <w:color w:val="1A1A2E"/>
          <w:spacing w:val="-4"/>
        </w:rPr>
        <w:t> </w:t>
      </w:r>
      <w:r>
        <w:rPr>
          <w:color w:val="1A1A2E"/>
        </w:rPr>
        <w:t>order</w:t>
      </w:r>
      <w:r>
        <w:rPr>
          <w:color w:val="1A1A2E"/>
          <w:spacing w:val="-4"/>
        </w:rPr>
        <w:t> </w:t>
      </w:r>
      <w:r>
        <w:rPr>
          <w:color w:val="1A1A2E"/>
        </w:rPr>
        <w:t>features</w:t>
      </w:r>
      <w:r>
        <w:rPr>
          <w:color w:val="1A1A2E"/>
          <w:spacing w:val="-4"/>
        </w:rPr>
        <w:t> </w:t>
      </w:r>
      <w:r>
        <w:rPr>
          <w:color w:val="1A1A2E"/>
        </w:rPr>
        <w:t>already</w:t>
      </w:r>
      <w:r>
        <w:rPr>
          <w:color w:val="1A1A2E"/>
          <w:spacing w:val="-4"/>
        </w:rPr>
        <w:t> </w:t>
      </w:r>
      <w:r>
        <w:rPr>
          <w:color w:val="1A1A2E"/>
        </w:rPr>
        <w:t>achieves</w:t>
      </w:r>
      <w:r>
        <w:rPr>
          <w:color w:val="1A1A2E"/>
          <w:spacing w:val="-4"/>
        </w:rPr>
        <w:t> </w:t>
      </w:r>
      <w:r>
        <w:rPr>
          <w:color w:val="1A1A2E"/>
        </w:rPr>
        <w:t>74% accuracy in identifying at-risk orders. This is a deployable tool, not a future aspiration.</w:t>
      </w:r>
    </w:p>
    <w:p>
      <w:pPr>
        <w:pStyle w:val="BodyText"/>
        <w:spacing w:before="222"/>
      </w:pPr>
    </w:p>
    <w:tbl>
      <w:tblPr>
        <w:tblW w:w="0" w:type="auto"/>
        <w:jc w:val="left"/>
        <w:tblInd w:w="147" w:type="dxa"/>
        <w:tblBorders>
          <w:top w:val="single" w:sz="8" w:space="0" w:color="DDE3EC"/>
          <w:left w:val="single" w:sz="8" w:space="0" w:color="DDE3EC"/>
          <w:bottom w:val="single" w:sz="8" w:space="0" w:color="DDE3EC"/>
          <w:right w:val="single" w:sz="8" w:space="0" w:color="DDE3EC"/>
          <w:insideH w:val="single" w:sz="8" w:space="0" w:color="DDE3EC"/>
          <w:insideV w:val="single" w:sz="8" w:space="0" w:color="DDE3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0"/>
        <w:gridCol w:w="2400"/>
        <w:gridCol w:w="3440"/>
      </w:tblGrid>
      <w:tr>
        <w:trPr>
          <w:trHeight w:val="380" w:hRule="atLeast"/>
        </w:trPr>
        <w:tc>
          <w:tcPr>
            <w:tcW w:w="3800" w:type="dxa"/>
            <w:shd w:val="clear" w:color="auto" w:fill="1B294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Priority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2400" w:type="dxa"/>
            <w:shd w:val="clear" w:color="auto" w:fill="1B294A"/>
          </w:tcPr>
          <w:p>
            <w:pPr>
              <w:pStyle w:val="TableParagraph"/>
              <w:spacing w:before="87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Current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State</w:t>
            </w:r>
          </w:p>
        </w:tc>
        <w:tc>
          <w:tcPr>
            <w:tcW w:w="3440" w:type="dxa"/>
            <w:shd w:val="clear" w:color="auto" w:fill="1B294A"/>
          </w:tcPr>
          <w:p>
            <w:pPr>
              <w:pStyle w:val="TableParagraph"/>
              <w:spacing w:before="87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Target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State</w:t>
            </w:r>
          </w:p>
        </w:tc>
      </w:tr>
      <w:tr>
        <w:trPr>
          <w:trHeight w:val="359" w:hRule="atLeast"/>
        </w:trPr>
        <w:tc>
          <w:tcPr>
            <w:tcW w:w="3800" w:type="dxa"/>
          </w:tcPr>
          <w:p>
            <w:pPr>
              <w:pStyle w:val="TableParagraph"/>
              <w:spacing w:before="71"/>
              <w:rPr>
                <w:sz w:val="19"/>
              </w:rPr>
            </w:pPr>
            <w:r>
              <w:rPr>
                <w:color w:val="1A1A2E"/>
                <w:sz w:val="19"/>
              </w:rPr>
              <w:t>Late</w:t>
            </w:r>
            <w:r>
              <w:rPr>
                <w:color w:val="1A1A2E"/>
                <w:spacing w:val="-6"/>
                <w:sz w:val="19"/>
              </w:rPr>
              <w:t> </w:t>
            </w:r>
            <w:r>
              <w:rPr>
                <w:color w:val="1A1A2E"/>
                <w:sz w:val="19"/>
              </w:rPr>
              <w:t>Delivery</w:t>
            </w:r>
            <w:r>
              <w:rPr>
                <w:color w:val="1A1A2E"/>
                <w:spacing w:val="-6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Rate</w:t>
            </w:r>
          </w:p>
        </w:tc>
        <w:tc>
          <w:tcPr>
            <w:tcW w:w="2400" w:type="dxa"/>
          </w:tcPr>
          <w:p>
            <w:pPr>
              <w:pStyle w:val="TableParagraph"/>
              <w:spacing w:before="71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54.71%</w:t>
            </w:r>
          </w:p>
        </w:tc>
        <w:tc>
          <w:tcPr>
            <w:tcW w:w="3440" w:type="dxa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&lt;</w:t>
            </w:r>
            <w:r>
              <w:rPr>
                <w:rFonts w:ascii="Arial"/>
                <w:b/>
                <w:color w:val="2E8B79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30%</w:t>
            </w:r>
            <w:r>
              <w:rPr>
                <w:rFonts w:ascii="Arial"/>
                <w:b/>
                <w:color w:val="2E8B79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within</w:t>
            </w:r>
            <w:r>
              <w:rPr>
                <w:rFonts w:ascii="Arial"/>
                <w:b/>
                <w:color w:val="2E8B79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12</w:t>
            </w:r>
            <w:r>
              <w:rPr>
                <w:rFonts w:ascii="Arial"/>
                <w:b/>
                <w:color w:val="2E8B79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2"/>
                <w:sz w:val="19"/>
              </w:rPr>
              <w:t>months</w:t>
            </w:r>
          </w:p>
        </w:tc>
      </w:tr>
      <w:tr>
        <w:trPr>
          <w:trHeight w:val="359" w:hRule="atLeast"/>
        </w:trPr>
        <w:tc>
          <w:tcPr>
            <w:tcW w:w="3800" w:type="dxa"/>
            <w:shd w:val="clear" w:color="auto" w:fill="F4F5F9"/>
          </w:tcPr>
          <w:p>
            <w:pPr>
              <w:pStyle w:val="TableParagraph"/>
              <w:spacing w:before="74"/>
              <w:rPr>
                <w:sz w:val="19"/>
              </w:rPr>
            </w:pPr>
            <w:r>
              <w:rPr>
                <w:color w:val="1A1A2E"/>
                <w:sz w:val="19"/>
              </w:rPr>
              <w:t>First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Class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On-Time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Rate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74"/>
              <w:ind w:left="119"/>
              <w:rPr>
                <w:sz w:val="19"/>
              </w:rPr>
            </w:pPr>
            <w:r>
              <w:rPr>
                <w:color w:val="1A1A2E"/>
                <w:spacing w:val="-5"/>
                <w:sz w:val="19"/>
              </w:rPr>
              <w:t>0%</w:t>
            </w:r>
          </w:p>
        </w:tc>
        <w:tc>
          <w:tcPr>
            <w:tcW w:w="3440" w:type="dxa"/>
            <w:shd w:val="clear" w:color="auto" w:fill="F4F5F9"/>
          </w:tcPr>
          <w:p>
            <w:pPr>
              <w:pStyle w:val="TableParagraph"/>
              <w:spacing w:before="74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&gt;</w:t>
            </w:r>
            <w:r>
              <w:rPr>
                <w:rFonts w:ascii="Arial"/>
                <w:b/>
                <w:color w:val="2E8B79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5"/>
                <w:sz w:val="19"/>
              </w:rPr>
              <w:t>80%</w:t>
            </w:r>
          </w:p>
        </w:tc>
      </w:tr>
      <w:tr>
        <w:trPr>
          <w:trHeight w:val="360" w:hRule="atLeast"/>
        </w:trPr>
        <w:tc>
          <w:tcPr>
            <w:tcW w:w="3800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A1A2E"/>
                <w:sz w:val="19"/>
              </w:rPr>
              <w:t>Second</w:t>
            </w:r>
            <w:r>
              <w:rPr>
                <w:color w:val="1A1A2E"/>
                <w:spacing w:val="-9"/>
                <w:sz w:val="19"/>
              </w:rPr>
              <w:t> </w:t>
            </w:r>
            <w:r>
              <w:rPr>
                <w:color w:val="1A1A2E"/>
                <w:sz w:val="19"/>
              </w:rPr>
              <w:t>Class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On-Time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pacing w:val="-4"/>
                <w:sz w:val="19"/>
              </w:rPr>
              <w:t>Rate</w:t>
            </w:r>
          </w:p>
        </w:tc>
        <w:tc>
          <w:tcPr>
            <w:tcW w:w="2400" w:type="dxa"/>
          </w:tcPr>
          <w:p>
            <w:pPr>
              <w:pStyle w:val="TableParagraph"/>
              <w:spacing w:before="78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20.2%</w:t>
            </w:r>
          </w:p>
        </w:tc>
        <w:tc>
          <w:tcPr>
            <w:tcW w:w="3440" w:type="dxa"/>
          </w:tcPr>
          <w:p>
            <w:pPr>
              <w:pStyle w:val="TableParagraph"/>
              <w:spacing w:before="78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&gt;</w:t>
            </w:r>
            <w:r>
              <w:rPr>
                <w:rFonts w:ascii="Arial"/>
                <w:b/>
                <w:color w:val="2E8B79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5"/>
                <w:sz w:val="19"/>
              </w:rPr>
              <w:t>60%</w:t>
            </w:r>
          </w:p>
        </w:tc>
      </w:tr>
      <w:tr>
        <w:trPr>
          <w:trHeight w:val="360" w:hRule="atLeast"/>
        </w:trPr>
        <w:tc>
          <w:tcPr>
            <w:tcW w:w="3800" w:type="dxa"/>
            <w:shd w:val="clear" w:color="auto" w:fill="F4F5F9"/>
          </w:tcPr>
          <w:p>
            <w:pPr>
              <w:pStyle w:val="TableParagraph"/>
              <w:spacing w:before="81"/>
              <w:rPr>
                <w:sz w:val="19"/>
              </w:rPr>
            </w:pPr>
            <w:r>
              <w:rPr>
                <w:color w:val="1A1A2E"/>
                <w:sz w:val="19"/>
              </w:rPr>
              <w:t>Predictive</w:t>
            </w:r>
            <w:r>
              <w:rPr>
                <w:color w:val="1A1A2E"/>
                <w:spacing w:val="-8"/>
                <w:sz w:val="19"/>
              </w:rPr>
              <w:t> </w:t>
            </w:r>
            <w:r>
              <w:rPr>
                <w:color w:val="1A1A2E"/>
                <w:sz w:val="19"/>
              </w:rPr>
              <w:t>Model</w:t>
            </w:r>
            <w:r>
              <w:rPr>
                <w:color w:val="1A1A2E"/>
                <w:spacing w:val="-7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Accuracy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81"/>
              <w:ind w:left="119"/>
              <w:rPr>
                <w:sz w:val="19"/>
              </w:rPr>
            </w:pPr>
            <w:r>
              <w:rPr>
                <w:color w:val="1A1A2E"/>
                <w:spacing w:val="-5"/>
                <w:sz w:val="19"/>
              </w:rPr>
              <w:t>74%</w:t>
            </w:r>
          </w:p>
        </w:tc>
        <w:tc>
          <w:tcPr>
            <w:tcW w:w="3440" w:type="dxa"/>
            <w:shd w:val="clear" w:color="auto" w:fill="F4F5F9"/>
          </w:tcPr>
          <w:p>
            <w:pPr>
              <w:pStyle w:val="TableParagraph"/>
              <w:spacing w:before="81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&gt;</w:t>
            </w:r>
            <w:r>
              <w:rPr>
                <w:rFonts w:ascii="Arial"/>
                <w:b/>
                <w:color w:val="2E8B79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82%</w:t>
            </w:r>
            <w:r>
              <w:rPr>
                <w:rFonts w:ascii="Arial"/>
                <w:b/>
                <w:color w:val="2E8B79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(enhanced</w:t>
            </w:r>
            <w:r>
              <w:rPr>
                <w:rFonts w:ascii="Arial"/>
                <w:b/>
                <w:color w:val="2E8B79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2"/>
                <w:sz w:val="19"/>
              </w:rPr>
              <w:t>model)</w:t>
            </w:r>
          </w:p>
        </w:tc>
      </w:tr>
      <w:tr>
        <w:trPr>
          <w:trHeight w:val="360" w:hRule="atLeast"/>
        </w:trPr>
        <w:tc>
          <w:tcPr>
            <w:tcW w:w="3800" w:type="dxa"/>
          </w:tcPr>
          <w:p>
            <w:pPr>
              <w:pStyle w:val="TableParagraph"/>
              <w:spacing w:before="85"/>
              <w:rPr>
                <w:sz w:val="19"/>
              </w:rPr>
            </w:pPr>
            <w:r>
              <w:rPr>
                <w:color w:val="1A1A2E"/>
                <w:sz w:val="19"/>
              </w:rPr>
              <w:t>Loss-Making</w:t>
            </w:r>
            <w:r>
              <w:rPr>
                <w:color w:val="1A1A2E"/>
                <w:spacing w:val="-11"/>
                <w:sz w:val="19"/>
              </w:rPr>
              <w:t> </w:t>
            </w:r>
            <w:r>
              <w:rPr>
                <w:color w:val="1A1A2E"/>
                <w:spacing w:val="-2"/>
                <w:sz w:val="19"/>
              </w:rPr>
              <w:t>Orders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18.7%</w:t>
            </w:r>
          </w:p>
        </w:tc>
        <w:tc>
          <w:tcPr>
            <w:tcW w:w="3440" w:type="dxa"/>
          </w:tcPr>
          <w:p>
            <w:pPr>
              <w:pStyle w:val="TableParagraph"/>
              <w:spacing w:before="85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&lt;</w:t>
            </w:r>
            <w:r>
              <w:rPr>
                <w:rFonts w:ascii="Arial"/>
                <w:b/>
                <w:color w:val="2E8B79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5"/>
                <w:sz w:val="19"/>
              </w:rPr>
              <w:t>12%</w:t>
            </w:r>
          </w:p>
        </w:tc>
      </w:tr>
      <w:tr>
        <w:trPr>
          <w:trHeight w:val="379" w:hRule="atLeast"/>
        </w:trPr>
        <w:tc>
          <w:tcPr>
            <w:tcW w:w="3800" w:type="dxa"/>
            <w:shd w:val="clear" w:color="auto" w:fill="F4F5F9"/>
          </w:tcPr>
          <w:p>
            <w:pPr>
              <w:pStyle w:val="TableParagraph"/>
              <w:spacing w:before="88"/>
              <w:rPr>
                <w:sz w:val="19"/>
              </w:rPr>
            </w:pPr>
            <w:r>
              <w:rPr>
                <w:color w:val="1A1A2E"/>
                <w:sz w:val="19"/>
              </w:rPr>
              <w:t>Profit</w:t>
            </w:r>
            <w:r>
              <w:rPr>
                <w:color w:val="1A1A2E"/>
                <w:spacing w:val="-4"/>
                <w:sz w:val="19"/>
              </w:rPr>
              <w:t> </w:t>
            </w:r>
            <w:r>
              <w:rPr>
                <w:color w:val="1A1A2E"/>
                <w:sz w:val="19"/>
              </w:rPr>
              <w:t>at</w:t>
            </w:r>
            <w:r>
              <w:rPr>
                <w:color w:val="1A1A2E"/>
                <w:spacing w:val="-4"/>
                <w:sz w:val="19"/>
              </w:rPr>
              <w:t> Risk</w:t>
            </w:r>
          </w:p>
        </w:tc>
        <w:tc>
          <w:tcPr>
            <w:tcW w:w="2400" w:type="dxa"/>
            <w:shd w:val="clear" w:color="auto" w:fill="F4F5F9"/>
          </w:tcPr>
          <w:p>
            <w:pPr>
              <w:pStyle w:val="TableParagraph"/>
              <w:spacing w:before="88"/>
              <w:ind w:left="119"/>
              <w:rPr>
                <w:sz w:val="19"/>
              </w:rPr>
            </w:pPr>
            <w:r>
              <w:rPr>
                <w:color w:val="1A1A2E"/>
                <w:spacing w:val="-2"/>
                <w:sz w:val="19"/>
              </w:rPr>
              <w:t>$2.1M</w:t>
            </w:r>
          </w:p>
        </w:tc>
        <w:tc>
          <w:tcPr>
            <w:tcW w:w="3440" w:type="dxa"/>
            <w:shd w:val="clear" w:color="auto" w:fill="F4F5F9"/>
          </w:tcPr>
          <w:p>
            <w:pPr>
              <w:pStyle w:val="TableParagraph"/>
              <w:spacing w:before="88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8B79"/>
                <w:sz w:val="19"/>
              </w:rPr>
              <w:t>Reduce</w:t>
            </w:r>
            <w:r>
              <w:rPr>
                <w:rFonts w:ascii="Arial"/>
                <w:b/>
                <w:color w:val="2E8B79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2E8B79"/>
                <w:sz w:val="19"/>
              </w:rPr>
              <w:t>by</w:t>
            </w:r>
            <w:r>
              <w:rPr>
                <w:rFonts w:ascii="Arial"/>
                <w:b/>
                <w:color w:val="2E8B79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2E8B79"/>
                <w:spacing w:val="-5"/>
                <w:sz w:val="19"/>
              </w:rPr>
              <w:t>40%</w:t>
            </w:r>
          </w:p>
        </w:tc>
      </w:tr>
    </w:tbl>
    <w:p>
      <w:pPr>
        <w:pStyle w:val="BodyText"/>
        <w:spacing w:before="200"/>
      </w:pPr>
    </w:p>
    <w:p>
      <w:pPr>
        <w:pStyle w:val="BodyText"/>
        <w:ind w:left="141" w:right="481"/>
      </w:pPr>
      <w:r>
        <w:rPr>
          <w:color w:val="1A1A2E"/>
        </w:rPr>
        <w:t>With</w:t>
      </w:r>
      <w:r>
        <w:rPr>
          <w:color w:val="1A1A2E"/>
          <w:spacing w:val="-3"/>
        </w:rPr>
        <w:t> </w:t>
      </w:r>
      <w:r>
        <w:rPr>
          <w:color w:val="1A1A2E"/>
        </w:rPr>
        <w:t>focused</w:t>
      </w:r>
      <w:r>
        <w:rPr>
          <w:color w:val="1A1A2E"/>
          <w:spacing w:val="-3"/>
        </w:rPr>
        <w:t> </w:t>
      </w:r>
      <w:r>
        <w:rPr>
          <w:color w:val="1A1A2E"/>
        </w:rPr>
        <w:t>execution</w:t>
      </w:r>
      <w:r>
        <w:rPr>
          <w:color w:val="1A1A2E"/>
          <w:spacing w:val="-3"/>
        </w:rPr>
        <w:t> </w:t>
      </w:r>
      <w:r>
        <w:rPr>
          <w:color w:val="1A1A2E"/>
        </w:rPr>
        <w:t>on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eight</w:t>
      </w:r>
      <w:r>
        <w:rPr>
          <w:color w:val="1A1A2E"/>
          <w:spacing w:val="-3"/>
        </w:rPr>
        <w:t> </w:t>
      </w:r>
      <w:r>
        <w:rPr>
          <w:color w:val="1A1A2E"/>
        </w:rPr>
        <w:t>recommendations</w:t>
      </w:r>
      <w:r>
        <w:rPr>
          <w:color w:val="1A1A2E"/>
          <w:spacing w:val="-3"/>
        </w:rPr>
        <w:t> </w:t>
      </w:r>
      <w:r>
        <w:rPr>
          <w:color w:val="1A1A2E"/>
        </w:rPr>
        <w:t>in</w:t>
      </w:r>
      <w:r>
        <w:rPr>
          <w:color w:val="1A1A2E"/>
          <w:spacing w:val="-3"/>
        </w:rPr>
        <w:t> </w:t>
      </w:r>
      <w:r>
        <w:rPr>
          <w:color w:val="1A1A2E"/>
        </w:rPr>
        <w:t>this</w:t>
      </w:r>
      <w:r>
        <w:rPr>
          <w:color w:val="1A1A2E"/>
          <w:spacing w:val="-3"/>
        </w:rPr>
        <w:t> </w:t>
      </w:r>
      <w:r>
        <w:rPr>
          <w:color w:val="1A1A2E"/>
        </w:rPr>
        <w:t>report</w:t>
      </w:r>
      <w:r>
        <w:rPr>
          <w:color w:val="1A1A2E"/>
          <w:spacing w:val="-3"/>
        </w:rPr>
        <w:t> </w:t>
      </w:r>
      <w:r>
        <w:rPr>
          <w:color w:val="1A1A2E"/>
        </w:rPr>
        <w:t>starting</w:t>
      </w:r>
      <w:r>
        <w:rPr>
          <w:color w:val="1A1A2E"/>
          <w:spacing w:val="-3"/>
        </w:rPr>
        <w:t> </w:t>
      </w:r>
      <w:r>
        <w:rPr>
          <w:color w:val="1A1A2E"/>
        </w:rPr>
        <w:t>with</w:t>
      </w:r>
      <w:r>
        <w:rPr>
          <w:color w:val="1A1A2E"/>
          <w:spacing w:val="-3"/>
        </w:rPr>
        <w:t> </w:t>
      </w:r>
      <w:r>
        <w:rPr>
          <w:color w:val="1A1A2E"/>
        </w:rPr>
        <w:t>the</w:t>
      </w:r>
      <w:r>
        <w:rPr>
          <w:color w:val="1A1A2E"/>
          <w:spacing w:val="-3"/>
        </w:rPr>
        <w:t> </w:t>
      </w:r>
      <w:r>
        <w:rPr>
          <w:color w:val="1A1A2E"/>
        </w:rPr>
        <w:t>critical</w:t>
      </w:r>
      <w:r>
        <w:rPr>
          <w:color w:val="1A1A2E"/>
          <w:spacing w:val="-3"/>
        </w:rPr>
        <w:t> </w:t>
      </w:r>
      <w:r>
        <w:rPr>
          <w:color w:val="1A1A2E"/>
        </w:rPr>
        <w:t>shipping</w:t>
      </w:r>
      <w:r>
        <w:rPr>
          <w:color w:val="1A1A2E"/>
          <w:spacing w:val="-3"/>
        </w:rPr>
        <w:t> </w:t>
      </w:r>
      <w:r>
        <w:rPr>
          <w:color w:val="1A1A2E"/>
        </w:rPr>
        <w:t>mode audit and predictive alert system deployment the business can systematically recover its delivery performance, protect its $7.5M profit base, and build the operational reliability that sustained e-commerce growth demands.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723899</wp:posOffset>
                </wp:positionH>
                <wp:positionV relativeFrom="paragraph">
                  <wp:posOffset>103570</wp:posOffset>
                </wp:positionV>
                <wp:extent cx="61214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E3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99996pt;margin-top:8.155129pt;width:482pt;height:.1pt;mso-position-horizontal-relative:page;mso-position-vertical-relative:paragraph;z-index:-15720448;mso-wrap-distance-left:0;mso-wrap-distance-right:0" id="docshape23" coordorigin="1140,163" coordsize="9640,0" path="m1140,163l10780,163e" filled="false" stroked="true" strokeweight="1.0pt" strokecolor="#dde3ec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headerReference w:type="default" r:id="rId20"/>
      <w:footerReference w:type="default" r:id="rId21"/>
      <w:pgSz w:w="11920" w:h="16840"/>
      <w:pgMar w:header="800" w:footer="880" w:top="1800" w:bottom="106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6944">
              <wp:simplePos x="0" y="0"/>
              <wp:positionH relativeFrom="page">
                <wp:posOffset>723899</wp:posOffset>
              </wp:positionH>
              <wp:positionV relativeFrom="page">
                <wp:posOffset>10013948</wp:posOffset>
              </wp:positionV>
              <wp:extent cx="612140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9536" from="56.999996pt,788.499878pt" to="538.999984pt,788.499878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7968">
              <wp:simplePos x="0" y="0"/>
              <wp:positionH relativeFrom="page">
                <wp:posOffset>723899</wp:posOffset>
              </wp:positionH>
              <wp:positionV relativeFrom="page">
                <wp:posOffset>10013951</wp:posOffset>
              </wp:positionV>
              <wp:extent cx="612140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8512" from="56.999996pt,788.500122pt" to="538.999984pt,788.500122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8992">
              <wp:simplePos x="0" y="0"/>
              <wp:positionH relativeFrom="page">
                <wp:posOffset>723899</wp:posOffset>
              </wp:positionH>
              <wp:positionV relativeFrom="page">
                <wp:posOffset>10013951</wp:posOffset>
              </wp:positionV>
              <wp:extent cx="612140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7488" from="56.999996pt,788.500122pt" to="538.999984pt,788.500122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0528">
              <wp:simplePos x="0" y="0"/>
              <wp:positionH relativeFrom="page">
                <wp:posOffset>723899</wp:posOffset>
              </wp:positionH>
              <wp:positionV relativeFrom="page">
                <wp:posOffset>10013951</wp:posOffset>
              </wp:positionV>
              <wp:extent cx="612140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5952" from="56.999996pt,788.500122pt" to="538.999984pt,788.500122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2064">
              <wp:simplePos x="0" y="0"/>
              <wp:positionH relativeFrom="page">
                <wp:posOffset>723899</wp:posOffset>
              </wp:positionH>
              <wp:positionV relativeFrom="page">
                <wp:posOffset>10013951</wp:posOffset>
              </wp:positionV>
              <wp:extent cx="6121400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4416" from="56.999996pt,788.500122pt" to="538.999984pt,788.500122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3600">
              <wp:simplePos x="0" y="0"/>
              <wp:positionH relativeFrom="page">
                <wp:posOffset>723899</wp:posOffset>
              </wp:positionH>
              <wp:positionV relativeFrom="page">
                <wp:posOffset>10013957</wp:posOffset>
              </wp:positionV>
              <wp:extent cx="6121400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8B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2880" from="56.999996pt,788.50061pt" to="538.999984pt,788.50061pt" stroked="true" strokeweight="1.0pt" strokecolor="#2e8b79">
              <v:stroke dashstyle="solid"/>
              <w10:wrap type="none"/>
            </v:lin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6432">
              <wp:simplePos x="0" y="0"/>
              <wp:positionH relativeFrom="page">
                <wp:posOffset>723899</wp:posOffset>
              </wp:positionH>
              <wp:positionV relativeFrom="page">
                <wp:posOffset>507999</wp:posOffset>
              </wp:positionV>
              <wp:extent cx="6045200" cy="1651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39.999962pt;width:476.000018pt;height:13.0pt;mso-position-horizontal-relative:page;mso-position-vertical-relative:page;z-index:-16130048" id="docshape4" filled="true" fillcolor="#1b294a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7456">
              <wp:simplePos x="0" y="0"/>
              <wp:positionH relativeFrom="page">
                <wp:posOffset>723899</wp:posOffset>
              </wp:positionH>
              <wp:positionV relativeFrom="page">
                <wp:posOffset>508001</wp:posOffset>
              </wp:positionV>
              <wp:extent cx="6045200" cy="16510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40.000145pt;width:476.000018pt;height:13.0pt;mso-position-horizontal-relative:page;mso-position-vertical-relative:page;z-index:-16129024" id="docshape9" filled="true" fillcolor="#1b294a" stroked="false">
              <v:fill type="solid"/>
              <w10:wrap type="none"/>
            </v:rect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8480">
              <wp:simplePos x="0" y="0"/>
              <wp:positionH relativeFrom="page">
                <wp:posOffset>723899</wp:posOffset>
              </wp:positionH>
              <wp:positionV relativeFrom="page">
                <wp:posOffset>508004</wp:posOffset>
              </wp:positionV>
              <wp:extent cx="6045200" cy="16510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40.000389pt;width:476.000018pt;height:13.0pt;mso-position-horizontal-relative:page;mso-position-vertical-relative:page;z-index:-16128000" id="docshape12" filled="true" fillcolor="#1b294a" stroked="false">
              <v:fill type="solid"/>
              <w10:wrap type="none"/>
            </v:rect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9504">
              <wp:simplePos x="0" y="0"/>
              <wp:positionH relativeFrom="page">
                <wp:posOffset>723899</wp:posOffset>
              </wp:positionH>
              <wp:positionV relativeFrom="page">
                <wp:posOffset>508004</wp:posOffset>
              </wp:positionV>
              <wp:extent cx="6045200" cy="16510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40.000389pt;width:476.000018pt;height:13.0pt;mso-position-horizontal-relative:page;mso-position-vertical-relative:page;z-index:-16126976" id="docshape14" filled="true" fillcolor="#1b294a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0016">
              <wp:simplePos x="0" y="0"/>
              <wp:positionH relativeFrom="page">
                <wp:posOffset>707389</wp:posOffset>
              </wp:positionH>
              <wp:positionV relativeFrom="page">
                <wp:posOffset>908347</wp:posOffset>
              </wp:positionV>
              <wp:extent cx="3412490" cy="252729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41249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8.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Machine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Learning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Model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2"/>
                              <w:sz w:val="32"/>
                            </w:rPr>
                            <w:t>Results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71.523438pt;width:268.7pt;height:19.9pt;mso-position-horizontal-relative:page;mso-position-vertical-relative:page;z-index:-16126464" type="#_x0000_t202" id="docshape1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8.</w:t>
                    </w:r>
                    <w:r>
                      <w:rPr>
                        <w:rFonts w:ascii="Arial"/>
                        <w:b/>
                        <w:color w:val="1B294A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Machine</w:t>
                    </w:r>
                    <w:r>
                      <w:rPr>
                        <w:rFonts w:ascii="Arial"/>
                        <w:b/>
                        <w:color w:val="1B294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Learning</w:t>
                    </w:r>
                    <w:r>
                      <w:rPr>
                        <w:rFonts w:ascii="Arial"/>
                        <w:b/>
                        <w:color w:val="1B294A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Model</w:t>
                    </w:r>
                    <w:r>
                      <w:rPr>
                        <w:rFonts w:ascii="Arial"/>
                        <w:b/>
                        <w:color w:val="1B294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pacing w:val="-2"/>
                        <w:sz w:val="32"/>
                      </w:rPr>
                      <w:t>Results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723899</wp:posOffset>
              </wp:positionH>
              <wp:positionV relativeFrom="page">
                <wp:posOffset>508004</wp:posOffset>
              </wp:positionV>
              <wp:extent cx="6045200" cy="16510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40.000389pt;width:476.000018pt;height:13.0pt;mso-position-horizontal-relative:page;mso-position-vertical-relative:page;z-index:-16125440" id="docshape17" filled="true" fillcolor="#1b294a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707389</wp:posOffset>
              </wp:positionH>
              <wp:positionV relativeFrom="page">
                <wp:posOffset>908347</wp:posOffset>
              </wp:positionV>
              <wp:extent cx="2994660" cy="252729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99466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9.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2"/>
                              <w:sz w:val="32"/>
                            </w:rPr>
                            <w:t>Recommendations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71.523438pt;width:235.8pt;height:19.9pt;mso-position-horizontal-relative:page;mso-position-vertical-relative:page;z-index:-16124928" type="#_x0000_t202" id="docshape1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9.</w:t>
                    </w:r>
                    <w:r>
                      <w:rPr>
                        <w:rFonts w:ascii="Arial"/>
                        <w:b/>
                        <w:color w:val="1B294A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1B294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pacing w:val="-2"/>
                        <w:sz w:val="32"/>
                      </w:rPr>
                      <w:t>Recommendations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2576">
              <wp:simplePos x="0" y="0"/>
              <wp:positionH relativeFrom="page">
                <wp:posOffset>723899</wp:posOffset>
              </wp:positionH>
              <wp:positionV relativeFrom="page">
                <wp:posOffset>508004</wp:posOffset>
              </wp:positionV>
              <wp:extent cx="6045200" cy="16510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604520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5200" h="165100">
                            <a:moveTo>
                              <a:pt x="6045200" y="165100"/>
                            </a:moveTo>
                            <a:lnTo>
                              <a:pt x="0" y="165100"/>
                            </a:lnTo>
                            <a:lnTo>
                              <a:pt x="0" y="0"/>
                            </a:lnTo>
                            <a:lnTo>
                              <a:pt x="6045200" y="0"/>
                            </a:lnTo>
                            <a:lnTo>
                              <a:pt x="6045200" y="165100"/>
                            </a:lnTo>
                            <a:close/>
                          </a:path>
                        </a:pathLst>
                      </a:custGeom>
                      <a:solidFill>
                        <a:srgbClr val="1B29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999996pt;margin-top:40.000389pt;width:476.000018pt;height:13.0pt;mso-position-horizontal-relative:page;mso-position-vertical-relative:page;z-index:-16123904" id="docshape20" filled="true" fillcolor="#1b294a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3088">
              <wp:simplePos x="0" y="0"/>
              <wp:positionH relativeFrom="page">
                <wp:posOffset>707389</wp:posOffset>
              </wp:positionH>
              <wp:positionV relativeFrom="page">
                <wp:posOffset>908347</wp:posOffset>
              </wp:positionV>
              <wp:extent cx="1470660" cy="252729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47066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B294A"/>
                              <w:sz w:val="32"/>
                            </w:rPr>
                            <w:t>10.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B294A"/>
                              <w:spacing w:val="-2"/>
                              <w:sz w:val="32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71.523438pt;width:115.8pt;height:19.9pt;mso-position-horizontal-relative:page;mso-position-vertical-relative:page;z-index:-16123392" type="#_x0000_t202" id="docshape2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1B294A"/>
                        <w:sz w:val="32"/>
                      </w:rPr>
                      <w:t>10.</w:t>
                    </w:r>
                    <w:r>
                      <w:rPr>
                        <w:rFonts w:ascii="Arial"/>
                        <w:b/>
                        <w:color w:val="1B294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color w:val="1B294A"/>
                        <w:spacing w:val="-2"/>
                        <w:sz w:val="32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93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5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7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40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6" w:hanging="16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93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5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7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40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6" w:hanging="1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26" w:hanging="168"/>
      </w:pPr>
      <w:rPr>
        <w:rFonts w:hint="default" w:ascii="Arial" w:hAnsi="Arial" w:eastAsia="Arial" w:cs="Arial"/>
        <w:b/>
        <w:bCs/>
        <w:i w:val="0"/>
        <w:iCs w:val="0"/>
        <w:color w:val="1B294A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0" w:hanging="1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B294A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9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2E8B79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7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5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4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5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A2E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5" w:hanging="3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A3A5C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5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1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6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7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389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4" w:hanging="35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14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472" w:hanging="33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Supply_Chain_Performance_Report</dc:title>
  <dcterms:created xsi:type="dcterms:W3CDTF">2026-05-13T05:43:35Z</dcterms:created>
  <dcterms:modified xsi:type="dcterms:W3CDTF">2026-05-13T05:43:35Z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2026-05-13T00:00:00Z</vt:filetime>
  </property>
</Properties>
</file>