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ee7b7"/>
                <w:sz w:val="36"/>
                <w:szCs w:val="36"/>
              </w:rPr>
              <w:t xml:space="preserve">ALTIVAX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FamilyPay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7f3d0"/>
                <w:sz w:val="26"/>
                <w:szCs w:val="26"/>
              </w:rPr>
              <w:t xml:space="preserve">Le portefeuille prépayé multi-enseignes piloté par le payeur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Cahier des Charges — Version 1.0 — 2025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0"/>
                <w:szCs w:val="40"/>
              </w:rPr>
              <w:t xml:space="preserve">👨‍👩‍👧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Payeur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1fae5"/>
                <w:sz w:val="18"/>
                <w:szCs w:val="18"/>
              </w:rPr>
              <w:t xml:space="preserve">Alimente &amp; contrôle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0"/>
                <w:szCs w:val="40"/>
              </w:rPr>
              <w:t xml:space="preserve">🛍️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Bénéficiaire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1fae5"/>
                <w:sz w:val="18"/>
                <w:szCs w:val="18"/>
              </w:rPr>
              <w:t xml:space="preserve">Dépense &amp; présente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0"/>
                <w:szCs w:val="40"/>
              </w:rPr>
              <w:t xml:space="preserve">🏪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Partenaire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1fae5"/>
                <w:sz w:val="18"/>
                <w:szCs w:val="18"/>
              </w:rPr>
              <w:t xml:space="preserve">Accepte &amp; encaisse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0"/>
                <w:szCs w:val="40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Sécurisé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1fae5"/>
                <w:sz w:val="18"/>
                <w:szCs w:val="18"/>
              </w:rPr>
              <w:t xml:space="preserve">QR + PIN + NFC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Vision &amp; Positionnement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1.1 Le concept en une phrase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💡 Concept fondateur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portefeuille prépayé multi-enseignes que le payeur (parent, ami, employeur) alimente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 que le bénéficiaire (enfant, proche, employé) utilise chez les partenaires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sans jamais toucher à l'argent réel — avec contrôle total du payeur.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Exemples concrets 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Papa alimente 500 MAD chez McDonald's → enfant mange, papa voit la notif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Maman alloue 300 MAD à la pharmacie → enfant achète ses médicaments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Grand-mère offre 200 MAD pour l'Aïd → enfant choisit ses jouets chez le partenaire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Entreprise alloue 800 MAD/mois repas → employé déjeune chez les partenaires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1.2 Benchmark — Blue ocean identifié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manque vs FamilyPay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Greenlight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bancaire parentale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réseau partenaires locaux ciblés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GoHenry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UK/USA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Pocket money digital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contrôle par catégorie/enseigne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 Junior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enfant lié parent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partenaires marchands locaux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Sodexo/Edenred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Mondial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restaurant B2B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uniquement, pas famille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Kadeos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Chèques cadeaux multi-enseignes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One-shot, pas rechargeable, pas temps réel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ALTIVAX FamilyPay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Maroc + Afrique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en un + contrôle total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C'est nous 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1.3 Marchés cibles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estimée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Réglementation clé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🇲🇦 Maroc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Familles, PME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9M ménages, 500K PME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Lancement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 agrément paiement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🌍 Afrique FR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Familles, diaspora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 ménages ciblés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An 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Banques centrales locales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🇫🇷 France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Diaspora marocaine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800K personnes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An 2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Banque de France, RGPD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🌍 MENA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 ménages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An 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Réglementations locales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Les 3 Applications — Modules Fonctionnels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Application 1 — PAYEUR (parent, ami, employeur)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2410c"/>
          <w:sz w:val="23"/>
          <w:szCs w:val="23"/>
        </w:rPr>
        <w:t xml:space="preserve">Gestion des bénéficiaires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Ajouter un bénéficiaire par email, téléphone ou QR Code d'invitation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Définir une relation : enfant, conjoint, parent, ami, employé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et pseudo du bénéficiaire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Activer / suspendre / supprimer un bénéficiaire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2410c"/>
          <w:sz w:val="23"/>
          <w:szCs w:val="23"/>
        </w:rPr>
        <w:t xml:space="preserve">Enveloppes thématiques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des enveloppes par catégorie : Nourriture, Santé, Vêtements, Éducation, Loisirs, Général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Allouer un budget par enveloppe (MAD)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Restreindre chaque enveloppe à des partenaires spécifiques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Recharge manuelle ou automatique (règle mensuelle/hebdomadaire)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du solde non utilisé : oui/non configurable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2410c"/>
          <w:sz w:val="23"/>
          <w:szCs w:val="23"/>
        </w:rPr>
        <w:t xml:space="preserve">Règles intelligentes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Règles temporelles : actif uniquement entre 7h et 20h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Règles de montant : max X MAD par transaction, max Y MAD par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Règles conditionnelles : débloquer un budget si condition remplie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Règles géographiques : actif uniquement dans un rayon de X km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: alerter le payeur si transaction &gt; seuil défini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2410c"/>
          <w:sz w:val="23"/>
          <w:szCs w:val="23"/>
        </w:rPr>
        <w:t xml:space="preserve">Mode Occasion /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une occasion : anniversaire, Aïd, Noël, rentrée scolaire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Définir montant, date d'activation, date d'expiration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 personnalisé avec l'occasion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Inviter d'autres personnes à contribuer (cagnotte familiale)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Restriction enseigne si souhaité (cadeau pour jouets uniquement)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2410c"/>
          <w:sz w:val="23"/>
          <w:szCs w:val="23"/>
        </w:rPr>
        <w:t xml:space="preserve">Tableau de bord payeur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Vue consolidée de tous les soldes par bénéficiaire et enveloppe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complet des transactions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push : chaque dépense du bénéficiaire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Alertes : solde faible, transaction refusée, tentative hors-règles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relevé mensuel PDF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Application 2 — BÉNÉFICIAIRE (enfant, proche)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 avec soldes par enveloppe (visuel clair, adapté aux enfants)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dynamique (valide 60 secondes) pour paiement chez partenaire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PIN 6 chiffres (fallback si pas de smartphone)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de mes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Demande de fonds au payeur (avec message et motif)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Objectifs d'épargne personnels (économiser pour 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: recharge reçue, paiement accepté/refusé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Application 3 — PARTENAIRE MARCHAND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 web simple (pas d'app requise, fonctionne sur tablette de caisse)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 QR Code client via caméra du smartphone/tablette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Saisie du montant → validation → confirmation instantanée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: saisie manuelle du code PIN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des transactions reçues (par jour, par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analytique : fréquentation, panier moyen, heures de pointe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Catalogue produits/services (permet restrictions enveloppes)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Accès multi-caisse (plusieurs postes par partenaire)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Innovations Différenciantes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 client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Enveloppes thématiques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séparé par catégorie (food, santé, éducation...)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 précis, pas de dérive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dynamique (60s)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unique régénéré toutes les 60 secondes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 maximale anti-fraude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intelligentes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temporelles, montant, géo, conditionnelles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Flexibilité totale du payeur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Cagnotte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contributeurs sur une occasion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Expérience sociale et familiale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fidélité unifié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cross-enseignes convertibles en solde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Rétention partenaires et familles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de fonds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Enfant envoie demande avec message au parent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famille autour de l'argent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Pro / Tickets repas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B2B (concurrent Sodexo/Edenred)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segment revenus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NFC physique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co-brandée pour enfants &lt; 10 ans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jeunes enfants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Modèle Économique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16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paie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transaction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sur chaque paiement partenaire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 - 2.5%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Partenaire marchand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chaque transaction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famille Free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gratuit limité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Family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illimité bénéficiaires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 MAD/mois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Payeur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Mensuel/Annuel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Premium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+ règles avancées + carte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MAD/mois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Payeur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Mensuel/Annuel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Pro (B2B)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repas entreprise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MAD/mois/ste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Entreprise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Partenaire Premium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en avant app + analytics avancés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MAD/mois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Partenaire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Flottant financier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OPCVM des soldes non dépensés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1-2%/an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NFC physique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Fabrication + expédition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MAD one-shot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Payeur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la commande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📊 Projection financière — Maroc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Hypothèses Year 1 : 10 000 familles, panier moyen 300 MAD/mois transactionné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Commissions (2%) : 10 000 × 300 × 2% = 60 000 MAD/mois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Abonnements (30% Family à 49 MAD) : 3 000 × 49 = 147 000 MAD/mois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MRR Year 1 : ~207 000 MAD (~19 000€)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Hypothèses Year 3 : 80 000 familles + 2 000 entreprises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MRR Year 3 : ~2 500 000 MAD (~230 000€)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 Year 3 : ~30 000 000 MAD (2,7M€)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Réglementation &amp; Conformité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🔴 Point critique — Agrément Bank Al-Maghrib obligatoire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Toute activité de paiement au Maroc nécessite un agrément BAM.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Sans agrément, ALTIVAX FamilyPay ne peut pas légalement détenir des fonds.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options stratégiques (du plus rapide au plus long) 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A — Partenariat bancaire (recommandée pour le lancement)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S'associer avec CIH Bank, Attijariwafa ou BMCE comme banque partenaire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La banque détient les fonds, ALTIVAX gère l'expérience utilisateur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Délai : 3-6 mois (accord commercial + intégration API)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B — Agrément Établissement de Paiement BAM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Déposer dossier auprès de BAM directement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Délai : 6-18 mois | Capital minimum requis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Contrôle total mais processus long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C — Intégration CMI ou HPS (infrastructure existante)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Utiliser CMI (Centre Monétique Interbancaire) comme processeur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Délai : 2-4 mois | Solution pragmatique pour le MVP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6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Régulateur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Agrément paiement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Al-Maghrib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Partenariat bancaire ou dossier BAM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3-18 mois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données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CNDP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Registre traitement, consentement, DPO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KYC/AML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 + ANRF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identité payeurs et partenaires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mineurs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CNDP + BAM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 parental, données mineurs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LCAP (anti-spam)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ANRT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 communications marketing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Comptabilité fiduciaire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Ségrégation fonds clients des fonds propres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Exigences Non-Fonctionnelles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validée en &lt; 3 secondes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généré en &lt;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payeur chargé en &lt; 2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Disponibilité : 99,9% (service de paiement = critique)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Capacité : 10 000 transactions simultanées en pic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6.2 Sécurité —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 Code dynamique : invalidé après 60 secondes ou après utilisation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Chiffrement AES-256 au repos + TLS 1.3 en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Authentification biométrique (fingerprint/FaceID) pour transactions &gt; 200 MAD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2FA obligatoire pour le payeur (SMS ou authenticator)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Détection fraude temps réel : transactions inhabituelles → blocage + alerte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Ségrégation des fonds : fonds clients jamais mélangés aux fonds ALTIVAX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trail complet et immuable : chaque transaction est horodatée et signée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6.3 Sauvegardes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💾 Politique de sauvegardes — Service financier = niveau critique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chaque sprint : git tag familypay-sprint-XX + pg_dump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de données transactionnelle : backup toutes les heures (PG streaming replication)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Rétention : 7 jours complets en ligne, 1 an en archive froide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de restauration : mensuel (RTO &lt; 1h, RPO &lt; 1h)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déploiement prod : snapshot complet archivé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ALTIVAX FamilyPay — Confidentiel</w:t>
    </w:r>
    <w:r>
      <w:rPr>
        <w:rFonts w:ascii="Arial" w:cs="Arial" w:eastAsia="Arial" w:hAnsi="Arial"/>
        <w:color w:val="9ca3af"/>
        <w:sz w:val="18"/>
        <w:szCs w:val="18"/>
      </w:rPr>
      <w:t xml:space="preserve">	altivax.com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/>
      </w:pBdr>
    </w:pPr>
    <w:r>
      <w:rPr>
        <w:rFonts w:ascii="Arial" w:cs="Arial" w:eastAsia="Arial" w:hAnsi="Arial"/>
        <w:b/>
        <w:bCs/>
        <w:color w:val="0f172a"/>
        <w:sz w:val="22"/>
        <w:szCs w:val="22"/>
      </w:rPr>
      <w:t xml:space="preserve">ALTIVAX FamilyPay — Cahier des Charges V1</w:t>
    </w:r>
    <w:r>
      <w:rPr>
        <w:rFonts w:ascii="Arial" w:cs="Arial" w:eastAsia="Arial" w:hAnsi="Arial"/>
        <w:color w:val="9ca3af"/>
        <w:sz w:val="20"/>
        <w:szCs w:val="20"/>
      </w:rPr>
      <w:t xml:space="preserve">   |   altivax.com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2026-04-12T16:21:39.757Z</dcterms:created>
  <dcterms:modified xsi:type="dcterms:W3CDTF">2026-04-12T16:21:39.758Z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