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60" w:line="269" w:lineRule="auto"/>
        <w:jc w:val="right"/>
        <w:bidi w:val="1"/>
      </w:pPr>
      <w:r>
        <w:rPr>
          <w:rFonts w:ascii="Noto Sans Arabic" w:hAnsi="Noto Sans Arabic" w:cs="Noto Sans Arabic" w:eastAsia="Noto Sans Arabic"/>
          <w:b/>
          <w:color w:val="17324D"/>
          <w:sz w:val="54"/>
          <w:rtl w:val="1"/>
        </w:rPr>
        <w:t>أثر مشرق | ملف المعرفة الموحد</w:t>
      </w:r>
    </w:p>
    <w:p>
      <w:pPr>
        <w:spacing w:after="60" w:line="269" w:lineRule="auto"/>
        <w:jc w:val="right"/>
        <w:bidi w:val="1"/>
      </w:pPr>
      <w:r>
        <w:rPr>
          <w:rFonts w:ascii="Noto Sans Arabic" w:hAnsi="Noto Sans Arabic" w:cs="Noto Sans Arabic" w:eastAsia="Noto Sans Arabic"/>
          <w:b w:val="0"/>
          <w:color w:val="0B6B63"/>
          <w:sz w:val="28"/>
          <w:rtl w:val="1"/>
        </w:rPr>
        <w:t>الحقيقة التشغيلية والاستراتيجية في مرجع واحد</w:t>
      </w:r>
    </w:p>
    <w:p>
      <w:pPr>
        <w:spacing w:after="60" w:line="269" w:lineRule="auto"/>
        <w:jc w:val="right"/>
        <w:bidi w:val="1"/>
      </w:pPr>
      <w:r>
        <w:rPr>
          <w:rFonts w:ascii="Noto Sans Arabic" w:hAnsi="Noto Sans Arabic" w:cs="Noto Sans Arabic" w:eastAsia="Noto Sans Arabic"/>
          <w:b w:val="0"/>
          <w:color w:val="667085"/>
          <w:sz w:val="20"/>
          <w:rtl w:val="1"/>
        </w:rPr>
        <w:t>KM-ATHAR-2026-09-01-v1.0 | حالة المعلومات حتى 1 سبتمبر 2026</w:t>
      </w:r>
    </w:p>
    <w:p/>
    <w:tbl>
      <w:tblPr>
        <w:tblW w:type="auto" w:w="0"/>
        <w:jc w:val="right"/>
        <w:tblLayout w:type="autofit"/>
        <w:tblLook w:firstColumn="1" w:firstRow="1" w:lastColumn="0" w:lastRow="0" w:noHBand="0" w:noVBand="1" w:val="04A0"/>
      </w:tblPr>
      <w:tblGrid>
        <w:gridCol w:w="10312"/>
      </w:tblGrid>
      <w:tr>
        <w:tc>
          <w:tcPr>
            <w:tcW w:type="dxa" w:w="10312"/>
            <w:shd w:fill="F8F5EF"/>
            <w:tcMar>
              <w:top w:w="160" w:type="dxa"/>
              <w:start w:w="160" w:type="dxa"/>
              <w:bottom w:w="160" w:type="dxa"/>
              <w:end w:w="160" w:type="dxa"/>
            </w:tcMar>
          </w:tcPr>
          <w:p>
            <w:pPr>
              <w:spacing w:after="60" w:line="269" w:lineRule="auto"/>
              <w:jc w:val="right"/>
              <w:bidi w:val="1"/>
            </w:pPr>
            <w:r>
              <w:rPr>
                <w:rFonts w:ascii="Noto Sans Arabic" w:hAnsi="Noto Sans Arabic" w:cs="Noto Sans Arabic" w:eastAsia="Noto Sans Arabic"/>
                <w:b/>
                <w:color w:val="17324D"/>
                <w:sz w:val="22"/>
                <w:rtl w:val="1"/>
              </w:rPr>
              <w:t>الغرض: تحويل المعرفة المتناثرة إلى مرجع قرار وتشغيل واحد، مع حفظ التاريخ والتعارضات دون خلطها بالوضع الحالي.</w:t>
            </w:r>
          </w:p>
        </w:tc>
      </w:tr>
    </w:tbl>
    <w:p>
      <w:r>
        <w:br w:type="page"/>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طريقة قراءة الملف</w:t>
      </w:r>
    </w:p>
    <w:p>
      <w:pPr>
        <w:spacing w:after="60" w:line="269" w:lineRule="auto"/>
        <w:jc w:val="right"/>
        <w:bidi w:val="1"/>
      </w:pPr>
      <w:r>
        <w:rPr>
          <w:rFonts w:ascii="Noto Sans Arabic" w:hAnsi="Noto Sans Arabic" w:cs="Noto Sans Arabic" w:eastAsia="Noto Sans Arabic"/>
          <w:b w:val="0"/>
          <w:sz w:val="21"/>
          <w:rtl w:val="1"/>
        </w:rPr>
        <w:t>تم جمع المعرفة من محادثات ChatGPT المرتبطة بالمشروع، File Library، Google Drive، البريد المرتبط بأثر مشرق، الملفات المالية والتشغيلية، العروض الفندقية، والروابط التي ظهرت في سياق المشروع. حُذف التكرار فقط، وتم فصل الوضع الحالي عن الإرث السابق للعلامة.</w:t>
      </w:r>
    </w:p>
    <w:tbl>
      <w:tblPr>
        <w:tblStyle w:val="TableGrid"/>
        <w:tblW w:type="auto" w:w="0"/>
        <w:jc w:val="right"/>
        <w:tblLayout w:type="autofit"/>
        <w:tblLook w:firstColumn="1" w:firstRow="1" w:lastColumn="0" w:lastRow="0" w:noHBand="0" w:noVBand="1" w:val="04A0"/>
      </w:tblPr>
      <w:tblGrid>
        <w:gridCol w:w="5156"/>
        <w:gridCol w:w="5156"/>
      </w:tblGrid>
      <w:tr>
        <w:trPr>
          <w:tblHeader w:val="true"/>
          <w:cantSplit w:val="true"/>
        </w:trPr>
        <w:tc>
          <w:tcPr>
            <w:tcW w:type="dxa" w:w="141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8"/>
                <w:rtl w:val="1"/>
              </w:rPr>
              <w:t>الوسم</w:t>
            </w:r>
          </w:p>
        </w:tc>
        <w:tc>
          <w:tcPr>
            <w:tcW w:type="dxa" w:w="765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8"/>
                <w:rtl w:val="1"/>
              </w:rPr>
              <w:t>المعنى</w:t>
            </w:r>
          </w:p>
        </w:tc>
      </w:tr>
      <w:tr>
        <w:trPr>
          <w:cantSplit w:val="true"/>
        </w:trPr>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حقيقة</w:t>
            </w:r>
          </w:p>
        </w:tc>
        <w:tc>
          <w:tcPr>
            <w:tcW w:type="dxa" w:w="76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معلومة مدعومة بملف رسمي، سجل مباشر، بريد، أو بيانات تشغيلية.</w:t>
            </w:r>
          </w:p>
        </w:tc>
      </w:tr>
      <w:tr>
        <w:trPr>
          <w:cantSplit w:val="true"/>
        </w:trPr>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8"/>
                <w:rtl w:val="1"/>
              </w:rPr>
              <w:t>قرار معتمد</w:t>
            </w:r>
          </w:p>
        </w:tc>
        <w:tc>
          <w:tcPr>
            <w:tcW w:type="dxa" w:w="76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8"/>
                <w:rtl w:val="1"/>
              </w:rPr>
              <w:t>قرار صريح اتُخذ في محادثات المشروع وأصبح مرجعًا للتنفيذ.</w:t>
            </w:r>
          </w:p>
        </w:tc>
      </w:tr>
      <w:tr>
        <w:trPr>
          <w:cantSplit w:val="true"/>
        </w:trPr>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افتراض/تصور</w:t>
            </w:r>
          </w:p>
        </w:tc>
        <w:tc>
          <w:tcPr>
            <w:tcW w:type="dxa" w:w="76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اقتراح أو نموذج لم يثبت تنفيذه أو اعتماده خارجيًا.</w:t>
            </w:r>
          </w:p>
        </w:tc>
      </w:tr>
      <w:tr>
        <w:trPr>
          <w:cantSplit w:val="true"/>
        </w:trPr>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8"/>
                <w:rtl w:val="1"/>
              </w:rPr>
              <w:t>توقع</w:t>
            </w:r>
          </w:p>
        </w:tc>
        <w:tc>
          <w:tcPr>
            <w:tcW w:type="dxa" w:w="76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8"/>
                <w:rtl w:val="1"/>
              </w:rPr>
              <w:t>نتيجة أو قيمة مستقبلية غير محققة بعد.</w:t>
            </w:r>
          </w:p>
        </w:tc>
      </w:tr>
      <w:tr>
        <w:trPr>
          <w:cantSplit w:val="true"/>
        </w:trPr>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رأي/توصية</w:t>
            </w:r>
          </w:p>
        </w:tc>
        <w:tc>
          <w:tcPr>
            <w:tcW w:type="dxa" w:w="76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تحليل مهني لتحسين القرار، وليس حقيقة واقعة.</w:t>
            </w:r>
          </w:p>
        </w:tc>
      </w:tr>
      <w:tr>
        <w:trPr>
          <w:cantSplit w:val="true"/>
        </w:trPr>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8"/>
                <w:rtl w:val="1"/>
              </w:rPr>
              <w:t>تعارض</w:t>
            </w:r>
          </w:p>
        </w:tc>
        <w:tc>
          <w:tcPr>
            <w:tcW w:type="dxa" w:w="76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8"/>
                <w:rtl w:val="1"/>
              </w:rPr>
              <w:t>مصدران أو أكثر يعطيان أرقامًا/تعريفات مختلفة ويجب حفظها حتى الحسم.</w:t>
            </w:r>
          </w:p>
        </w:tc>
      </w:tr>
      <w:tr>
        <w:trPr>
          <w:cantSplit w:val="true"/>
        </w:trPr>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غير محسوم</w:t>
            </w:r>
          </w:p>
        </w:tc>
        <w:tc>
          <w:tcPr>
            <w:tcW w:type="dxa" w:w="76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8"/>
                <w:rtl w:val="1"/>
              </w:rPr>
              <w:t>المعلومة ناقصة ولا توجد أدلة كافية لإغلاقها.</w:t>
            </w:r>
          </w:p>
        </w:tc>
      </w:tr>
    </w:tbl>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A33A3A"/>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قاعدة أمان</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لم يتم تضمين كلمات مرور أو أرقام تعريف حساسة في هذا الملف، رغم وجود ملف داخلي يحتوي بيانات دخول بصيغة نصية صريحة؛ تم تحويل ذلك إلى خطر أمني وإجراء مطلوب فقط.</w:t>
            </w:r>
          </w:p>
        </w:tc>
      </w:tr>
    </w:tbl>
    <w:p>
      <w:pPr>
        <w:spacing w:after="60" w:line="269" w:lineRule="auto"/>
        <w:jc w:val="right"/>
        <w:bidi w:val="1"/>
      </w:pPr>
      <w:r>
        <w:rPr>
          <w:rFonts w:ascii="Noto Sans Arabic" w:hAnsi="Noto Sans Arabic" w:cs="Noto Sans Arabic" w:eastAsia="Noto Sans Arabic"/>
          <w:b w:val="0"/>
          <w:sz w:val="21"/>
          <w:rtl w:val="1"/>
        </w:rPr>
        <w:t>ترتيب الثقة في المصادر: (1) السجل الرسمي والبيانات التشغيلية المباشرة، (2) البريد والاجتماعات الموثقة، (3) أحدث عروض وخطط المشروع، (4) قرارات ChatGPT المعتمدة، (5) المواد التاريخية والإعلانية، (6) الأفكار غير المثبتة.</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 تعريف المشروع ونموذجه التجاري</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2E6B4F"/>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حقيقة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«أثر مشرق» كيان سعودي مسجل بصيغة مؤسسة، وحالة السجل التجاري نشطة، وتاريخ الإصدار 8 أغسطس 2025.</w:t>
            </w:r>
          </w:p>
        </w:tc>
      </w:tr>
    </w:tbl>
    <w:p>
      <w:pPr>
        <w:pStyle w:val="SourceNote"/>
        <w:spacing w:after="60" w:line="269" w:lineRule="auto"/>
        <w:jc w:val="right"/>
        <w:bidi w:val="1"/>
      </w:pPr>
      <w:r>
        <w:rPr>
          <w:rFonts w:ascii="Noto Sans Arabic" w:hAnsi="Noto Sans Arabic" w:cs="Noto Sans Arabic" w:eastAsia="Noto Sans Arabic"/>
          <w:b w:val="0"/>
          <w:color w:val="667085"/>
          <w:sz w:val="17"/>
          <w:rtl w:val="1"/>
        </w:rPr>
        <w:t>المصدر: شهادة السجل التجاري — Google Drive، إصدار 08/08/2025.</w:t>
      </w:r>
    </w:p>
    <w:p>
      <w:pPr>
        <w:spacing w:after="60" w:line="269" w:lineRule="auto"/>
        <w:jc w:val="right"/>
        <w:bidi w:val="1"/>
      </w:pPr>
      <w:r>
        <w:rPr>
          <w:rFonts w:ascii="Noto Sans Arabic" w:hAnsi="Noto Sans Arabic" w:cs="Noto Sans Arabic" w:eastAsia="Noto Sans Arabic"/>
          <w:b w:val="0"/>
          <w:sz w:val="21"/>
          <w:rtl w:val="1"/>
        </w:rPr>
        <w:t>التموضع الحالي: أثر مشرق مؤسسة استشارات وتطوير وتنفيذ متخصصة في السياحة والضيافة، تتحرك كـ«شريك تطوير للمالك والإدارة» وليس كوكالة تسويق منفصلة. الفكرة المركزية هي التعامل مع الفندق/المنشأة كأصل متكامل تُرفع إنتاجيته عبر الجاهزية، التشغيل، تجربة النزيل، الأغذية والمشروبات، الفريق، المبيعات، والقياس.</w:t>
      </w:r>
    </w:p>
    <w:p>
      <w:pPr>
        <w:pStyle w:val="SourceNote"/>
        <w:spacing w:after="60" w:line="269" w:lineRule="auto"/>
        <w:jc w:val="right"/>
        <w:bidi w:val="1"/>
      </w:pPr>
      <w:r>
        <w:rPr>
          <w:rFonts w:ascii="Noto Sans Arabic" w:hAnsi="Noto Sans Arabic" w:cs="Noto Sans Arabic" w:eastAsia="Noto Sans Arabic"/>
          <w:b w:val="0"/>
          <w:color w:val="667085"/>
          <w:sz w:val="17"/>
          <w:rtl w:val="1"/>
        </w:rPr>
        <w:t>المصدر: العروض الفندقية المؤرخة 19 و23 أغسطس 2026 + بروفايل أثر مشرق للسياحة 15 أغسطس 2026.</w:t>
      </w:r>
    </w:p>
    <w:p>
      <w:pPr>
        <w:spacing w:after="60" w:line="269" w:lineRule="auto"/>
        <w:jc w:val="right"/>
        <w:bidi w:val="1"/>
      </w:pPr>
      <w:r>
        <w:rPr>
          <w:rFonts w:ascii="Noto Sans Arabic" w:hAnsi="Noto Sans Arabic" w:cs="Noto Sans Arabic" w:eastAsia="Noto Sans Arabic"/>
          <w:b w:val="0"/>
          <w:sz w:val="21"/>
          <w:rtl w:val="1"/>
        </w:rPr>
        <w:t>نموذج الإيراد الحالي مبني على سلم خدمات متدرج: تشخيص مدفوع → تدخل متخصص أو تطوير متكامل → إدارة/إشراف على التنفيذ → خدمات أطراف ثالثة عند الحاجة → حافز أداء اختياري إذا أمكن القياس → تدقيق جودة دوري سنوي/نصف سنوي كإيراد متكرر.</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0B6B63"/>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قرار معتمد</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«التخصص باب الدخول، والعمق قدرة خلفية». لا تُعرض كل القدرات من أول لحظة؛ يُباع وضوح القرار أولًا ثم يتوسع نطاق التنفيذ.</w:t>
            </w:r>
          </w:p>
        </w:tc>
      </w:tr>
    </w:tbl>
    <w:p>
      <w:pPr>
        <w:spacing w:after="60" w:line="269" w:lineRule="auto"/>
        <w:jc w:val="right"/>
        <w:bidi w:val="1"/>
      </w:pPr>
      <w:r>
        <w:rPr>
          <w:rFonts w:ascii="Noto Sans Arabic" w:hAnsi="Noto Sans Arabic" w:cs="Noto Sans Arabic" w:eastAsia="Noto Sans Arabic"/>
          <w:b w:val="0"/>
          <w:sz w:val="21"/>
          <w:rtl w:val="1"/>
        </w:rPr>
        <w:t>الدور داخل المنظومة الأوسع للمستخدم: أثر مشرق هو ذراع التنفيذ العملي، بينما يمكن أن تتغذى بالتشخيص والمنهج والمعرفة من «سنع». هذا ارتباط تشغيلي داخلي، وليس بالضرورة رسالة تسويقية تُعرض للعميل.</w:t>
      </w:r>
    </w:p>
    <w:p>
      <w:pPr>
        <w:pStyle w:val="SourceNote"/>
        <w:spacing w:after="60" w:line="269" w:lineRule="auto"/>
        <w:jc w:val="right"/>
        <w:bidi w:val="1"/>
      </w:pPr>
      <w:r>
        <w:rPr>
          <w:rFonts w:ascii="Noto Sans Arabic" w:hAnsi="Noto Sans Arabic" w:cs="Noto Sans Arabic" w:eastAsia="Noto Sans Arabic"/>
          <w:b w:val="0"/>
          <w:color w:val="667085"/>
          <w:sz w:val="17"/>
          <w:rtl w:val="1"/>
        </w:rPr>
        <w:t>المصدر: قاعدة معرفة ChatGPT الموحدة للمشروعات — 1 سبتمبر 2026؛ وسجل سنع يصنف أثر مشرق CASE-001 نشطًا في الضيافة/الفنادق.</w:t>
      </w:r>
    </w:p>
    <w:p>
      <w:r>
        <w:br w:type="page"/>
      </w:r>
    </w:p>
    <w:p>
      <w:pPr>
        <w:pStyle w:val="Heading2"/>
        <w:spacing w:after="60" w:line="269" w:lineRule="auto"/>
        <w:jc w:val="right"/>
        <w:bidi w:val="1"/>
      </w:pPr>
      <w:r>
        <w:rPr>
          <w:rFonts w:ascii="Noto Sans Arabic" w:hAnsi="Noto Sans Arabic" w:cs="Noto Sans Arabic" w:eastAsia="Noto Sans Arabic"/>
          <w:b/>
          <w:color w:val="0B6B63"/>
          <w:sz w:val="28"/>
          <w:rtl w:val="1"/>
        </w:rPr>
        <w:t>تطور النموذج عبر الزمن — مهم لمنع خلط القديم بالجديد</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124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الفترة</w:t>
            </w:r>
          </w:p>
        </w:tc>
        <w:tc>
          <w:tcPr>
            <w:tcW w:type="dxa" w:w="362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الوضع</w:t>
            </w:r>
          </w:p>
        </w:tc>
        <w:tc>
          <w:tcPr>
            <w:tcW w:type="dxa" w:w="147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التصنيف</w:t>
            </w:r>
          </w:p>
        </w:tc>
        <w:tc>
          <w:tcPr>
            <w:tcW w:type="dxa" w:w="283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أثره اليوم</w:t>
            </w:r>
          </w:p>
        </w:tc>
      </w:tr>
      <w:tr>
        <w:trPr>
          <w:cantSplit w:val="true"/>
        </w:trPr>
        <w:tc>
          <w:tcPr>
            <w:tcW w:type="dxa" w:w="124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2025</w:t>
            </w:r>
          </w:p>
        </w:tc>
        <w:tc>
          <w:tcPr>
            <w:tcW w:type="dxa" w:w="36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تموضع واسع في التسويق الرقمي، المحتوى، المتاجر، الأتمتة وخدمات لقطاعات متعددة. ظهر منتج «التشخيص الذكي» بسعر 500 ريال كمدخل منخفض التكلفة.</w:t>
            </w:r>
          </w:p>
        </w:tc>
        <w:tc>
          <w:tcPr>
            <w:tcW w:type="dxa" w:w="147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حقيقة تاريخية/قرار سابق</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أصل خبرة وتجارب، لكنه لا يجب أن يحدد تسعير أو هوية عرض الضيافة الحالي.</w:t>
            </w:r>
          </w:p>
        </w:tc>
      </w:tr>
      <w:tr>
        <w:trPr>
          <w:cantSplit w:val="true"/>
        </w:trPr>
        <w:tc>
          <w:tcPr>
            <w:tcW w:type="dxa" w:w="124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أبريل–يوليو 2026</w:t>
            </w:r>
          </w:p>
        </w:tc>
        <w:tc>
          <w:tcPr>
            <w:tcW w:type="dxa" w:w="36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نشاط تشغيلي تحت اسم «عطور أثر مشرق» شمل مبيعات، تصنيع/عمولات، موردين، مخزون، توصيل ومصروفات.</w:t>
            </w:r>
          </w:p>
        </w:tc>
        <w:tc>
          <w:tcPr>
            <w:tcW w:type="dxa" w:w="147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حقيقة تاريخية</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إرث تشغيلي وبيانات وعلاقات؛ وجوده العلني دون فصل قد يربك التموضع الجديد.</w:t>
            </w:r>
          </w:p>
        </w:tc>
      </w:tr>
      <w:tr>
        <w:trPr>
          <w:cantSplit w:val="true"/>
        </w:trPr>
        <w:tc>
          <w:tcPr>
            <w:tcW w:type="dxa" w:w="124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أغسطس 2026 → الآن</w:t>
            </w:r>
          </w:p>
        </w:tc>
        <w:tc>
          <w:tcPr>
            <w:tcW w:type="dxa" w:w="36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تحول واضح إلى استشارات وتطوير السياحة والضيافة والفنادق مع عروض عالية القيمة، منهج تشخيص وتنفيذ وقياس.</w:t>
            </w:r>
          </w:p>
        </w:tc>
        <w:tc>
          <w:tcPr>
            <w:tcW w:type="dxa" w:w="147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حقيقة/قرار حالي</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هذا هو المرجع التجاري الحالي.</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2. العميل المستهدف وصاحب القرار</w:t>
      </w:r>
    </w:p>
    <w:p>
      <w:pPr>
        <w:spacing w:after="60" w:line="269" w:lineRule="auto"/>
        <w:jc w:val="right"/>
        <w:bidi w:val="1"/>
      </w:pPr>
      <w:r>
        <w:rPr>
          <w:rFonts w:ascii="Noto Sans Arabic" w:hAnsi="Noto Sans Arabic" w:cs="Noto Sans Arabic" w:eastAsia="Noto Sans Arabic"/>
          <w:b w:val="0"/>
          <w:sz w:val="21"/>
          <w:rtl w:val="1"/>
        </w:rPr>
        <w:t>العميل الأساسي هو مالك الأصل الفندقي، المستثمر، أو الإدارة العليا المسؤولة عن قرار الاستثمار والتطوير. الملف الحالي لا يتعامل مع مدير التسويق كصاحب قرار رئيسي؛ لأن الخدمة تمس التشغيل، الجودة، F&amp;B، الترميم، الفريق، المبيعات والميزانية.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القطاع الأساسي: </w:t>
      </w:r>
      <w:r>
        <w:rPr>
          <w:rFonts w:ascii="Noto Sans Arabic" w:hAnsi="Noto Sans Arabic" w:cs="Noto Sans Arabic" w:eastAsia="Noto Sans Arabic"/>
          <w:b w:val="0"/>
          <w:sz w:val="21"/>
          <w:rtl w:val="1"/>
        </w:rPr>
        <w:t>فنادق ومنتجعات ومنشآت ضيافة تحتاج رفع الجاهزية، تحسين التشغيل أو تطوير الإيرادات.</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قطاعات قريبة: </w:t>
      </w:r>
      <w:r>
        <w:rPr>
          <w:rFonts w:ascii="Noto Sans Arabic" w:hAnsi="Noto Sans Arabic" w:cs="Noto Sans Arabic" w:eastAsia="Noto Sans Arabic"/>
          <w:b w:val="0"/>
          <w:sz w:val="21"/>
          <w:rtl w:val="1"/>
        </w:rPr>
        <w:t>الشقق المخدومة والإقامات البديلة، المطاعم والمقاهي ذات الطابع السياحي، المنتجعات الريفية والمزارع، المواقع التراثية والثقافية، الفعاليات والمواسم، الوجهات المتكاملة، والمستثمرون الداخلون إلى القطاع.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صاحب القرار: </w:t>
      </w:r>
      <w:r>
        <w:rPr>
          <w:rFonts w:ascii="Noto Sans Arabic" w:hAnsi="Noto Sans Arabic" w:cs="Noto Sans Arabic" w:eastAsia="Noto Sans Arabic"/>
          <w:b w:val="0"/>
          <w:sz w:val="21"/>
          <w:rtl w:val="1"/>
        </w:rPr>
        <w:t>المالك/المستثمر، الرئيس التنفيذي أو المدير العام، وأحيانًا مجلس الإدارة/إدارة الشركة بحسب حجم الأصل.</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لحظة الشراء: </w:t>
      </w:r>
      <w:r>
        <w:rPr>
          <w:rFonts w:ascii="Noto Sans Arabic" w:hAnsi="Noto Sans Arabic" w:cs="Noto Sans Arabic" w:eastAsia="Noto Sans Arabic"/>
          <w:b w:val="0"/>
          <w:sz w:val="21"/>
          <w:rtl w:val="1"/>
        </w:rPr>
        <w:t>قبل التصنيف أو الافتتاح، قبل الترميم أو ضخ استثمار جديد، عند ضعف التجربة أو الإيراد، عند الانتقال التشغيلي، أو عندما تكون الإدارة غير واثقة أين تنفق أولًا.</w:t>
      </w:r>
    </w:p>
    <w:p>
      <w:pPr>
        <w:pStyle w:val="SourceNote"/>
        <w:spacing w:after="60" w:line="269" w:lineRule="auto"/>
        <w:jc w:val="right"/>
        <w:bidi w:val="1"/>
      </w:pPr>
      <w:r>
        <w:rPr>
          <w:rFonts w:ascii="Noto Sans Arabic" w:hAnsi="Noto Sans Arabic" w:cs="Noto Sans Arabic" w:eastAsia="Noto Sans Arabic"/>
          <w:b w:val="0"/>
          <w:color w:val="667085"/>
          <w:sz w:val="17"/>
          <w:rtl w:val="1"/>
        </w:rPr>
        <w:t>المصدر: بروفايل السياحة + عرض إيريديوم/أوالف + محادثات التموضع 23–25 أغسطس 2026.</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3. المشكلة التي يحلها والقيمة المقدمة</w:t>
      </w:r>
    </w:p>
    <w:p>
      <w:pPr>
        <w:spacing w:after="60" w:line="269" w:lineRule="auto"/>
        <w:jc w:val="right"/>
        <w:bidi w:val="1"/>
      </w:pPr>
      <w:r>
        <w:rPr>
          <w:rFonts w:ascii="Noto Sans Arabic" w:hAnsi="Noto Sans Arabic" w:cs="Noto Sans Arabic" w:eastAsia="Noto Sans Arabic"/>
          <w:b w:val="0"/>
          <w:sz w:val="21"/>
          <w:rtl w:val="1"/>
        </w:rPr>
        <w:t>المشكلة ليست «نقص تسويق» فقط؛ بل فقدان قيمة يحدث بين الأقسام. قد يكون الفندق جيدًا في جزء وضعيفًا في الربط بين الجاهزية، الخدمة، المطعم، المبيعات، البيانات، والسمعة. لذلك شراء حملة أو تقرير منفرد قد يزيد الإنفاق دون معالجة السبب الحقيقي.</w:t>
      </w:r>
    </w:p>
    <w:tbl>
      <w:tblPr>
        <w:tblStyle w:val="TableGrid"/>
        <w:tblW w:type="auto" w:w="0"/>
        <w:jc w:val="right"/>
        <w:tblLayout w:type="autofit"/>
        <w:tblLook w:firstColumn="1" w:firstRow="1" w:lastColumn="0" w:lastRow="0" w:noHBand="0" w:noVBand="1" w:val="04A0"/>
      </w:tblPr>
      <w:tblGrid>
        <w:gridCol w:w="3437"/>
        <w:gridCol w:w="3437"/>
        <w:gridCol w:w="3437"/>
      </w:tblGrid>
      <w:tr>
        <w:trPr>
          <w:tblHeader w:val="true"/>
          <w:cantSplit w:val="true"/>
        </w:trPr>
        <w:tc>
          <w:tcPr>
            <w:tcW w:type="dxa" w:w="170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المشكلة</w:t>
            </w:r>
          </w:p>
        </w:tc>
        <w:tc>
          <w:tcPr>
            <w:tcW w:type="dxa" w:w="283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كيف تظهر</w:t>
            </w:r>
          </w:p>
        </w:tc>
        <w:tc>
          <w:tcPr>
            <w:tcW w:type="dxa" w:w="453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القيمة التي تقدمها أثر مشرق</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غموض القرار</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مالك لا يعرف أين يضع الميزانية أولًا.</w:t>
            </w:r>
          </w:p>
        </w:tc>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تشخيص أولويات وخارطة فجوات قبل الإنفاق الكبير.</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فجوات الجاهزية والتصنيف</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نواقص قد تؤخر الافتتاح/التوسع أو تضعف التقييم.</w:t>
            </w:r>
          </w:p>
        </w:tc>
        <w:tc>
          <w:tcPr>
            <w:tcW w:type="dxa" w:w="45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تقييم ميداني، خطة معالجة، متابعة واختبار جاهزية.</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تفاوت التشغيل والخدمة</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تجربة نزيل غير متسقة وشكاوى وضعف سمعة.</w:t>
            </w:r>
          </w:p>
        </w:tc>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SOP، رحلة نزيل، تدريب، مؤشرات جودة ومراجعة.</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ضعف اقتصاديات F&amp;B</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منيو غير محسوب، هدر، وصفات غير ثابتة.</w:t>
            </w:r>
          </w:p>
        </w:tc>
        <w:tc>
          <w:tcPr>
            <w:tcW w:type="dxa" w:w="45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Menu Engineering، Food Cost، وصفات قياسية، تدريب وUpselling.</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التسويق منفصل عن الإيراد</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محتوى وحملات بلا منتجات/باقات أو قياس مبيعات.</w:t>
            </w:r>
          </w:p>
        </w:tc>
        <w:tc>
          <w:tcPr>
            <w:tcW w:type="dxa" w:w="45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منتجات وباقات وقنوات وشراكات وCRM وبيع إضافي.</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غياب الدليل</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قرارات مبنية على الانطباع فقط.</w:t>
            </w:r>
          </w:p>
        </w:tc>
        <w:tc>
          <w:tcPr>
            <w:tcW w:type="dxa" w:w="45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Ather Standards + Evidence Record + Before/After وإعادة قياس.</w:t>
            </w:r>
          </w:p>
        </w:tc>
      </w:tr>
    </w:tbl>
    <w:p/>
    <w:p>
      <w:pPr>
        <w:spacing w:after="60" w:line="269" w:lineRule="auto"/>
        <w:jc w:val="right"/>
        <w:bidi w:val="1"/>
      </w:pPr>
      <w:r>
        <w:rPr>
          <w:rFonts w:ascii="Noto Sans Arabic" w:hAnsi="Noto Sans Arabic" w:cs="Noto Sans Arabic" w:eastAsia="Noto Sans Arabic"/>
          <w:b w:val="0"/>
          <w:sz w:val="21"/>
          <w:rtl w:val="1"/>
        </w:rPr>
        <w:t>القيمة النهائية للعميل كما تظهر في العروض: فهم الوضع → تحديد الأولويات → رفع الجاهزية والجودة → تطوير التشغيل والفريق → تحسين تجربة النزيل → تطوير المنتج والمطاعم → بناء المبيعات والإيرادات → القياس والتحسين المستمر.</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4. المنتجات والخدمات والأسعار</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9A6700"/>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مهم</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الأسعار الحالية ليست موحدة 100% بين نسخ العروض. يجب عدم إجبارها في رقم واحد؛ الجدول التالي يحفظ كل نطاق ومصدره.</w:t>
            </w:r>
          </w:p>
        </w:tc>
      </w:tr>
    </w:tbl>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175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المنتج/المسار</w:t>
            </w:r>
          </w:p>
        </w:tc>
        <w:tc>
          <w:tcPr>
            <w:tcW w:type="dxa" w:w="192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النطاق الحالي</w:t>
            </w:r>
          </w:p>
        </w:tc>
        <w:tc>
          <w:tcPr>
            <w:tcW w:type="dxa" w:w="385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المخرج</w:t>
            </w:r>
          </w:p>
        </w:tc>
        <w:tc>
          <w:tcPr>
            <w:tcW w:type="dxa" w:w="192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حالة الرقم</w:t>
            </w:r>
          </w:p>
        </w:tc>
      </w:tr>
      <w:tr>
        <w:trPr>
          <w:cantSplit w:val="true"/>
        </w:trPr>
        <w:tc>
          <w:tcPr>
            <w:tcW w:type="dxa" w:w="175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التشخيص والجاهزية</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35–90 ألف+ ريال في العرض المخصص؛ 35–100 ألف في ملخص الخدمات.</w:t>
            </w:r>
          </w:p>
        </w:tc>
        <w:tc>
          <w:tcPr>
            <w:tcW w:type="dxa" w:w="385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تقييم ميداني + تقرير تشخيص + خريطة فجوات وأولويات.</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تعارض بسيط يحتاج توحيد.</w:t>
            </w:r>
          </w:p>
        </w:tc>
      </w:tr>
      <w:tr>
        <w:trPr>
          <w:cantSplit w:val="true"/>
        </w:trPr>
        <w:tc>
          <w:tcPr>
            <w:tcW w:type="dxa" w:w="175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التميز التشغيلي وتجربة النزيل</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60–150 ألف+ ريال.</w:t>
            </w:r>
          </w:p>
        </w:tc>
        <w:tc>
          <w:tcPr>
            <w:tcW w:type="dxa" w:w="385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رحلة نزيل، خدمة، شكاوى، تدريب، KPI جودة.</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متسق في العرض المخصص.</w:t>
            </w:r>
          </w:p>
        </w:tc>
      </w:tr>
      <w:tr>
        <w:trPr>
          <w:cantSplit w:val="true"/>
        </w:trPr>
        <w:tc>
          <w:tcPr>
            <w:tcW w:type="dxa" w:w="175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هندسة المطاعم وF&amp;B</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70–190 ألف+ ريال.</w:t>
            </w:r>
          </w:p>
        </w:tc>
        <w:tc>
          <w:tcPr>
            <w:tcW w:type="dxa" w:w="385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منيو، تكلفة، وصفات، تشغيل، تدريب.</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متسق.</w:t>
            </w:r>
          </w:p>
        </w:tc>
      </w:tr>
      <w:tr>
        <w:trPr>
          <w:cantSplit w:val="true"/>
        </w:trPr>
        <w:tc>
          <w:tcPr>
            <w:tcW w:type="dxa" w:w="175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النمو التجاري والمبيعات</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60–180 ألف+ ريال.</w:t>
            </w:r>
          </w:p>
        </w:tc>
        <w:tc>
          <w:tcPr>
            <w:tcW w:type="dxa" w:w="385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باقات، قنوات، شراكات، CRM، بيع إضافي وقياس.</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متسق.</w:t>
            </w:r>
          </w:p>
        </w:tc>
      </w:tr>
      <w:tr>
        <w:trPr>
          <w:cantSplit w:val="true"/>
        </w:trPr>
        <w:tc>
          <w:tcPr>
            <w:tcW w:type="dxa" w:w="175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التقييم الفني الموثق</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90–280 ألف ريال.</w:t>
            </w:r>
          </w:p>
        </w:tc>
        <w:tc>
          <w:tcPr>
            <w:tcW w:type="dxa" w:w="385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قياسات بالأجهزة، مصفوفة مخاطر، ملف Evidence + Before/After.</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مذكور في ملخص الخدمات.</w:t>
            </w:r>
          </w:p>
        </w:tc>
      </w:tr>
      <w:tr>
        <w:trPr>
          <w:cantSplit w:val="true"/>
        </w:trPr>
        <w:tc>
          <w:tcPr>
            <w:tcW w:type="dxa" w:w="175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التطوير المتكامل</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150–300 ألف+ ريال.</w:t>
            </w:r>
          </w:p>
        </w:tc>
        <w:tc>
          <w:tcPr>
            <w:tcW w:type="dxa" w:w="385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برنامج متعدد المحاور.</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مذكور في ملخص الخدمات.</w:t>
            </w:r>
          </w:p>
        </w:tc>
      </w:tr>
      <w:tr>
        <w:trPr>
          <w:cantSplit w:val="true"/>
        </w:trPr>
        <w:tc>
          <w:tcPr>
            <w:tcW w:type="dxa" w:w="175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التحول الفندقي 360°</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يبدأ من 180 ألف في العرض المخصص؛ 300–600 ألف+ في ملخص الخدمات.</w:t>
            </w:r>
          </w:p>
        </w:tc>
        <w:tc>
          <w:tcPr>
            <w:tcW w:type="dxa" w:w="385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Hotel Development Master Plan + تنفيذ وقياس متعدد المحاور.</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تعارض جوهري يحتاج تعريف مستويات.</w:t>
            </w:r>
          </w:p>
        </w:tc>
      </w:tr>
      <w:tr>
        <w:trPr>
          <w:cantSplit w:val="true"/>
        </w:trPr>
        <w:tc>
          <w:tcPr>
            <w:tcW w:type="dxa" w:w="175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Ather Verified — إيريديوم</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150–280 ألف ريال.</w:t>
            </w:r>
          </w:p>
        </w:tc>
        <w:tc>
          <w:tcPr>
            <w:tcW w:type="dxa" w:w="385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فحص + معالجة + إعادة قياس + Before/After.</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سعر مبدئي في عرض 23 أغسطس.</w:t>
            </w:r>
          </w:p>
        </w:tc>
      </w:tr>
      <w:tr>
        <w:trPr>
          <w:cantSplit w:val="true"/>
        </w:trPr>
        <w:tc>
          <w:tcPr>
            <w:tcW w:type="dxa" w:w="175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Ather Verified — أوالف</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280–500 ألف ريال.</w:t>
            </w:r>
          </w:p>
        </w:tc>
        <w:tc>
          <w:tcPr>
            <w:tcW w:type="dxa" w:w="385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نفس المنتج بنطاق أوسع.</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سعر مبدئي.</w:t>
            </w:r>
          </w:p>
        </w:tc>
      </w:tr>
      <w:tr>
        <w:trPr>
          <w:cantSplit w:val="true"/>
        </w:trPr>
        <w:tc>
          <w:tcPr>
            <w:tcW w:type="dxa" w:w="175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Hotel Quality Audit دوري</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إيريديوم 40–90 ألف؛ أوالف 80–160 ألف.</w:t>
            </w:r>
          </w:p>
        </w:tc>
        <w:tc>
          <w:tcPr>
            <w:tcW w:type="dxa" w:w="385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تدقيق سنوي/نصف سنوي للحفاظ على الاتساق.</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فرصة إيراد متكرر؛ لم يثبت بيعها بعد.</w:t>
            </w:r>
          </w:p>
        </w:tc>
      </w:tr>
    </w:tbl>
    <w:p/>
    <w:p>
      <w:pPr>
        <w:pStyle w:val="SourceNote"/>
        <w:spacing w:after="60" w:line="269" w:lineRule="auto"/>
        <w:jc w:val="right"/>
        <w:bidi w:val="1"/>
      </w:pPr>
      <w:r>
        <w:rPr>
          <w:rFonts w:ascii="Noto Sans Arabic" w:hAnsi="Noto Sans Arabic" w:cs="Noto Sans Arabic" w:eastAsia="Noto Sans Arabic"/>
          <w:b w:val="0"/>
          <w:color w:val="667085"/>
          <w:sz w:val="17"/>
          <w:rtl w:val="1"/>
        </w:rPr>
        <w:t>المصدر: تصور تطوير فندقي واستثماري 23 أغسطس 2026 + ملخص الخدمات ونطاقات الاستثمار الفندقي 23 أغسطس 2026.</w:t>
      </w:r>
    </w:p>
    <w:p>
      <w:pPr>
        <w:spacing w:after="60" w:line="269" w:lineRule="auto"/>
        <w:jc w:val="right"/>
        <w:bidi w:val="1"/>
      </w:pPr>
      <w:r>
        <w:rPr>
          <w:rFonts w:ascii="Noto Sans Arabic" w:hAnsi="Noto Sans Arabic" w:cs="Noto Sans Arabic" w:eastAsia="Noto Sans Arabic"/>
          <w:b w:val="0"/>
          <w:sz w:val="21"/>
          <w:rtl w:val="1"/>
        </w:rPr>
        <w:t>منطق التسعير الحالي: حجم الأصل + التصنيف + عدد الغرف والمرافق + عدد منافذ F&amp;B والقاعات + عمق التدخل + حجم الفريق/التدريب + عدد الزيارات + مدة التنفيذ + عدد المتخصصين = السعر النهائي. لذلك السعر النهائي يجب أن يأتي بعد تحديد النطاق، لا قبل الفهم.</w:t>
      </w:r>
    </w:p>
    <w:p>
      <w:pPr>
        <w:pStyle w:val="Heading2"/>
        <w:spacing w:after="60" w:line="269" w:lineRule="auto"/>
        <w:jc w:val="right"/>
        <w:bidi w:val="1"/>
      </w:pPr>
      <w:r>
        <w:rPr>
          <w:rFonts w:ascii="Noto Sans Arabic" w:hAnsi="Noto Sans Arabic" w:cs="Noto Sans Arabic" w:eastAsia="Noto Sans Arabic"/>
          <w:b/>
          <w:color w:val="0B6B63"/>
          <w:sz w:val="28"/>
          <w:rtl w:val="1"/>
        </w:rPr>
        <w:t>منتجات/عروض سابقة أو غير محسومة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«تشخيص فرص النمو» للموقع: </w:t>
      </w:r>
      <w:r>
        <w:rPr>
          <w:rFonts w:ascii="Noto Sans Arabic" w:hAnsi="Noto Sans Arabic" w:cs="Noto Sans Arabic" w:eastAsia="Noto Sans Arabic"/>
          <w:b w:val="0"/>
          <w:sz w:val="21"/>
          <w:rtl w:val="1"/>
        </w:rPr>
        <w:t>اعتمد كعرض دخول واضح للواجهة، لكن المستخدم رفض أن يكون سعره 2,500 ريال وطلب رفع السعر. السعر النهائي غير محسوم، ويجب مواءمته مع عرض التشخيص الفندقي بدل إنشاء سعر ثالث.</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«التشخيص الذكي» 500 ريال — 2025: </w:t>
      </w:r>
      <w:r>
        <w:rPr>
          <w:rFonts w:ascii="Noto Sans Arabic" w:hAnsi="Noto Sans Arabic" w:cs="Noto Sans Arabic" w:eastAsia="Noto Sans Arabic"/>
          <w:b w:val="0"/>
          <w:sz w:val="21"/>
          <w:rtl w:val="1"/>
        </w:rPr>
        <w:t>منتج تاريخي للمشروعات الصغيرة/الخدمات العامة، قابل للخصم عند الاشتراك. لا يمثل تسعير التشخيص التنفيذي الفندقي الحالي.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خدمات تاريخية: </w:t>
      </w:r>
      <w:r>
        <w:rPr>
          <w:rFonts w:ascii="Noto Sans Arabic" w:hAnsi="Noto Sans Arabic" w:cs="Noto Sans Arabic" w:eastAsia="Noto Sans Arabic"/>
          <w:b w:val="0"/>
          <w:sz w:val="21"/>
          <w:rtl w:val="1"/>
        </w:rPr>
        <w:t>إنشاء متجر سلة، صناعة محتوى، إدارة سوشيال، حملات وإدارة رقمية. تبقى خبرة تنفيذية، لكن عرضها كخدمات رئيسية الآن يعيد التشتت الذي تم الهروب منه.</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5. المبيعات والإيرادات والتكاليف والمؤشرات</w:t>
      </w:r>
    </w:p>
    <w:p>
      <w:pPr>
        <w:pStyle w:val="Heading2"/>
        <w:spacing w:after="60" w:line="269" w:lineRule="auto"/>
        <w:jc w:val="right"/>
        <w:bidi w:val="1"/>
      </w:pPr>
      <w:r>
        <w:rPr>
          <w:rFonts w:ascii="Noto Sans Arabic" w:hAnsi="Noto Sans Arabic" w:cs="Noto Sans Arabic" w:eastAsia="Noto Sans Arabic"/>
          <w:b/>
          <w:color w:val="0B6B63"/>
          <w:sz w:val="28"/>
          <w:rtl w:val="1"/>
        </w:rPr>
        <w:t>الوضع الحالي بعد التموضع الفندقي</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A33A3A"/>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حقيقة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يوجد في المصادر التي تم الوصول إليها عقد فندقي موقع أو دفعة/إيراد محقق بعد التحول الحالي. يوجد اجتماع وفرصة وعرض مخصص، لكن لا يجوز تحويلها إلى مبيعات محققة.</w:t>
            </w:r>
          </w:p>
        </w:tc>
      </w:tr>
    </w:tbl>
    <w:p>
      <w:pPr>
        <w:spacing w:after="60" w:line="269" w:lineRule="auto"/>
        <w:jc w:val="right"/>
        <w:bidi w:val="1"/>
      </w:pPr>
      <w:r>
        <w:rPr>
          <w:rFonts w:ascii="Noto Sans Arabic" w:hAnsi="Noto Sans Arabic" w:cs="Noto Sans Arabic" w:eastAsia="Noto Sans Arabic"/>
          <w:b w:val="0"/>
          <w:sz w:val="21"/>
          <w:rtl w:val="1"/>
        </w:rPr>
        <w:t>بالتالي لا يوجد حتى 1 سبتمبر 2026 خط أساس موثق لـ MRR/ARR، قيمة Pipeline، Win Rate، CAC، هامش مساهمة، أو مدة دورة البيع الخاصة بالعرض الفندقي الجديد. هذه ليست أرقامًا «صفرًا»؛ بل بيانات غير متوفرة ويجب بدء قياسها.</w:t>
      </w:r>
    </w:p>
    <w:p>
      <w:pPr>
        <w:pStyle w:val="Heading2"/>
        <w:spacing w:after="60" w:line="269" w:lineRule="auto"/>
        <w:jc w:val="right"/>
        <w:bidi w:val="1"/>
      </w:pPr>
      <w:r>
        <w:rPr>
          <w:rFonts w:ascii="Noto Sans Arabic" w:hAnsi="Noto Sans Arabic" w:cs="Noto Sans Arabic" w:eastAsia="Noto Sans Arabic"/>
          <w:b/>
          <w:color w:val="0B6B63"/>
          <w:sz w:val="28"/>
          <w:rtl w:val="1"/>
        </w:rPr>
        <w:t>بيانات مالية تاريخية من مرحلة «عطور أثر مشرق»</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181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التاريخ/الفترة</w:t>
            </w:r>
          </w:p>
        </w:tc>
        <w:tc>
          <w:tcPr>
            <w:tcW w:type="dxa" w:w="283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البيان</w:t>
            </w:r>
          </w:p>
        </w:tc>
        <w:tc>
          <w:tcPr>
            <w:tcW w:type="dxa" w:w="153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الرقم</w:t>
            </w:r>
          </w:p>
        </w:tc>
        <w:tc>
          <w:tcPr>
            <w:tcW w:type="dxa" w:w="328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6"/>
                <w:rtl w:val="1"/>
              </w:rPr>
              <w:t>التفسير الصحيح</w:t>
            </w:r>
          </w:p>
        </w:tc>
      </w:tr>
      <w:tr>
        <w:trPr>
          <w:cantSplit w:val="true"/>
        </w:trPr>
        <w:tc>
          <w:tcPr>
            <w:tcW w:type="dxa" w:w="181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30 يونيو–7 يوليو 2026 (سجل مبيعات)</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إجمالي المبيعات المدرجة في الصفحة الأولى</w:t>
            </w:r>
          </w:p>
        </w:tc>
        <w:tc>
          <w:tcPr>
            <w:tcW w:type="dxa" w:w="153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7,385 ريال</w:t>
            </w:r>
          </w:p>
        </w:tc>
        <w:tc>
          <w:tcPr>
            <w:tcW w:type="dxa" w:w="328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6,402 كاش + 983 تحويل + 0 مدى. سجل تاريخي للمرحلة السابقة.</w:t>
            </w:r>
          </w:p>
        </w:tc>
      </w:tr>
      <w:tr>
        <w:trPr>
          <w:cantSplit w:val="true"/>
        </w:trPr>
        <w:tc>
          <w:tcPr>
            <w:tcW w:type="dxa" w:w="181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حتى 12 يوليو 2026 تقريبًا</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إجمالي المصروفات في ملف يوليو</w:t>
            </w:r>
          </w:p>
        </w:tc>
        <w:tc>
          <w:tcPr>
            <w:tcW w:type="dxa" w:w="153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4,043.95 ريال</w:t>
            </w:r>
          </w:p>
        </w:tc>
        <w:tc>
          <w:tcPr>
            <w:tcW w:type="dxa" w:w="328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تشمل إيجار مستودع، رواتب/سلف، توصيل، مشتريات، شحن ومسحوبات شركاء. لا تكفي لحساب صافي الربح لغياب COGS والتطابق الزمني الكامل.</w:t>
            </w:r>
          </w:p>
        </w:tc>
      </w:tr>
      <w:tr>
        <w:trPr>
          <w:cantSplit w:val="true"/>
        </w:trPr>
        <w:tc>
          <w:tcPr>
            <w:tcW w:type="dxa" w:w="181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19 مايو 2026</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بضاعة لدى أثر حسب رسالة تشغيلية</w:t>
            </w:r>
          </w:p>
        </w:tc>
        <w:tc>
          <w:tcPr>
            <w:tcW w:type="dxa" w:w="153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2,240 ريال</w:t>
            </w:r>
          </w:p>
        </w:tc>
        <w:tc>
          <w:tcPr>
            <w:tcW w:type="dxa" w:w="328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6"/>
                <w:rtl w:val="1"/>
              </w:rPr>
              <w:t>لقطة مخزون/بضاعة تاريخية؛ ليست أصلًا حاليًا مؤكدًا.</w:t>
            </w:r>
          </w:p>
        </w:tc>
      </w:tr>
      <w:tr>
        <w:trPr>
          <w:cantSplit w:val="true"/>
        </w:trPr>
        <w:tc>
          <w:tcPr>
            <w:tcW w:type="dxa" w:w="181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30 يونيو 2026</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حساب مصنع اسنس طيبة</w:t>
            </w:r>
          </w:p>
        </w:tc>
        <w:tc>
          <w:tcPr>
            <w:tcW w:type="dxa" w:w="153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«صفر» بعد الإغلاق</w:t>
            </w:r>
          </w:p>
        </w:tc>
        <w:tc>
          <w:tcPr>
            <w:tcW w:type="dxa" w:w="328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6"/>
                <w:rtl w:val="1"/>
              </w:rPr>
              <w:t>سجل محادثة يقول إن دين المصنع والحساب الختامي أغلق بلا مبالغ معلقة.</w:t>
            </w:r>
          </w:p>
        </w:tc>
      </w:tr>
    </w:tbl>
    <w:p/>
    <w:p>
      <w:pPr>
        <w:pStyle w:val="SourceNote"/>
        <w:spacing w:after="60" w:line="269" w:lineRule="auto"/>
        <w:jc w:val="right"/>
        <w:bidi w:val="1"/>
      </w:pPr>
      <w:r>
        <w:rPr>
          <w:rFonts w:ascii="Noto Sans Arabic" w:hAnsi="Noto Sans Arabic" w:cs="Noto Sans Arabic" w:eastAsia="Noto Sans Arabic"/>
          <w:b w:val="0"/>
          <w:color w:val="667085"/>
          <w:sz w:val="17"/>
          <w:rtl w:val="1"/>
        </w:rPr>
        <w:t>المصدر: مبيعات يوليو أثر مشرق.pdf؛ مصاريف يوليو أثر مشرق 22.pdf؛ التفريغ النصي التشغيلي أبريل–يوليو 2026.</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9A6700"/>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تنبيه</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تُستخدم هذه الأرقام التاريخية لتقييم اقتصاديات خدمة الضيافة الحالية؛ هي فقط تحفظ تاريخ النشاط وتكشف خبرة تشغيلية وفجوة الفصل بين النشاطين.</w:t>
            </w:r>
          </w:p>
        </w:tc>
      </w:tr>
    </w:tbl>
    <w:p>
      <w:pPr>
        <w:pStyle w:val="Heading2"/>
        <w:spacing w:after="60" w:line="269" w:lineRule="auto"/>
        <w:jc w:val="right"/>
        <w:bidi w:val="1"/>
      </w:pPr>
      <w:r>
        <w:rPr>
          <w:rFonts w:ascii="Noto Sans Arabic" w:hAnsi="Noto Sans Arabic" w:cs="Noto Sans Arabic" w:eastAsia="Noto Sans Arabic"/>
          <w:b/>
          <w:color w:val="0B6B63"/>
          <w:sz w:val="28"/>
          <w:rtl w:val="1"/>
        </w:rPr>
        <w:t>مؤشرات يجب أن تصبح لوحة القرار الحالية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Pipeline المؤهل بالقيمة والمرحلة وصاحب القرار والتاريخ القادم.</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نسبة تحويل الاجتماع → تشخيص مدفوع → تنفيذ → تجديد/توسعة.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متوسط قيمة التشخيص، متوسط قيمة المشروع، Gross Margin لكل مسار، وأيام التحصيل.</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مدة دورة البيع، عدد الفرص النشطة، Win Rate، أسباب الخسارة، وتكلفة اكتساب الفرصة/العميل عند توفر بيانات كافية.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داخل مشاريع العملاء: Baseline وActual لمؤشرات الجاهزية، إغلاق الفجوات، الالتزام التشغيلي، جودة الخدمة، Food Cost، الهدر، Upsell، المبيعات، الإيراد، التقييمات والشكاوى.</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6. التسويق والقنوات والمحتوى</w:t>
      </w:r>
    </w:p>
    <w:p>
      <w:pPr>
        <w:spacing w:after="60" w:line="269" w:lineRule="auto"/>
        <w:jc w:val="right"/>
        <w:bidi w:val="1"/>
      </w:pPr>
      <w:r>
        <w:rPr>
          <w:rFonts w:ascii="Noto Sans Arabic" w:hAnsi="Noto Sans Arabic" w:cs="Noto Sans Arabic" w:eastAsia="Noto Sans Arabic"/>
          <w:b w:val="0"/>
          <w:sz w:val="21"/>
          <w:rtl w:val="1"/>
        </w:rPr>
        <w:t>يوجد أصل رقمي متعدد القنوات: Gmail، Instagram/Threads، Facebook وMeta Ads، TikTok وTikTok Ads، Snapchat، X، LinkedIn، Linktree، Notion، Buffer وGamma، إضافة إلى ملفات منشورات وتصاميم وجدول صناعة محتوى ومجلدات محتوى في Drive. وجود الحساب لا يعني أن القناة فعالة أو مفعلة تجاريًا.</w:t>
      </w:r>
    </w:p>
    <w:p>
      <w:pPr>
        <w:pStyle w:val="SourceNote"/>
        <w:spacing w:after="60" w:line="269" w:lineRule="auto"/>
        <w:jc w:val="right"/>
        <w:bidi w:val="1"/>
      </w:pPr>
      <w:r>
        <w:rPr>
          <w:rFonts w:ascii="Noto Sans Arabic" w:hAnsi="Noto Sans Arabic" w:cs="Noto Sans Arabic" w:eastAsia="Noto Sans Arabic"/>
          <w:b w:val="0"/>
          <w:color w:val="667085"/>
          <w:sz w:val="17"/>
          <w:rtl w:val="1"/>
        </w:rPr>
        <w:t>المصدر: Google Drive — «حسابات أثر مشرق.txt» و«المنشورات» و«التصاميم» وملفات المحتوى. تم حجب بيانات الدخول من هذا المرجع.</w:t>
      </w:r>
    </w:p>
    <w:p>
      <w:pPr>
        <w:spacing w:after="60" w:line="269" w:lineRule="auto"/>
        <w:jc w:val="right"/>
        <w:bidi w:val="1"/>
      </w:pPr>
      <w:r>
        <w:rPr>
          <w:rFonts w:ascii="Noto Sans Arabic" w:hAnsi="Noto Sans Arabic" w:cs="Noto Sans Arabic" w:eastAsia="Noto Sans Arabic"/>
          <w:b w:val="0"/>
          <w:sz w:val="21"/>
          <w:rtl w:val="1"/>
        </w:rPr>
        <w:t>لقطة أداء واحدة من LinkedIn بتاريخ 25 أغسطس 2026 تشير إلى 12 ظهورًا للمنشورات في الأسبوع السابق؛ هذه إشارة على أن الحضور الحالي لم يصل بعد إلى زخم B2B كافٍ، وليست مقياسًا نهائيًا لأداء القناة.</w:t>
      </w:r>
    </w:p>
    <w:p>
      <w:pPr>
        <w:pStyle w:val="Heading2"/>
        <w:spacing w:after="60" w:line="269" w:lineRule="auto"/>
        <w:jc w:val="right"/>
        <w:bidi w:val="1"/>
      </w:pPr>
      <w:r>
        <w:rPr>
          <w:rFonts w:ascii="Noto Sans Arabic" w:hAnsi="Noto Sans Arabic" w:cs="Noto Sans Arabic" w:eastAsia="Noto Sans Arabic"/>
          <w:b/>
          <w:color w:val="0B6B63"/>
          <w:sz w:val="28"/>
          <w:rtl w:val="1"/>
        </w:rPr>
        <w:t>الرسالة التسويقية الحالية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الهوك يجب أن يوضح خلال 3–5 ثوانٍ: لمن نعمل؟ ما الألم؟ وما القرار التالي؟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الرسالة الأساسية: «اشترِ وضوح القرار قبل الإنفاق الكبير».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لا نبيع تقريرًا أو حملة؛ نبيع تشخيصًا ثم تنفيذًا وقياسًا يرفع قيمة الأصل.</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المحتوى الأفضل: تجربة ميدانية حقيقية، Before/After، تشخيص فجوة، تكلفة قرار خاطئ، مثال F&amp;B، رحلة نزيل، مؤشرات جودة، وفرص إيراد ضائعة.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الجودة والقصص والابتكار أهم من إغلاق تارجت عددي لمنشورات لا تغيّر سلوك صاحب القرار.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عدد المتابعين ليس KPI أساسيًا؛ الوصول إلى صاحب القرار الصحيح، الاستفسارات المؤهلة، الاجتماعات والتشخيصات المدفوعة أهم.</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التخصص أفضل من نشر الرسالة على جميع القطاعات والمنصات دفعة واحدة؛ إتقان قناة رئيسية ثم التوسع.</w:t>
      </w:r>
    </w:p>
    <w:p>
      <w:pPr>
        <w:pStyle w:val="Heading2"/>
        <w:spacing w:after="60" w:line="269" w:lineRule="auto"/>
        <w:jc w:val="right"/>
        <w:bidi w:val="1"/>
      </w:pPr>
      <w:r>
        <w:rPr>
          <w:rFonts w:ascii="Noto Sans Arabic" w:hAnsi="Noto Sans Arabic" w:cs="Noto Sans Arabic" w:eastAsia="Noto Sans Arabic"/>
          <w:b/>
          <w:color w:val="0B6B63"/>
          <w:sz w:val="28"/>
          <w:rtl w:val="1"/>
        </w:rPr>
        <w:t>الموقع</w:t>
      </w:r>
    </w:p>
    <w:p>
      <w:pPr>
        <w:spacing w:after="60" w:line="269" w:lineRule="auto"/>
        <w:jc w:val="right"/>
        <w:bidi w:val="1"/>
      </w:pPr>
      <w:r>
        <w:rPr>
          <w:rFonts w:ascii="Noto Sans Arabic" w:hAnsi="Noto Sans Arabic" w:cs="Noto Sans Arabic" w:eastAsia="Noto Sans Arabic"/>
          <w:b w:val="0"/>
          <w:sz w:val="21"/>
          <w:rtl w:val="1"/>
        </w:rPr>
        <w:t>في محادثات أغسطس 2026 تم تقييم تنسيق الموقع التجريبي بأنه مزدحم وغير مريح، واعتمد اتجاه لإعادة الواجهة حول عرض واحد: «تشخيص فرص النمو»، مع الحفاظ على بقية الصفحات كطبقة أعمق. المطلوب: واجهة بسيطة، CTA واضح للحجز/واتساب، وتفاصيل قليلة في السطح وعميقة عند الطلب.</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9A6700"/>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غير محسوم</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الرابط التجريبي المؤقت على Manus موجود في سجل المحادثة، لكن لم يمكن التحقق من فهرسته/إتاحته العامة أثناء هذه المراجعة. كما أن السعر النهائي لعرض الدخول لم يُعتمد.</w:t>
            </w:r>
          </w:p>
        </w:tc>
      </w:tr>
    </w:tbl>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7. العملاء والعلاقات والشركاء</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226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الطرف</w:t>
            </w:r>
          </w:p>
        </w:tc>
        <w:tc>
          <w:tcPr>
            <w:tcW w:type="dxa" w:w="192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نوع العلاقة</w:t>
            </w:r>
          </w:p>
        </w:tc>
        <w:tc>
          <w:tcPr>
            <w:tcW w:type="dxa" w:w="306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الحالة حتى 1 سبتمبر 2026</w:t>
            </w:r>
          </w:p>
        </w:tc>
        <w:tc>
          <w:tcPr>
            <w:tcW w:type="dxa" w:w="249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المصدر/ملاحظة</w:t>
            </w:r>
          </w:p>
        </w:tc>
      </w:tr>
      <w:tr>
        <w:trPr>
          <w:cantSplit w:val="true"/>
        </w:trPr>
        <w:tc>
          <w:tcPr>
            <w:tcW w:type="dxa" w:w="226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فندقا إيريديوم الطائف وأوالف / إدارة الفندق</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فرصة B2B فندقية مباشرة</w:t>
            </w:r>
          </w:p>
        </w:tc>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اجتماع فعلي + عرض مخصص؛ لا عقد/دفعة مثبتة.</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بريد 17 أغسطس + عرض 23 أغسطس.</w:t>
            </w:r>
          </w:p>
        </w:tc>
      </w:tr>
      <w:tr>
        <w:trPr>
          <w:cantSplit w:val="true"/>
        </w:trPr>
        <w:tc>
          <w:tcPr>
            <w:tcW w:type="dxa" w:w="226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الأستاذ مهند الحربي</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صاحب/ممثل قرار في العرض المخصص</w:t>
            </w:r>
          </w:p>
        </w:tc>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طرف قرار مذكور بالاسم في العرض؛ حالة التفاوض الحالية غير موثقة.</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العرض الفندقي المخصص.</w:t>
            </w:r>
          </w:p>
        </w:tc>
      </w:tr>
      <w:tr>
        <w:trPr>
          <w:cantSplit w:val="true"/>
        </w:trPr>
        <w:tc>
          <w:tcPr>
            <w:tcW w:type="dxa" w:w="226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Tourism Business Center (TBC)</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شراكة استراتيجية محتملة</w:t>
            </w:r>
          </w:p>
        </w:tc>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تصور داخلي مكتوب؛ لا دليل على إرسال خارجي أو قبول.</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بريد ذاتي 15 أغسطس 2026.</w:t>
            </w:r>
          </w:p>
        </w:tc>
      </w:tr>
      <w:tr>
        <w:trPr>
          <w:cantSplit w:val="true"/>
        </w:trPr>
        <w:tc>
          <w:tcPr>
            <w:tcW w:type="dxa" w:w="226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محمد نايف البقمي</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خبرة/شريك قطاعي معروض في البروفايل</w:t>
            </w:r>
          </w:p>
        </w:tc>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يُقدَّم كخبرة متخصصة 15 سنة في السياحة/التراث/الفعاليات؛ شكل التعاقد والمسؤولية الحالية غير موثق.</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بروفايل السياحة.</w:t>
            </w:r>
          </w:p>
        </w:tc>
      </w:tr>
      <w:tr>
        <w:trPr>
          <w:cantSplit w:val="true"/>
        </w:trPr>
        <w:tc>
          <w:tcPr>
            <w:tcW w:type="dxa" w:w="226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وزارة/جهة ثقافية — طلب مبنى تراثي بالطائف</w:t>
            </w:r>
          </w:p>
        </w:tc>
        <w:tc>
          <w:tcPr>
            <w:tcW w:type="dxa" w:w="192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فرصة مؤسسية تاريخية</w:t>
            </w:r>
          </w:p>
        </w:tc>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تم إرسال طلب دعم وتمكين 4 مايو 2026؛ لا نتيجة/رد مثبت في البحث.</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Gmail مرسل إلى نطاق moc.gov.sa.</w:t>
            </w:r>
          </w:p>
        </w:tc>
      </w:tr>
      <w:tr>
        <w:trPr>
          <w:cantSplit w:val="true"/>
        </w:trPr>
        <w:tc>
          <w:tcPr>
            <w:tcW w:type="dxa" w:w="226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عملاء/مراجع تاريخية متعددة القطاعات</w:t>
            </w:r>
          </w:p>
        </w:tc>
        <w:tc>
          <w:tcPr>
            <w:tcW w:type="dxa" w:w="192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محفظة تنفيذ سابقة</w:t>
            </w:r>
          </w:p>
        </w:tc>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قائمة نجاحات قديمة؛ حالة العلاقة الحالية غير معروفة.</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Drive «شركاء نجاحنا.txt» 9 أغسطس 2025.</w:t>
            </w:r>
          </w:p>
        </w:tc>
      </w:tr>
    </w:tbl>
    <w:p/>
    <w:p>
      <w:pPr>
        <w:spacing w:after="60" w:line="269" w:lineRule="auto"/>
        <w:jc w:val="right"/>
        <w:bidi w:val="1"/>
      </w:pPr>
      <w:r>
        <w:rPr>
          <w:rFonts w:ascii="Noto Sans Arabic" w:hAnsi="Noto Sans Arabic" w:cs="Noto Sans Arabic" w:eastAsia="Noto Sans Arabic"/>
          <w:b w:val="0"/>
          <w:sz w:val="21"/>
          <w:rtl w:val="1"/>
        </w:rPr>
        <w:t>المراجع التاريخية المذكورة تشمل أراك طابا، Cosmolive، Oud Stories، فنجان عود، Toot Mart، جملة تك، موقع د. عبدالرحمن طه، U-Different، عصر العناية، وبوتيك نادرة. يجب استخدامها كدليل «قدرة تنفيذ» فقط عند ملاءمتها، لا كدليل خبرة فندقية ما لم توجد حالة مرتبطة بالقطاع.</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8. الأصول الحالية: بيانات، ملفات، مخزون، تقنية، علامة، معرفة، علاقات</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170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نوع الأصل</w:t>
            </w:r>
          </w:p>
        </w:tc>
        <w:tc>
          <w:tcPr>
            <w:tcW w:type="dxa" w:w="345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ما هو موجود</w:t>
            </w:r>
          </w:p>
        </w:tc>
        <w:tc>
          <w:tcPr>
            <w:tcW w:type="dxa" w:w="249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قيمته</w:t>
            </w:r>
          </w:p>
        </w:tc>
        <w:tc>
          <w:tcPr>
            <w:tcW w:type="dxa" w:w="243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ملاحظة/خطر</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قانوني</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سجل تجاري نشط لمؤسسة أثر مشرق.</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أساس التعاقد والفوترة والهوية القانونية.</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مواد تسويقية تستخدم أحيانًا كلمة «شركة»؛ يلزم توحيد الوصف القانوني.</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علامة</w:t>
            </w:r>
          </w:p>
        </w:tc>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شعار PDF، بروفايل سياحة، عروض فندقية، شعارات لفظية مثل «تطوير الضيافة • صناعة تجربة • أثر يبقى».</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تموضع وهوية قابلة للبناء.</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إرث «عطور أثر مشرق» قد يربك البحث والانطباع.</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ملكية معرفية</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Ather Standards، Evidence Record، Ather Hospitality Verified Assessment، منطق Hotel Quality Audit.</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تفريق الخدمة عن الاستشارة العامة وبناء Proof.</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يجب ضبط المصطلحات القانونية وعدم تقديمها كتصنيف حكومي.</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معرفة تنظيمية</w:t>
            </w:r>
          </w:p>
        </w:tc>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ملف معايير تصنيف الفنادق.xlsx.</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قاعدة تشخيص وامتثال مهمة.</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يحتاج تحديث مصدر/نسخة وتاريخ مرجعي باستمرار.</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معرفة تشغيلية</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Hotel Development Master Plan، خرائط المسارات والأسعار ومنهج التشخيص→التنفيذ→القياس.</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قابل للتحويل إلى SOP ومنتج متكرر.</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لا يزال موزعًا في عروض متعددة.</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بيانات تاريخية</w:t>
            </w:r>
          </w:p>
        </w:tc>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ملفات مبيعات/عملاء/مصروفات/مصنع/موردين من نشاط العطور.</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تعلم تشغيلي وعلاقات وربما أرشيف مالي.</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يجب فصله عن قاعدة بيانات الضيافة الحالية.</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تقنية</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قنوات اجتماعية، Meta/TikTok Ads، Gmail، Notion، Buffer، Gamma، Linktree.</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بنية تسويق وتشغيل جاهزة مبدئيًا.</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ملف بيانات دخول نصي صريح + إعادة استخدام كلمات مرور = خطر أمني عالٍ.</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محتوى</w:t>
            </w:r>
          </w:p>
        </w:tc>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جدول صناعة محتوى، دفعات منشورات، تصاميم، مجلدات صور/فيديو.</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سرعة إنتاج وتسويق.</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جزء كبير تاريخي وقد لا يخدم التموضع الحالي.</w:t>
            </w:r>
          </w:p>
        </w:tc>
      </w:tr>
      <w:tr>
        <w:trPr>
          <w:cantSplit w:val="true"/>
        </w:trPr>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علاقات</w:t>
            </w:r>
          </w:p>
        </w:tc>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فنادق، خبرة قطاعية، عملاء تاريخيون، اتصالات مؤسسية.</w:t>
            </w:r>
          </w:p>
        </w:tc>
        <w:tc>
          <w:tcPr>
            <w:tcW w:type="dxa" w:w="249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أقصر طريق للوصول إلى أول حالات فندقية.</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لا يوجد CRM موحد ظاهر يحدد الحالة والمالك والخطوة التالية.</w:t>
            </w:r>
          </w:p>
        </w:tc>
      </w:tr>
      <w:tr>
        <w:trPr>
          <w:cantSplit w:val="true"/>
        </w:trPr>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مخزون</w:t>
            </w:r>
          </w:p>
        </w:tc>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لا يوجد مخزون مطلوب في نموذج الخدمة الحالي؛ توجد سجلات بضاعة عطور تاريخية.</w:t>
            </w:r>
          </w:p>
        </w:tc>
        <w:tc>
          <w:tcPr>
            <w:tcW w:type="dxa" w:w="249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لا حاجة لرأس مال مخزني في العرض الحالي.</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لا تخلط المخزون القديم مع أصول المشروع الحالي.</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9. العمليات والفريق والمسؤوليات</w:t>
      </w:r>
    </w:p>
    <w:p>
      <w:pPr>
        <w:pStyle w:val="Heading2"/>
        <w:spacing w:after="60" w:line="269" w:lineRule="auto"/>
        <w:jc w:val="right"/>
        <w:bidi w:val="1"/>
      </w:pPr>
      <w:r>
        <w:rPr>
          <w:rFonts w:ascii="Noto Sans Arabic" w:hAnsi="Noto Sans Arabic" w:cs="Noto Sans Arabic" w:eastAsia="Noto Sans Arabic"/>
          <w:b/>
          <w:color w:val="0B6B63"/>
          <w:sz w:val="28"/>
          <w:rtl w:val="1"/>
        </w:rPr>
        <w:t>المنهج التشغيلي الحالي</w:t>
      </w:r>
    </w:p>
    <w:p>
      <w:pPr>
        <w:spacing w:after="60" w:line="269" w:lineRule="auto"/>
        <w:jc w:val="right"/>
        <w:bidi w:val="1"/>
      </w:pPr>
      <w:r>
        <w:rPr>
          <w:rFonts w:ascii="Noto Sans Arabic" w:hAnsi="Noto Sans Arabic" w:cs="Noto Sans Arabic" w:eastAsia="Noto Sans Arabic"/>
          <w:b w:val="0"/>
          <w:sz w:val="21"/>
          <w:rtl w:val="1"/>
        </w:rPr>
        <w:t>المنهج الموثق في العروض: نشخّص → نحدد الفجوات → نبني الحل → نشارك في التطبيق → نتابع الأداء → نطور النتائج. للعميل يبدأ عمليًا باجتماع تعريف وتحديد نطاق، ثم تشخيص تنفيذي، ثم خطة 90 يومًا، ثم اعتماد مسار التنفيذ.</w:t>
      </w:r>
    </w:p>
    <w:p>
      <w:pPr>
        <w:spacing w:after="60" w:line="269" w:lineRule="auto"/>
        <w:jc w:val="right"/>
        <w:bidi w:val="1"/>
      </w:pPr>
      <w:r>
        <w:rPr>
          <w:rFonts w:ascii="Noto Sans Arabic" w:hAnsi="Noto Sans Arabic" w:cs="Noto Sans Arabic" w:eastAsia="Noto Sans Arabic"/>
          <w:b w:val="0"/>
          <w:sz w:val="21"/>
          <w:rtl w:val="1"/>
        </w:rPr>
        <w:t>في Ather Verified تتحول الملاحظة إلى سجل دليل: معيار → طريقة تحقق → أداة → قراءة مرتبطة بموقع/وقت → قرار → مسؤول وموعد معالجة → إعادة قياس Before/After.</w:t>
      </w:r>
    </w:p>
    <w:p>
      <w:pPr>
        <w:pStyle w:val="Heading2"/>
        <w:spacing w:after="60" w:line="269" w:lineRule="auto"/>
        <w:jc w:val="right"/>
        <w:bidi w:val="1"/>
      </w:pPr>
      <w:r>
        <w:rPr>
          <w:rFonts w:ascii="Noto Sans Arabic" w:hAnsi="Noto Sans Arabic" w:cs="Noto Sans Arabic" w:eastAsia="Noto Sans Arabic"/>
          <w:b/>
          <w:color w:val="0B6B63"/>
          <w:sz w:val="28"/>
          <w:rtl w:val="1"/>
        </w:rPr>
        <w:t>الأدوار المعروفة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خلود المالكي: </w:t>
      </w:r>
      <w:r>
        <w:rPr>
          <w:rFonts w:ascii="Noto Sans Arabic" w:hAnsi="Noto Sans Arabic" w:cs="Noto Sans Arabic" w:eastAsia="Noto Sans Arabic"/>
          <w:b w:val="0"/>
          <w:sz w:val="21"/>
          <w:rtl w:val="1"/>
        </w:rPr>
        <w:t>مذكورة في محادثات المشروع كمؤسس والرئيس التنفيذي لأثر مشرق، وتقود الاستشارات/التطوير/التسويق.</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محمد نايف البقمي: </w:t>
      </w:r>
      <w:r>
        <w:rPr>
          <w:rFonts w:ascii="Noto Sans Arabic" w:hAnsi="Noto Sans Arabic" w:cs="Noto Sans Arabic" w:eastAsia="Noto Sans Arabic"/>
          <w:b w:val="0"/>
          <w:sz w:val="21"/>
          <w:rtl w:val="1"/>
        </w:rPr>
        <w:t>خبرة قطاعية تظهر في بروفايل السياحة؛ 15 سنة كما يذكر البروفايل. تفاصيل العلاقة التعاقدية والدور التنفيذي الحالي غير موثقة في المصادر المتاحة.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موارد/أطراف ثالثة: </w:t>
      </w:r>
      <w:r>
        <w:rPr>
          <w:rFonts w:ascii="Noto Sans Arabic" w:hAnsi="Noto Sans Arabic" w:cs="Noto Sans Arabic" w:eastAsia="Noto Sans Arabic"/>
          <w:b w:val="0"/>
          <w:sz w:val="21"/>
          <w:rtl w:val="1"/>
        </w:rPr>
        <w:t>نموذج التعاقد يسمح بخدمات متخصصة من أطراف ثالثة بموافقة ونطاق مستقل.</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9A6700"/>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فجوة تشغيلية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لا توجد حتى الآن خريطة RACI موحدة موثقة للأدوار الحالية: من يملك المبيعات؟ من يقود التشخيص؟ من يدير المشروع؟ من يعتمد القياس؟ من يتابع العميل؟ هذه فجوة يجب إغلاقها قبل تعدد العملاء.</w:t>
            </w:r>
          </w:p>
        </w:tc>
      </w:tr>
    </w:tbl>
    <w:p>
      <w:pPr>
        <w:spacing w:after="60" w:line="269" w:lineRule="auto"/>
        <w:jc w:val="right"/>
        <w:bidi w:val="1"/>
      </w:pPr>
      <w:r>
        <w:rPr>
          <w:rFonts w:ascii="Noto Sans Arabic" w:hAnsi="Noto Sans Arabic" w:cs="Noto Sans Arabic" w:eastAsia="Noto Sans Arabic"/>
          <w:b w:val="0"/>
          <w:sz w:val="21"/>
          <w:rtl w:val="1"/>
        </w:rPr>
        <w:t>الهيكل القديم للعطور (محاسب، مندوبي توصيل، مستودع وموردون) تاريخي ولا يُفترض أنه فريق خدمة الضيافة الحالي.</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10. الفرص الحالية والمحتملة</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209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الفرصة</w:t>
            </w:r>
          </w:p>
        </w:tc>
        <w:tc>
          <w:tcPr>
            <w:tcW w:type="dxa" w:w="294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لماذا مهمة</w:t>
            </w:r>
          </w:p>
        </w:tc>
        <w:tc>
          <w:tcPr>
            <w:tcW w:type="dxa" w:w="238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ما الذي يثبتها</w:t>
            </w:r>
          </w:p>
        </w:tc>
        <w:tc>
          <w:tcPr>
            <w:tcW w:type="dxa" w:w="266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الخطوة المقترحة</w:t>
            </w:r>
          </w:p>
        </w:tc>
      </w:tr>
      <w:tr>
        <w:trPr>
          <w:cantSplit w:val="true"/>
        </w:trPr>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إيريديوم وأوالف</w:t>
            </w:r>
          </w:p>
        </w:tc>
        <w:tc>
          <w:tcPr>
            <w:tcW w:type="dxa" w:w="294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أقرب فرصة لتحويل التموضع إلى Case مدفوع.</w:t>
            </w:r>
          </w:p>
        </w:tc>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اجتماع فعلي + عرض مصمم على منشأتين.</w:t>
            </w:r>
          </w:p>
        </w:tc>
        <w:tc>
          <w:tcPr>
            <w:tcW w:type="dxa" w:w="266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إغلاق تشخيص تنفيذي مدفوع بنطاق ومخرجات محددة.</w:t>
            </w:r>
          </w:p>
        </w:tc>
      </w:tr>
      <w:tr>
        <w:trPr>
          <w:cantSplit w:val="true"/>
        </w:trPr>
        <w:tc>
          <w:tcPr>
            <w:tcW w:type="dxa" w:w="209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Ather Verified / Hotel Quality Audit</w:t>
            </w:r>
          </w:p>
        </w:tc>
        <w:tc>
          <w:tcPr>
            <w:tcW w:type="dxa" w:w="294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يبني ملكية فكرية وإيرادًا متكررًا، لا صفقة مرة واحدة.</w:t>
            </w:r>
          </w:p>
        </w:tc>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منهج وأدوات ونطاق أسعار موجودة.</w:t>
            </w:r>
          </w:p>
        </w:tc>
        <w:tc>
          <w:tcPr>
            <w:tcW w:type="dxa" w:w="266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Pilot محدود + معيار قانوني واضح + نموذج تجديد.</w:t>
            </w:r>
          </w:p>
        </w:tc>
      </w:tr>
      <w:tr>
        <w:trPr>
          <w:cantSplit w:val="true"/>
        </w:trPr>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TBC</w:t>
            </w:r>
          </w:p>
        </w:tc>
        <w:tc>
          <w:tcPr>
            <w:tcW w:type="dxa" w:w="294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يضاعف عمق الخبرة التخصصية ويعطي قناة شراكة.</w:t>
            </w:r>
          </w:p>
        </w:tc>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تصور شراكة مكتوب.</w:t>
            </w:r>
          </w:p>
        </w:tc>
        <w:tc>
          <w:tcPr>
            <w:tcW w:type="dxa" w:w="266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اختبار اهتمام رسمي قبل استثمار وقت إضافي.</w:t>
            </w:r>
          </w:p>
        </w:tc>
      </w:tr>
      <w:tr>
        <w:trPr>
          <w:cantSplit w:val="true"/>
        </w:trPr>
        <w:tc>
          <w:tcPr>
            <w:tcW w:type="dxa" w:w="209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التراث والضيافة بالطائف/الغربية</w:t>
            </w:r>
          </w:p>
        </w:tc>
        <w:tc>
          <w:tcPr>
            <w:tcW w:type="dxa" w:w="294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يميز أثر مشرق في تقاطع لا تتنافس فيه كل وكالات التسويق.</w:t>
            </w:r>
          </w:p>
        </w:tc>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بروفايل + طلب مبنى تراثي + خبرة قطاعية معروضة.</w:t>
            </w:r>
          </w:p>
        </w:tc>
        <w:tc>
          <w:tcPr>
            <w:tcW w:type="dxa" w:w="266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عرض عمودي واحد: Hospitality × Heritage × Experience.</w:t>
            </w:r>
          </w:p>
        </w:tc>
      </w:tr>
      <w:tr>
        <w:trPr>
          <w:cantSplit w:val="true"/>
        </w:trPr>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تحويل المعرفة إلى Athar Hotel OS</w:t>
            </w:r>
          </w:p>
        </w:tc>
        <w:tc>
          <w:tcPr>
            <w:tcW w:type="dxa" w:w="294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يجعل التشخيص والتنفيذ قابلين للتكرار والتوسع والتدريب.</w:t>
            </w:r>
          </w:p>
        </w:tc>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Ather Standards + Evidence + Master Plan + سجل سنع.</w:t>
            </w:r>
          </w:p>
        </w:tc>
        <w:tc>
          <w:tcPr>
            <w:tcW w:type="dxa" w:w="266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توحيد النماذج والبيانات وسير العمل قبل الأتمتة.</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11. الصفقات والمفاوضات المفتوحة</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215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الصفقة/المسار</w:t>
            </w:r>
          </w:p>
        </w:tc>
        <w:tc>
          <w:tcPr>
            <w:tcW w:type="dxa" w:w="238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المرحلة الحالية</w:t>
            </w:r>
          </w:p>
        </w:tc>
        <w:tc>
          <w:tcPr>
            <w:tcW w:type="dxa" w:w="294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القيمة المحتملة</w:t>
            </w:r>
          </w:p>
        </w:tc>
        <w:tc>
          <w:tcPr>
            <w:tcW w:type="dxa" w:w="306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ما هو مفقود</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إيريديوم + أوالف</w:t>
            </w:r>
          </w:p>
        </w:tc>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Post-meeting / Proposal؛ مؤهلة لكن غير مغلقة.</w:t>
            </w:r>
          </w:p>
        </w:tc>
        <w:tc>
          <w:tcPr>
            <w:tcW w:type="dxa" w:w="294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النطاقات تبدأ من تشخيص 35–100 ألف وقد تتوسع إلى 180–600 ألف+ بحسب المسار؛ لا تعد قيمة صفقة مؤكدة.</w:t>
            </w:r>
          </w:p>
        </w:tc>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قرار العميل، نطاق أولي، موعد قرار، ميزانية، مسؤول متابعة، عقد/PO/دفعة.</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TBC Partnership</w:t>
            </w:r>
          </w:p>
        </w:tc>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Concept / Internal proposal.</w:t>
            </w:r>
          </w:p>
        </w:tc>
        <w:tc>
          <w:tcPr>
            <w:tcW w:type="dxa" w:w="294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غير محددة.</w:t>
            </w:r>
          </w:p>
        </w:tc>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دليل تواصل خارجي، نموذج اقتصاديات، توزيع أدوار وإيراد، اتفاق مبدئي.</w:t>
            </w:r>
          </w:p>
        </w:tc>
      </w:tr>
      <w:tr>
        <w:trPr>
          <w:cantSplit w:val="true"/>
        </w:trPr>
        <w:tc>
          <w:tcPr>
            <w:tcW w:type="dxa" w:w="215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مبادرة المبنى التراثي</w:t>
            </w:r>
          </w:p>
        </w:tc>
        <w:tc>
          <w:tcPr>
            <w:tcW w:type="dxa" w:w="238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Outbound request sent 04/05/2026.</w:t>
            </w:r>
          </w:p>
        </w:tc>
        <w:tc>
          <w:tcPr>
            <w:tcW w:type="dxa" w:w="294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غير محددة.</w:t>
            </w:r>
          </w:p>
        </w:tc>
        <w:tc>
          <w:tcPr>
            <w:tcW w:type="dxa" w:w="306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رد الجهة، حالة الطلب، صاحب القرار، متطلبات/منافسة/ميزانية.</w:t>
            </w:r>
          </w:p>
        </w:tc>
      </w:tr>
      <w:tr>
        <w:trPr>
          <w:cantSplit w:val="true"/>
        </w:trPr>
        <w:tc>
          <w:tcPr>
            <w:tcW w:type="dxa" w:w="215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Ather Verified recurring</w:t>
            </w:r>
          </w:p>
        </w:tc>
        <w:tc>
          <w:tcPr>
            <w:tcW w:type="dxa" w:w="238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Product opportunity وليس صفقة مثبتة.</w:t>
            </w:r>
          </w:p>
        </w:tc>
        <w:tc>
          <w:tcPr>
            <w:tcW w:type="dxa" w:w="294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40–160 ألف لكل دورة حسب المنشأة في التصور الحالي.</w:t>
            </w:r>
          </w:p>
        </w:tc>
        <w:tc>
          <w:tcPr>
            <w:tcW w:type="dxa" w:w="306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Pilot، شروط نجاح، مسؤولية التصحيح، حدود الاعتماد، عقد تجديد.</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12. المشاكل والاختناقات والمخاطر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تشوش العلامة: </w:t>
      </w:r>
      <w:r>
        <w:rPr>
          <w:rFonts w:ascii="Noto Sans Arabic" w:hAnsi="Noto Sans Arabic" w:cs="Noto Sans Arabic" w:eastAsia="Noto Sans Arabic"/>
          <w:b w:val="0"/>
          <w:sz w:val="21"/>
          <w:rtl w:val="1"/>
        </w:rPr>
        <w:t>الاسم نفسه يحمل تاريخ عطور/تصنيع ومتاجر ثم أصبح استشارات ضيافة. أي نتيجة بحث أو محتوى قديم غير مفصول قد يضعف الثقة في التخصص.</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تعارض التسعير: </w:t>
      </w:r>
      <w:r>
        <w:rPr>
          <w:rFonts w:ascii="Noto Sans Arabic" w:hAnsi="Noto Sans Arabic" w:cs="Noto Sans Arabic" w:eastAsia="Noto Sans Arabic"/>
          <w:b w:val="0"/>
          <w:sz w:val="21"/>
          <w:rtl w:val="1"/>
        </w:rPr>
        <w:t>360° يبدأ 180 ألف في عرض، بينما ملخص الخدمات يضع 300–600 ألف+؛ التشخيص 35–90 مقابل 35–100؛ وعرض الموقع سعره غير محسوم بعد رفض 2,500.</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فجوة الإثبات التجاري: </w:t>
      </w:r>
      <w:r>
        <w:rPr>
          <w:rFonts w:ascii="Noto Sans Arabic" w:hAnsi="Noto Sans Arabic" w:cs="Noto Sans Arabic" w:eastAsia="Noto Sans Arabic"/>
          <w:b w:val="0"/>
          <w:sz w:val="21"/>
          <w:rtl w:val="1"/>
        </w:rPr>
        <w:t>يوجد تموضع قوي وعرض جيد لكن لا توجد في المصادر حالة فندقية مدفوعة مكتملة يمكن عرض Before/After لها.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تشتت مصدر الحقيقة: </w:t>
      </w:r>
      <w:r>
        <w:rPr>
          <w:rFonts w:ascii="Noto Sans Arabic" w:hAnsi="Noto Sans Arabic" w:cs="Noto Sans Arabic" w:eastAsia="Noto Sans Arabic"/>
          <w:b w:val="0"/>
          <w:sz w:val="21"/>
          <w:rtl w:val="1"/>
        </w:rPr>
        <w:t>معرفة موزعة بين ChatGPT وDrive والبريد والعروض وملفات تاريخية، ما يرفع احتمال استخدام نسخة قديمة أو رقم غير معتمد.</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أمن الحسابات: </w:t>
      </w:r>
      <w:r>
        <w:rPr>
          <w:rFonts w:ascii="Noto Sans Arabic" w:hAnsi="Noto Sans Arabic" w:cs="Noto Sans Arabic" w:eastAsia="Noto Sans Arabic"/>
          <w:b w:val="0"/>
          <w:sz w:val="21"/>
          <w:rtl w:val="1"/>
        </w:rPr>
        <w:t>وجود بيانات دخول لعدة منصات في ملف نصي واحد وإعادة استخدام نمط كلمة مرور يرفع خطر اختراق متسلسل.</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التسمية القانونية: </w:t>
      </w:r>
      <w:r>
        <w:rPr>
          <w:rFonts w:ascii="Noto Sans Arabic" w:hAnsi="Noto Sans Arabic" w:cs="Noto Sans Arabic" w:eastAsia="Noto Sans Arabic"/>
          <w:b w:val="0"/>
          <w:sz w:val="21"/>
          <w:rtl w:val="1"/>
        </w:rPr>
        <w:t>السجل «مؤسسة» بينما بعض المواد تقول «شركة»؛ يلزم توحيد النصوص القانونية في العقود والموقع.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خطر الاعتماد: </w:t>
      </w:r>
      <w:r>
        <w:rPr>
          <w:rFonts w:ascii="Noto Sans Arabic" w:hAnsi="Noto Sans Arabic" w:cs="Noto Sans Arabic" w:eastAsia="Noto Sans Arabic"/>
          <w:b w:val="0"/>
          <w:sz w:val="21"/>
          <w:rtl w:val="1"/>
        </w:rPr>
        <w:t>Ather Verified يجب دائمًا أن يظهر كتقييم خاص وفق منهج أثر مشرق وليس تصنيفًا حكوميًا أو بديلًا عن ترخيص وزارة السياحة.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الفريق والقدرة: </w:t>
      </w:r>
      <w:r>
        <w:rPr>
          <w:rFonts w:ascii="Noto Sans Arabic" w:hAnsi="Noto Sans Arabic" w:cs="Noto Sans Arabic" w:eastAsia="Noto Sans Arabic"/>
          <w:b w:val="0"/>
          <w:sz w:val="21"/>
          <w:rtl w:val="1"/>
        </w:rPr>
        <w:t>لا توجد خريطة موارد/سعة موثقة لتسليم مشاريع 180–600 ألف بشكل متزامن؛ بيع أسرع من القدرة التنفيذية قد يضر السمعة.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color w:val="17324D"/>
          <w:sz w:val="21"/>
          <w:rtl w:val="1"/>
        </w:rPr>
        <w:t xml:space="preserve">قياس التسويق: </w:t>
      </w:r>
      <w:r>
        <w:rPr>
          <w:rFonts w:ascii="Noto Sans Arabic" w:hAnsi="Noto Sans Arabic" w:cs="Noto Sans Arabic" w:eastAsia="Noto Sans Arabic"/>
          <w:b w:val="0"/>
          <w:sz w:val="21"/>
          <w:rtl w:val="1"/>
        </w:rPr>
        <w:t>الحضور الرقمي موجود لكن لا توجد لوحة Funnel تربط المحتوى بالفرص والاجتماعات والمبيعات.</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13. القرارات السابقة وأسبابها</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260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القرار</w:t>
            </w:r>
          </w:p>
        </w:tc>
        <w:tc>
          <w:tcPr>
            <w:tcW w:type="dxa" w:w="141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التاريخ التقريبي</w:t>
            </w:r>
          </w:p>
        </w:tc>
        <w:tc>
          <w:tcPr>
            <w:tcW w:type="dxa" w:w="4082"/>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السبب/المنطق</w:t>
            </w:r>
          </w:p>
        </w:tc>
        <w:tc>
          <w:tcPr>
            <w:tcW w:type="dxa" w:w="209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الحالة الآن</w:t>
            </w:r>
          </w:p>
        </w:tc>
      </w:tr>
      <w:tr>
        <w:trPr>
          <w:cantSplit w:val="true"/>
        </w:trPr>
        <w:tc>
          <w:tcPr>
            <w:tcW w:type="dxa" w:w="260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الانتقال من خدمات عامة إلى تخصص السياحة والضيافة</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أغسطس 2026</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التخصص يقلل التشتت، يبني سلطة، ويرفع قيمة الصفقة.</w:t>
            </w:r>
          </w:p>
        </w:tc>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معتمد ويجب حمايته.</w:t>
            </w:r>
          </w:p>
        </w:tc>
      </w:tr>
      <w:tr>
        <w:trPr>
          <w:cantSplit w:val="true"/>
        </w:trPr>
        <w:tc>
          <w:tcPr>
            <w:tcW w:type="dxa" w:w="260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بيع التشخيص قبل التحول الكامل</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أغسطس 2026</w:t>
            </w:r>
          </w:p>
        </w:tc>
        <w:tc>
          <w:tcPr>
            <w:tcW w:type="dxa" w:w="408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خفض مقاومة الشراء ومنع إنفاق العميل قبل وضوح الأولويات.</w:t>
            </w:r>
          </w:p>
        </w:tc>
        <w:tc>
          <w:tcPr>
            <w:tcW w:type="dxa" w:w="209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معتمد.</w:t>
            </w:r>
          </w:p>
        </w:tc>
      </w:tr>
      <w:tr>
        <w:trPr>
          <w:cantSplit w:val="true"/>
        </w:trPr>
        <w:tc>
          <w:tcPr>
            <w:tcW w:type="dxa" w:w="260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اعتماد «تشخيص فرص النمو» كعرض دخول في الموقع</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25 أغسطس 2026</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تبسيط الصفحة والقرار التالي.</w:t>
            </w:r>
          </w:p>
        </w:tc>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الاسم معتمد؛ السعر النهائي غير محسوم.</w:t>
            </w:r>
          </w:p>
        </w:tc>
      </w:tr>
      <w:tr>
        <w:trPr>
          <w:cantSplit w:val="true"/>
        </w:trPr>
        <w:tc>
          <w:tcPr>
            <w:tcW w:type="dxa" w:w="260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رفض سعر 2,500 ريال لعرض الدخول</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25 أغسطس 2026</w:t>
            </w:r>
          </w:p>
        </w:tc>
        <w:tc>
          <w:tcPr>
            <w:tcW w:type="dxa" w:w="408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لا يتناسب مع التموضع عالي القيمة.</w:t>
            </w:r>
          </w:p>
        </w:tc>
        <w:tc>
          <w:tcPr>
            <w:tcW w:type="dxa" w:w="209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معتمد؛ يجب تحديد بديله.</w:t>
            </w:r>
          </w:p>
        </w:tc>
      </w:tr>
      <w:tr>
        <w:trPr>
          <w:cantSplit w:val="true"/>
        </w:trPr>
        <w:tc>
          <w:tcPr>
            <w:tcW w:type="dxa" w:w="260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الإبقاء على تفاصيل الخدمات في الصفحات الداخلية</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25 أغسطس 2026</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واجهة مختصرة، عمق عند الحاجة.</w:t>
            </w:r>
          </w:p>
        </w:tc>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معتمد.</w:t>
            </w:r>
          </w:p>
        </w:tc>
      </w:tr>
      <w:tr>
        <w:trPr>
          <w:cantSplit w:val="true"/>
        </w:trPr>
        <w:tc>
          <w:tcPr>
            <w:tcW w:type="dxa" w:w="260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التعاقد المرحلي + حافز أداء اختياري</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19–23 أغسطس 2026</w:t>
            </w:r>
          </w:p>
        </w:tc>
        <w:tc>
          <w:tcPr>
            <w:tcW w:type="dxa" w:w="408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مرونة، حوكمة، ومساءلة بدون إلزام العميل بتحول كامل من البداية.</w:t>
            </w:r>
          </w:p>
        </w:tc>
        <w:tc>
          <w:tcPr>
            <w:tcW w:type="dxa" w:w="209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معتمد في العروض.</w:t>
            </w:r>
          </w:p>
        </w:tc>
      </w:tr>
      <w:tr>
        <w:trPr>
          <w:cantSplit w:val="true"/>
        </w:trPr>
        <w:tc>
          <w:tcPr>
            <w:tcW w:type="dxa" w:w="260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بناء Ather Standards / Evidence Record</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23 أغسطس 2026</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تحويل الرأي إلى دليل وBefore/After ورفع المصداقية.</w:t>
            </w:r>
          </w:p>
        </w:tc>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اتجاه منتج قوي، يحتاج Pilot.</w:t>
            </w:r>
          </w:p>
        </w:tc>
      </w:tr>
      <w:tr>
        <w:trPr>
          <w:cantSplit w:val="true"/>
        </w:trPr>
        <w:tc>
          <w:tcPr>
            <w:tcW w:type="dxa" w:w="260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الجودة قبل الكمية في المحتوى</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ملاحظات المشروع</w:t>
            </w:r>
          </w:p>
        </w:tc>
        <w:tc>
          <w:tcPr>
            <w:tcW w:type="dxa" w:w="408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الهدف ليس عدد المنشورات بل لفت صاحب القرار وإنتاج نتيجة.</w:t>
            </w:r>
          </w:p>
        </w:tc>
        <w:tc>
          <w:tcPr>
            <w:tcW w:type="dxa" w:w="209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قاعدة عمل.</w:t>
            </w:r>
          </w:p>
        </w:tc>
      </w:tr>
      <w:tr>
        <w:trPr>
          <w:cantSplit w:val="true"/>
        </w:trPr>
        <w:tc>
          <w:tcPr>
            <w:tcW w:type="dxa" w:w="260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التنافس بالقيمة والجودة لا بالسعر</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ملاحظات المشروع</w:t>
            </w:r>
          </w:p>
        </w:tc>
        <w:tc>
          <w:tcPr>
            <w:tcW w:type="dxa" w:w="408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تفادي السوق الأحمر وبناء ميزة يصعب تقليدها.</w:t>
            </w:r>
          </w:p>
        </w:tc>
        <w:tc>
          <w:tcPr>
            <w:tcW w:type="dxa" w:w="209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قاعدة تموضع.</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14. التجارب التي نُفذت ونتائجها</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1984"/>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التجربة</w:t>
            </w:r>
          </w:p>
        </w:tc>
        <w:tc>
          <w:tcPr>
            <w:tcW w:type="dxa" w:w="283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ما الذي نُفذ</w:t>
            </w:r>
          </w:p>
        </w:tc>
        <w:tc>
          <w:tcPr>
            <w:tcW w:type="dxa" w:w="2835"/>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النتيجة المعروفة</w:t>
            </w:r>
          </w:p>
        </w:tc>
        <w:tc>
          <w:tcPr>
            <w:tcW w:type="dxa" w:w="243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ما نتعلمه</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خدمات رقمية عامة 2025</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متاجر، محتوى، سوشيال، أتمتة، عملاء قطاعات مختلفة.</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بنت سجل تنفيذ وعلاقات؛ لكنها لم تنتج تخصصًا واضحًا.</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القدرة الخلفية مفيدة، لكن الرسالة يجب أن تبقى متخصصة.</w:t>
            </w:r>
          </w:p>
        </w:tc>
      </w:tr>
      <w:tr>
        <w:trPr>
          <w:cantSplit w:val="true"/>
        </w:trPr>
        <w:tc>
          <w:tcPr>
            <w:tcW w:type="dxa" w:w="198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تشخيص منخفض التكلفة</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منتج 500 ريال عام 2025.</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كان بوابة بيع للخدمات الأكبر؛ لا توجد نتائج تحويل موثقة في المصادر الحالية.</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مبدأ التشخيص صالح، التسعير والقطاع تغيرا جذريًا.</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مرحلة عطور/تصنيع</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مبيعات، موردون، عملاء، عمولات، توصيل وعمليات مالية.</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بيانات تشغيل فعلية وخبرة أرضية، مع تعقيد محاسبي وتشغيلي.</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خبرة واقعية مفيدة، لكن يجب فصل النشاط والهوية عن الضيافة.</w:t>
            </w:r>
          </w:p>
        </w:tc>
      </w:tr>
      <w:tr>
        <w:trPr>
          <w:cantSplit w:val="true"/>
        </w:trPr>
        <w:tc>
          <w:tcPr>
            <w:tcW w:type="dxa" w:w="198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إعادة التموضع السياحي</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بروفايل متخصص + عرض استثماري + أسعار + معايير.</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تم الانتقال من «وكالة» إلى «شريك تطوير» على مستوى الخطاب.</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الخطوة التالية إثبات سوقي مدفوع لا مزيد من التنظير.</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اجتماع إيريديوم وأوالف</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لقاء مهني 17 أغسطس ثم تطوير عرض مخصص.</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تجاوب ورغبة تطوير كما ورد في البريد؛ لا إغلاق مثبت.</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الفرصة أصبحت مؤهلة وتحتاج Next Step تجاري محدد.</w:t>
            </w:r>
          </w:p>
        </w:tc>
      </w:tr>
      <w:tr>
        <w:trPr>
          <w:cantSplit w:val="true"/>
        </w:trPr>
        <w:tc>
          <w:tcPr>
            <w:tcW w:type="dxa" w:w="1984"/>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Ather Verified</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تصميم منهج أدوات وEvidence وBefore/After وتسعير.</w:t>
            </w:r>
          </w:p>
        </w:tc>
        <w:tc>
          <w:tcPr>
            <w:tcW w:type="dxa" w:w="2835"/>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منتج مفاهيمي جاهز نسبيًا، لم يثبت Pilot مدفوع.</w:t>
            </w:r>
          </w:p>
        </w:tc>
        <w:tc>
          <w:tcPr>
            <w:tcW w:type="dxa" w:w="243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أفضل مرشح لتحويل المعرفة إلى IP وإيراد متكرر.</w:t>
            </w:r>
          </w:p>
        </w:tc>
      </w:tr>
      <w:tr>
        <w:trPr>
          <w:cantSplit w:val="true"/>
        </w:trPr>
        <w:tc>
          <w:tcPr>
            <w:tcW w:type="dxa" w:w="1984"/>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إعادة تصميم الموقع</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نقد الواجهة واعتماد عرض دخول واحد.</w:t>
            </w:r>
          </w:p>
        </w:tc>
        <w:tc>
          <w:tcPr>
            <w:tcW w:type="dxa" w:w="2835"/>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قرار تصميمي واضح؛ النسخة النهائية/التحويل غير موثق.</w:t>
            </w:r>
          </w:p>
        </w:tc>
        <w:tc>
          <w:tcPr>
            <w:tcW w:type="dxa" w:w="243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الصفحة يجب أن تخدم الصفقة لا استعراض الخدمات.</w:t>
            </w:r>
          </w:p>
        </w:tc>
      </w:tr>
    </w:tbl>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15. الخطط والأهداف والمراحل القادمة</w:t>
      </w:r>
    </w:p>
    <w:p>
      <w:pPr>
        <w:pStyle w:val="Heading2"/>
        <w:spacing w:after="60" w:line="269" w:lineRule="auto"/>
        <w:jc w:val="right"/>
        <w:bidi w:val="1"/>
      </w:pPr>
      <w:r>
        <w:rPr>
          <w:rFonts w:ascii="Noto Sans Arabic" w:hAnsi="Noto Sans Arabic" w:cs="Noto Sans Arabic" w:eastAsia="Noto Sans Arabic"/>
          <w:b/>
          <w:color w:val="0B6B63"/>
          <w:sz w:val="28"/>
          <w:rtl w:val="1"/>
        </w:rPr>
        <w:t>المرحلة 1 — تثبيت الحقيقة التجارية (0–14 يومًا)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توحيد اسم المنتج الأول: Executive Diagnostic / تشخيص فرص النمو الفندقي، وتحديد نطاق واحد وسعر/منطق سعر معتمد.</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تحويل إيريديوم/أوالف إلى طلب شراء واضح: نطاق التشخيص، المخرجات، المدة، السعر، موعد القرار، وصاحب القرار.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إغلاق تعارض 180 ألف مقابل 300–600 ألف بتعريف مستويات 360° بدل أرقام متنافسة.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تأمين الحسابات: تدوير كلمات المرور، مدير كلمات مرور، MFA، صلاحيات منفصلة، حذف ملف الأسرار النصي بعد التحقق من النسخ الآمن.</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إنشاء CRM/Deal Board واحد وقرار أن هذا الملف + السجل التشغيلي هو مصدر الحقيقة.</w:t>
      </w:r>
    </w:p>
    <w:p>
      <w:pPr>
        <w:pStyle w:val="Heading2"/>
        <w:spacing w:after="60" w:line="269" w:lineRule="auto"/>
        <w:jc w:val="right"/>
        <w:bidi w:val="1"/>
      </w:pPr>
      <w:r>
        <w:rPr>
          <w:rFonts w:ascii="Noto Sans Arabic" w:hAnsi="Noto Sans Arabic" w:cs="Noto Sans Arabic" w:eastAsia="Noto Sans Arabic"/>
          <w:b/>
          <w:color w:val="0B6B63"/>
          <w:sz w:val="28"/>
          <w:rtl w:val="1"/>
        </w:rPr>
        <w:t>المرحلة 2 — إثبات المنهج (15–45 يومًا)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تنفيذ أول تشخيص مدفوع مع Baseline واضح، صور/قراءات، Evidence Record، أولويات و90-Day Plan.</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اختيار 3–5 مؤشرات يراها المالك وتتحرك فعليًا، بدل لوحة KPI كبيرة لا تُستخدم.</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تحويل النتائج إلى Case Study موثقة بدون كشف بيانات حساسة.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بناء قوالب التشخيص والتقرير والعرض والعقد وRACI واجتماع المراجعة الأسبوعي.</w:t>
      </w:r>
    </w:p>
    <w:p>
      <w:pPr>
        <w:pStyle w:val="Heading2"/>
        <w:spacing w:after="60" w:line="269" w:lineRule="auto"/>
        <w:jc w:val="right"/>
        <w:bidi w:val="1"/>
      </w:pPr>
      <w:r>
        <w:rPr>
          <w:rFonts w:ascii="Noto Sans Arabic" w:hAnsi="Noto Sans Arabic" w:cs="Noto Sans Arabic" w:eastAsia="Noto Sans Arabic"/>
          <w:b/>
          <w:color w:val="0B6B63"/>
          <w:sz w:val="28"/>
          <w:rtl w:val="1"/>
        </w:rPr>
        <w:t>المرحلة 3 — التوسع المنضبط (46–90 يومًا)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ترقية العميل من التشخيص إلى مسار تنفيذ متخصص أو 360° حسب الدليل.</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إطلاق Hotel Quality Audit كعرض تجديد/متابعة وليس كفكرة منفصلة.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استهداف منشآت مشابهة للحالة الأولى برسالة قطاعية واحدة، مع محتوى يعتمد على الدليل الحقيقي.</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اختبار شراكة TBC فقط إذا كان لها صاحب قرار ونموذج إيراد واضح، وإلا تبقى Backlog.</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16. الملفات والروابط ومصادر البيانات المهمة</w:t>
      </w:r>
    </w:p>
    <w:p>
      <w:pPr>
        <w:pStyle w:val="Heading2"/>
        <w:spacing w:after="60" w:line="269" w:lineRule="auto"/>
        <w:jc w:val="right"/>
        <w:bidi w:val="1"/>
      </w:pPr>
      <w:r>
        <w:rPr>
          <w:rFonts w:ascii="Noto Sans Arabic" w:hAnsi="Noto Sans Arabic" w:cs="Noto Sans Arabic" w:eastAsia="Noto Sans Arabic"/>
          <w:b/>
          <w:color w:val="0B6B63"/>
          <w:sz w:val="28"/>
          <w:rtl w:val="1"/>
        </w:rPr>
        <w:t>المصادر الأساسية — حالية</w:t>
      </w:r>
    </w:p>
    <w:tbl>
      <w:tblPr>
        <w:tblStyle w:val="TableGrid"/>
        <w:tblW w:type="auto" w:w="0"/>
        <w:jc w:val="right"/>
        <w:tblLayout w:type="autofit"/>
        <w:tblLook w:firstColumn="1" w:firstRow="1" w:lastColumn="0" w:lastRow="0" w:noHBand="0" w:noVBand="1" w:val="04A0"/>
      </w:tblPr>
      <w:tblGrid>
        <w:gridCol w:w="2578"/>
        <w:gridCol w:w="2578"/>
        <w:gridCol w:w="2578"/>
        <w:gridCol w:w="2578"/>
      </w:tblGrid>
      <w:tr>
        <w:trPr>
          <w:tblHeader w:val="true"/>
          <w:cantSplit w:val="true"/>
        </w:trPr>
        <w:tc>
          <w:tcPr>
            <w:tcW w:type="dxa" w:w="3458"/>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المصدر</w:t>
            </w:r>
          </w:p>
        </w:tc>
        <w:tc>
          <w:tcPr>
            <w:tcW w:type="dxa" w:w="1417"/>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التاريخ</w:t>
            </w:r>
          </w:p>
        </w:tc>
        <w:tc>
          <w:tcPr>
            <w:tcW w:type="dxa" w:w="3572"/>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ما الذي يحسمه</w:t>
            </w:r>
          </w:p>
        </w:tc>
        <w:tc>
          <w:tcPr>
            <w:tcW w:type="dxa" w:w="1701"/>
            <w:shd w:fill="17324D"/>
            <w:tcMar>
              <w:top w:w="90" w:type="dxa"/>
              <w:start w:w="110" w:type="dxa"/>
              <w:bottom w:w="90" w:type="dxa"/>
              <w:end w:w="110" w:type="dxa"/>
            </w:tcMar>
          </w:tcPr>
          <w:p>
            <w:pPr>
              <w:spacing w:after="60" w:line="269" w:lineRule="auto"/>
              <w:jc w:val="center"/>
              <w:bidi w:val="1"/>
            </w:pPr>
            <w:r>
              <w:rPr>
                <w:rFonts w:ascii="Noto Sans Arabic" w:hAnsi="Noto Sans Arabic" w:cs="Noto Sans Arabic" w:eastAsia="Noto Sans Arabic"/>
                <w:b/>
                <w:color w:val="FFFFFF"/>
                <w:sz w:val="15"/>
                <w:rtl w:val="1"/>
              </w:rPr>
              <w:t>الأولوية</w:t>
            </w:r>
          </w:p>
        </w:tc>
      </w:tr>
      <w:tr>
        <w:trPr>
          <w:cantSplit w:val="true"/>
        </w:trPr>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أثر مشرق | تصور استثماري زر لتطوير المنشآت الفندقية.pptx</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23/08/2026</w:t>
            </w:r>
          </w:p>
        </w:tc>
        <w:tc>
          <w:tcPr>
            <w:tcW w:type="dxa" w:w="357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المنهج، Iridium/Awalif، Ather Standards/Verified، الأسعار المخصصة، الخطوة التالية.</w:t>
            </w:r>
          </w:p>
        </w:tc>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مرجع تجاري رئيسي.</w:t>
            </w:r>
          </w:p>
        </w:tc>
      </w:tr>
      <w:tr>
        <w:trPr>
          <w:cantSplit w:val="true"/>
        </w:trPr>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أثر مشرق | ملخص الخدمات ونطاقات الاستثمار الفندقي.pptx</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23/08/2026</w:t>
            </w:r>
          </w:p>
        </w:tc>
        <w:tc>
          <w:tcPr>
            <w:tcW w:type="dxa" w:w="357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مصفوفة الباقات والأسعار ومنطق التسعير.</w:t>
            </w:r>
          </w:p>
        </w:tc>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مرجع تسعير — يحتاج مواءمة.</w:t>
            </w:r>
          </w:p>
        </w:tc>
      </w:tr>
      <w:tr>
        <w:trPr>
          <w:cantSplit w:val="true"/>
        </w:trPr>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أثر مشرق | تصور مبدئي.pptx</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23/08/2026</w:t>
            </w:r>
          </w:p>
        </w:tc>
        <w:tc>
          <w:tcPr>
            <w:tcW w:type="dxa" w:w="357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منظور الأصل وشريك التطوير.</w:t>
            </w:r>
          </w:p>
        </w:tc>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مرجع تموضع.</w:t>
            </w:r>
          </w:p>
        </w:tc>
      </w:tr>
      <w:tr>
        <w:trPr>
          <w:cantSplit w:val="true"/>
        </w:trPr>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بروفايل أثر مشرق للسياحة.pdf</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15/08/2026</w:t>
            </w:r>
          </w:p>
        </w:tc>
        <w:tc>
          <w:tcPr>
            <w:tcW w:type="dxa" w:w="357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تعريف الشركة/المؤسسة، القطاعات، المنهج، الخبرة المعروضة.</w:t>
            </w:r>
          </w:p>
        </w:tc>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مرجع تعريف.</w:t>
            </w:r>
          </w:p>
        </w:tc>
      </w:tr>
      <w:tr>
        <w:trPr>
          <w:cantSplit w:val="true"/>
        </w:trPr>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معايير تصنيف الفنادق.xlsx</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موجود في Drive/أرسل بالبريد 19/08/2026</w:t>
            </w:r>
          </w:p>
        </w:tc>
        <w:tc>
          <w:tcPr>
            <w:tcW w:type="dxa" w:w="357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قاعدة معايير تشخيص وتصنيف.</w:t>
            </w:r>
          </w:p>
        </w:tc>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أصل معرفي حرج.</w:t>
            </w:r>
          </w:p>
        </w:tc>
      </w:tr>
      <w:tr>
        <w:trPr>
          <w:cantSplit w:val="true"/>
        </w:trPr>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شهادة السجل التجاري</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إصدار 08/08/2025</w:t>
            </w:r>
          </w:p>
        </w:tc>
        <w:tc>
          <w:tcPr>
            <w:tcW w:type="dxa" w:w="357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الشكل القانوني وحالة السجل.</w:t>
            </w:r>
          </w:p>
        </w:tc>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مرجع قانوني.</w:t>
            </w:r>
          </w:p>
        </w:tc>
      </w:tr>
      <w:tr>
        <w:trPr>
          <w:cantSplit w:val="true"/>
        </w:trPr>
        <w:tc>
          <w:tcPr>
            <w:tcW w:type="dxa" w:w="3458"/>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Gmail — «خطوة جديدة لأثر مشرق في قطاع الضيافة والفنادق»</w:t>
            </w:r>
          </w:p>
        </w:tc>
        <w:tc>
          <w:tcPr>
            <w:tcW w:type="dxa" w:w="1417"/>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17/08/2026</w:t>
            </w:r>
          </w:p>
        </w:tc>
        <w:tc>
          <w:tcPr>
            <w:tcW w:type="dxa" w:w="3572"/>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يثبت لقاء إيريديوم وأوالف.</w:t>
            </w:r>
          </w:p>
        </w:tc>
        <w:tc>
          <w:tcPr>
            <w:tcW w:type="dxa" w:w="1701"/>
            <w:tcMar>
              <w:top w:w="90" w:type="dxa"/>
              <w:start w:w="110" w:type="dxa"/>
              <w:bottom w:w="90" w:type="dxa"/>
              <w:end w:w="110" w:type="dxa"/>
            </w:tcMar>
            <w:vAlign w:val="top"/>
          </w:tcPr>
          <w:p>
            <w:pPr>
              <w:spacing w:after="60" w:line="269" w:lineRule="auto"/>
              <w:jc w:val="right"/>
              <w:bidi w:val="1"/>
            </w:pPr>
            <w:r>
              <w:rPr>
                <w:rFonts w:ascii="Noto Sans Arabic" w:hAnsi="Noto Sans Arabic" w:cs="Noto Sans Arabic" w:eastAsia="Noto Sans Arabic"/>
                <w:b w:val="0"/>
                <w:color w:val="17324D"/>
                <w:sz w:val="15"/>
                <w:rtl w:val="1"/>
              </w:rPr>
              <w:t>دليل فرصة.</w:t>
            </w:r>
          </w:p>
        </w:tc>
      </w:tr>
      <w:tr>
        <w:trPr>
          <w:cantSplit w:val="true"/>
        </w:trPr>
        <w:tc>
          <w:tcPr>
            <w:tcW w:type="dxa" w:w="3458"/>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سنع - طبقة المشغل الشخصية V1.1.xlsx</w:t>
            </w:r>
          </w:p>
        </w:tc>
        <w:tc>
          <w:tcPr>
            <w:tcW w:type="dxa" w:w="1417"/>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27/08/2026</w:t>
            </w:r>
          </w:p>
        </w:tc>
        <w:tc>
          <w:tcPr>
            <w:tcW w:type="dxa" w:w="3572"/>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أثر مشرق CASE-001 نشط في الضيافة/الفنادق داخل النظام الأوسع.</w:t>
            </w:r>
          </w:p>
        </w:tc>
        <w:tc>
          <w:tcPr>
            <w:tcW w:type="dxa" w:w="1701"/>
            <w:tcMar>
              <w:top w:w="90" w:type="dxa"/>
              <w:start w:w="110" w:type="dxa"/>
              <w:bottom w:w="90" w:type="dxa"/>
              <w:end w:w="110" w:type="dxa"/>
            </w:tcMar>
            <w:vAlign w:val="top"/>
            <w:shd w:fill="FAFAFA"/>
          </w:tcPr>
          <w:p>
            <w:pPr>
              <w:spacing w:after="60" w:line="269" w:lineRule="auto"/>
              <w:jc w:val="right"/>
              <w:bidi w:val="1"/>
            </w:pPr>
            <w:r>
              <w:rPr>
                <w:rFonts w:ascii="Noto Sans Arabic" w:hAnsi="Noto Sans Arabic" w:cs="Noto Sans Arabic" w:eastAsia="Noto Sans Arabic"/>
                <w:b w:val="0"/>
                <w:color w:val="17324D"/>
                <w:sz w:val="15"/>
                <w:rtl w:val="1"/>
              </w:rPr>
              <w:t>مرجع إدارة معرفة.</w:t>
            </w:r>
          </w:p>
        </w:tc>
      </w:tr>
    </w:tbl>
    <w:p/>
    <w:p>
      <w:pPr>
        <w:pStyle w:val="Heading2"/>
        <w:spacing w:after="60" w:line="269" w:lineRule="auto"/>
        <w:jc w:val="right"/>
        <w:bidi w:val="1"/>
      </w:pPr>
      <w:r>
        <w:rPr>
          <w:rFonts w:ascii="Noto Sans Arabic" w:hAnsi="Noto Sans Arabic" w:cs="Noto Sans Arabic" w:eastAsia="Noto Sans Arabic"/>
          <w:b/>
          <w:color w:val="0B6B63"/>
          <w:sz w:val="28"/>
          <w:rtl w:val="1"/>
        </w:rPr>
        <w:t>مصادر تاريخية/إرث العلامة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التفريغ النصي الأصلي كما ورد.txt — أبريل إلى يوليو 2026: عمليات «عطور أثر مشرق»، مبيعات، مصروفات، مصنع وموردون.</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مبيعات يوليو أثر مشرق.pdf — سجل مالي تاريخي؛ الصفحة الأولى تجمع 7,385 ريال للمواعيد المدرجة.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مصاريف يوليو أثر مشرق 22.pdf — 4,043.95 ريال مصروفات مدرجة.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شركاء نجاحنا.txt — 9 أغسطس 2025: قائمة مراجع/عملاء من التموضع القديم متعدد القطاعات.</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تقرير مصنع العطور مع الملاحظات الاستراتيجية.docx — دراسة مشروع مصنع منفصل/مرتبط؛ ملكيته بالنسبة لأثر مشرق غير مثبتة، لذا يستخدم كمرجع معرفة فقط.</w:t>
      </w:r>
    </w:p>
    <w:p>
      <w:pPr>
        <w:pStyle w:val="Heading2"/>
        <w:spacing w:after="60" w:line="269" w:lineRule="auto"/>
        <w:jc w:val="right"/>
        <w:bidi w:val="1"/>
      </w:pPr>
      <w:r>
        <w:rPr>
          <w:rFonts w:ascii="Noto Sans Arabic" w:hAnsi="Noto Sans Arabic" w:cs="Noto Sans Arabic" w:eastAsia="Noto Sans Arabic"/>
          <w:b/>
          <w:color w:val="0B6B63"/>
          <w:sz w:val="28"/>
          <w:rtl w:val="1"/>
        </w:rPr>
        <w:t>روابط ظهرت في المشروع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الموقع التجريبي الحالي في محادثات أغسطس: https://atharmushriq-s5dgqdte.manus.space — رابط مؤقت، إتاحته العامة لم تُتحقق في هذه المراجعة.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أمثلة محفظة تاريخية من ملف «شركاء نجاحنا»: https://www.arac-tabah.com/ | https://www.oudstories.com | https://www.cupoud.com | https://linktr.ee/toot_mart | https://we-14.com.sa | https://dentaha.com | https://u-different.com/ | https://eracaree.com/ | https://naderahalmasi.com/</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Google Drive يحوي مجلدات: مستندات رسمية، العقود، التصاميم، المنشورات، بيت الحرفيين، وملفات المحتوى. يجب إنشاء فهرس Master Index بدل الاعتماد على البحث اليدوي.</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A33A3A"/>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معلومة أمنية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يوجد ملف Drive بعنوان «حسابات أثر مشرق.txt» يتضمن بيانات دخول لمنصات متعددة. لا يوزع ولا يُستخدم كمرجع تشغيلي بعد نقل الأسرار إلى Password Manager وتدويرها.</w:t>
            </w:r>
          </w:p>
        </w:tc>
      </w:tr>
    </w:tbl>
    <w:p>
      <w:r>
        <w:br w:type="page"/>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أهم 10 معلومات قبل اتخاذ أي قرار في أثر مشرق</w:t>
      </w:r>
    </w:p>
    <w:p>
      <w:pPr>
        <w:spacing w:after="60" w:line="269" w:lineRule="auto"/>
        <w:jc w:val="right"/>
        <w:bidi w:val="1"/>
      </w:pPr>
      <w:r>
        <w:rPr>
          <w:rFonts w:ascii="Noto Sans Arabic" w:hAnsi="Noto Sans Arabic" w:cs="Noto Sans Arabic" w:eastAsia="Noto Sans Arabic"/>
          <w:b/>
          <w:color w:val="0B6B63"/>
          <w:sz w:val="22"/>
          <w:rtl w:val="1"/>
        </w:rPr>
        <w:t xml:space="preserve">1. </w:t>
      </w:r>
      <w:r>
        <w:rPr>
          <w:rFonts w:ascii="Noto Sans Arabic" w:hAnsi="Noto Sans Arabic" w:cs="Noto Sans Arabic" w:eastAsia="Noto Sans Arabic"/>
          <w:b w:val="0"/>
          <w:color w:val="17324D"/>
          <w:sz w:val="22"/>
          <w:rtl w:val="1"/>
        </w:rPr>
        <w:t>التموضع الحالي هو تطوير منشآت الضيافة والفنادق عالي القيمة، وليس وكالة تسويق عامة أو نشاط عطور.</w:t>
      </w:r>
    </w:p>
    <w:p>
      <w:pPr>
        <w:spacing w:after="60" w:line="269" w:lineRule="auto"/>
        <w:jc w:val="right"/>
        <w:bidi w:val="1"/>
      </w:pPr>
      <w:r>
        <w:rPr>
          <w:rFonts w:ascii="Noto Sans Arabic" w:hAnsi="Noto Sans Arabic" w:cs="Noto Sans Arabic" w:eastAsia="Noto Sans Arabic"/>
          <w:b/>
          <w:color w:val="0B6B63"/>
          <w:sz w:val="22"/>
          <w:rtl w:val="1"/>
        </w:rPr>
        <w:t xml:space="preserve">2. </w:t>
      </w:r>
      <w:r>
        <w:rPr>
          <w:rFonts w:ascii="Noto Sans Arabic" w:hAnsi="Noto Sans Arabic" w:cs="Noto Sans Arabic" w:eastAsia="Noto Sans Arabic"/>
          <w:b w:val="0"/>
          <w:color w:val="17324D"/>
          <w:sz w:val="22"/>
          <w:rtl w:val="1"/>
        </w:rPr>
        <w:t>الكيان القانوني «مؤسسة» وحالته نشطة؛ يجب أن تتطابق العقود والموقع مع الوصف القانوني.</w:t>
      </w:r>
    </w:p>
    <w:p>
      <w:pPr>
        <w:spacing w:after="60" w:line="269" w:lineRule="auto"/>
        <w:jc w:val="right"/>
        <w:bidi w:val="1"/>
      </w:pPr>
      <w:r>
        <w:rPr>
          <w:rFonts w:ascii="Noto Sans Arabic" w:hAnsi="Noto Sans Arabic" w:cs="Noto Sans Arabic" w:eastAsia="Noto Sans Arabic"/>
          <w:b/>
          <w:color w:val="0B6B63"/>
          <w:sz w:val="22"/>
          <w:rtl w:val="1"/>
        </w:rPr>
        <w:t xml:space="preserve">3. </w:t>
      </w:r>
      <w:r>
        <w:rPr>
          <w:rFonts w:ascii="Noto Sans Arabic" w:hAnsi="Noto Sans Arabic" w:cs="Noto Sans Arabic" w:eastAsia="Noto Sans Arabic"/>
          <w:b w:val="0"/>
          <w:color w:val="17324D"/>
          <w:sz w:val="22"/>
          <w:rtl w:val="1"/>
        </w:rPr>
        <w:t>نموذج البيع الصحيح: تشخيص مدفوع أولًا ثم تنفيذ/إشراف ثم تجديد أو تدقيق دوري.</w:t>
      </w:r>
    </w:p>
    <w:p>
      <w:pPr>
        <w:spacing w:after="60" w:line="269" w:lineRule="auto"/>
        <w:jc w:val="right"/>
        <w:bidi w:val="1"/>
      </w:pPr>
      <w:r>
        <w:rPr>
          <w:rFonts w:ascii="Noto Sans Arabic" w:hAnsi="Noto Sans Arabic" w:cs="Noto Sans Arabic" w:eastAsia="Noto Sans Arabic"/>
          <w:b/>
          <w:color w:val="0B6B63"/>
          <w:sz w:val="22"/>
          <w:rtl w:val="1"/>
        </w:rPr>
        <w:t xml:space="preserve">4. </w:t>
      </w:r>
      <w:r>
        <w:rPr>
          <w:rFonts w:ascii="Noto Sans Arabic" w:hAnsi="Noto Sans Arabic" w:cs="Noto Sans Arabic" w:eastAsia="Noto Sans Arabic"/>
          <w:b w:val="0"/>
          <w:color w:val="17324D"/>
          <w:sz w:val="22"/>
          <w:rtl w:val="1"/>
        </w:rPr>
        <w:t>إيريديوم وأوالف أقرب فرصة فعلية، لكن لا يوجد حتى الآن عقد أو إيراد مثبت بعد التحول.</w:t>
      </w:r>
    </w:p>
    <w:p>
      <w:pPr>
        <w:spacing w:after="60" w:line="269" w:lineRule="auto"/>
        <w:jc w:val="right"/>
        <w:bidi w:val="1"/>
      </w:pPr>
      <w:r>
        <w:rPr>
          <w:rFonts w:ascii="Noto Sans Arabic" w:hAnsi="Noto Sans Arabic" w:cs="Noto Sans Arabic" w:eastAsia="Noto Sans Arabic"/>
          <w:b/>
          <w:color w:val="0B6B63"/>
          <w:sz w:val="22"/>
          <w:rtl w:val="1"/>
        </w:rPr>
        <w:t xml:space="preserve">5. </w:t>
      </w:r>
      <w:r>
        <w:rPr>
          <w:rFonts w:ascii="Noto Sans Arabic" w:hAnsi="Noto Sans Arabic" w:cs="Noto Sans Arabic" w:eastAsia="Noto Sans Arabic"/>
          <w:b w:val="0"/>
          <w:color w:val="17324D"/>
          <w:sz w:val="22"/>
          <w:rtl w:val="1"/>
        </w:rPr>
        <w:t>التسعير غير موحد بعد، خصوصًا 360° (180 ألف كبداية مقابل 300–600 ألف+ في ملف آخر).</w:t>
      </w:r>
    </w:p>
    <w:p>
      <w:pPr>
        <w:spacing w:after="60" w:line="269" w:lineRule="auto"/>
        <w:jc w:val="right"/>
        <w:bidi w:val="1"/>
      </w:pPr>
      <w:r>
        <w:rPr>
          <w:rFonts w:ascii="Noto Sans Arabic" w:hAnsi="Noto Sans Arabic" w:cs="Noto Sans Arabic" w:eastAsia="Noto Sans Arabic"/>
          <w:b/>
          <w:color w:val="0B6B63"/>
          <w:sz w:val="22"/>
          <w:rtl w:val="1"/>
        </w:rPr>
        <w:t xml:space="preserve">6. </w:t>
      </w:r>
      <w:r>
        <w:rPr>
          <w:rFonts w:ascii="Noto Sans Arabic" w:hAnsi="Noto Sans Arabic" w:cs="Noto Sans Arabic" w:eastAsia="Noto Sans Arabic"/>
          <w:b w:val="0"/>
          <w:color w:val="17324D"/>
          <w:sz w:val="22"/>
          <w:rtl w:val="1"/>
        </w:rPr>
        <w:t>Ather Standards + Evidence Record + Before/After هي أقوى عناصر التفريق الحالية ويمكن أن تصبح IP حقيقية.</w:t>
      </w:r>
    </w:p>
    <w:p>
      <w:pPr>
        <w:spacing w:after="60" w:line="269" w:lineRule="auto"/>
        <w:jc w:val="right"/>
        <w:bidi w:val="1"/>
      </w:pPr>
      <w:r>
        <w:rPr>
          <w:rFonts w:ascii="Noto Sans Arabic" w:hAnsi="Noto Sans Arabic" w:cs="Noto Sans Arabic" w:eastAsia="Noto Sans Arabic"/>
          <w:b/>
          <w:color w:val="0B6B63"/>
          <w:sz w:val="22"/>
          <w:rtl w:val="1"/>
        </w:rPr>
        <w:t xml:space="preserve">7. </w:t>
      </w:r>
      <w:r>
        <w:rPr>
          <w:rFonts w:ascii="Noto Sans Arabic" w:hAnsi="Noto Sans Arabic" w:cs="Noto Sans Arabic" w:eastAsia="Noto Sans Arabic"/>
          <w:b w:val="0"/>
          <w:color w:val="17324D"/>
          <w:sz w:val="22"/>
          <w:rtl w:val="1"/>
        </w:rPr>
        <w:t>العلامة تحمل إرثًا من نشاط العطور والخدمات الرقمية المتنوعة؛ عدم الفصل سيضرب الثقة في التخصص الجديد.</w:t>
      </w:r>
    </w:p>
    <w:p>
      <w:pPr>
        <w:spacing w:after="60" w:line="269" w:lineRule="auto"/>
        <w:jc w:val="right"/>
        <w:bidi w:val="1"/>
      </w:pPr>
      <w:r>
        <w:rPr>
          <w:rFonts w:ascii="Noto Sans Arabic" w:hAnsi="Noto Sans Arabic" w:cs="Noto Sans Arabic" w:eastAsia="Noto Sans Arabic"/>
          <w:b/>
          <w:color w:val="0B6B63"/>
          <w:sz w:val="22"/>
          <w:rtl w:val="1"/>
        </w:rPr>
        <w:t xml:space="preserve">8. </w:t>
      </w:r>
      <w:r>
        <w:rPr>
          <w:rFonts w:ascii="Noto Sans Arabic" w:hAnsi="Noto Sans Arabic" w:cs="Noto Sans Arabic" w:eastAsia="Noto Sans Arabic"/>
          <w:b w:val="0"/>
          <w:color w:val="17324D"/>
          <w:sz w:val="22"/>
          <w:rtl w:val="1"/>
        </w:rPr>
        <w:t>الأصول كثيرة لكن المعرفة موزعة؛ لا يوجد حتى الآن Source of Truth وCRM مكتمل يربط الفرصة بالقرار والقياس.</w:t>
      </w:r>
    </w:p>
    <w:p>
      <w:pPr>
        <w:spacing w:after="60" w:line="269" w:lineRule="auto"/>
        <w:jc w:val="right"/>
        <w:bidi w:val="1"/>
      </w:pPr>
      <w:r>
        <w:rPr>
          <w:rFonts w:ascii="Noto Sans Arabic" w:hAnsi="Noto Sans Arabic" w:cs="Noto Sans Arabic" w:eastAsia="Noto Sans Arabic"/>
          <w:b/>
          <w:color w:val="0B6B63"/>
          <w:sz w:val="22"/>
          <w:rtl w:val="1"/>
        </w:rPr>
        <w:t xml:space="preserve">9. </w:t>
      </w:r>
      <w:r>
        <w:rPr>
          <w:rFonts w:ascii="Noto Sans Arabic" w:hAnsi="Noto Sans Arabic" w:cs="Noto Sans Arabic" w:eastAsia="Noto Sans Arabic"/>
          <w:b w:val="0"/>
          <w:color w:val="17324D"/>
          <w:sz w:val="22"/>
          <w:rtl w:val="1"/>
        </w:rPr>
        <w:t>القدرة التنفيذية الحالية وأدوار الفريق وسعة المشاريع غير موثقة بما يكفي قبل بيع عدة مشاريع كبيرة.</w:t>
      </w:r>
    </w:p>
    <w:p>
      <w:pPr>
        <w:spacing w:after="60" w:line="269" w:lineRule="auto"/>
        <w:jc w:val="right"/>
        <w:bidi w:val="1"/>
      </w:pPr>
      <w:r>
        <w:rPr>
          <w:rFonts w:ascii="Noto Sans Arabic" w:hAnsi="Noto Sans Arabic" w:cs="Noto Sans Arabic" w:eastAsia="Noto Sans Arabic"/>
          <w:b/>
          <w:color w:val="0B6B63"/>
          <w:sz w:val="22"/>
          <w:rtl w:val="1"/>
        </w:rPr>
        <w:t xml:space="preserve">10. </w:t>
      </w:r>
      <w:r>
        <w:rPr>
          <w:rFonts w:ascii="Noto Sans Arabic" w:hAnsi="Noto Sans Arabic" w:cs="Noto Sans Arabic" w:eastAsia="Noto Sans Arabic"/>
          <w:b w:val="0"/>
          <w:color w:val="17324D"/>
          <w:sz w:val="22"/>
          <w:rtl w:val="1"/>
        </w:rPr>
        <w:t>الخطوة التي ستغيّر قيمة المشروع ليست عرضًا جديدًا آخر؛ بل أول تشخيص فندقي مدفوع ينتج Case موثقة ويقود إلى عقد تنفيذ.</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أهم 5 فرص</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إغلاق أول تشخيص مدفوع لإيريديوم/أوالف وتحويله إلى دراسة حالة ثم تنفيذ أوسع.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تحويل Ather Verified وHotel Quality Audit إلى منتج دوري قابل للتكرار والتجديد.</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بناء Athar Hotel OS من المعايير والأدلة والقوالب وربطه بسنع داخليًا.</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التموضع في تقاطع الضيافة + التجربة + التراث/السياحة في المنطقة الغربية بدل منافسة وكالات التسويق العامة.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استخدام شبكة العلاقات والخبرات السابقة للوصول المباشر إلى ملاك ومستثمرين بدل الاعتماد على الإعلانات فقط.</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أهم 5 مخاطر</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تشوش الهوية بين العطور/المتاجر/التسويق العام والضيافة المتخصصة.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تعارض الأسعار والمنتجات بين الموقع والعروض، ما يضعف المصداقية أثناء البيع.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بيع مشروع أكبر من القدرة التنفيذية بسبب عدم وضوح RACI والسعة والموارد المتخصصة.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غياب Case فندقية مدفوعة وBaseline/Before-After حتى الآن.</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خطر أمني مرتفع من حفظ بيانات دخول متعددة في ملف نصي وإعادة استخدام كلمات مرور.</w:t>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أهم 5 أسئلة ما زالت بدون إجابة</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ما السعر والنطاق النهائي المعتمد لمنتج الدخول: «تشخيص فرص النمو/Executive Diagnostic»؟</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ما آخر حالة فعلية لإيريديوم وأوالف: من صاحب القرار النهائي، متى القرار، وما المطلوب لإغلاق التشخيص؟</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من فريق التسليم الحالي بالاسم والدور والسعة، ومن المسؤول الوحيد عن كل صفقة ومشروع؟</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ما البيانات الأساسية لكل فندق قبل التسعير: عدد الغرف، التصنيف، المرافق، F&amp;B، الإيرادات/التقييمات، ومشاريع الترميم؟</w:t>
      </w:r>
    </w:p>
    <w:p>
      <w:pPr>
        <w:spacing w:after="60" w:line="269" w:lineRule="auto"/>
        <w:ind w:left="0" w:right="142"/>
        <w:jc w:val="right"/>
        <w:bidi w:val="1"/>
      </w:pPr>
      <w:r>
        <w:rPr>
          <w:rFonts w:ascii="Noto Sans Arabic" w:hAnsi="Noto Sans Arabic" w:cs="Noto Sans Arabic" w:eastAsia="Noto Sans Arabic"/>
          <w:b/>
          <w:color w:val="0B6B63"/>
          <w:sz w:val="21"/>
          <w:rtl w:val="1"/>
        </w:rPr>
        <w:t xml:space="preserve">• </w:t>
      </w:r>
      <w:r>
        <w:rPr>
          <w:rFonts w:ascii="Noto Sans Arabic" w:hAnsi="Noto Sans Arabic" w:cs="Noto Sans Arabic" w:eastAsia="Noto Sans Arabic"/>
          <w:b w:val="0"/>
          <w:sz w:val="21"/>
          <w:rtl w:val="1"/>
        </w:rPr>
        <w:t>ما سياسة الفصل النهائية للهوية الرقمية والتاريخ القديم «عطور أثر مشرق»: أرشفة، علامة فرعية، أم تنظيف كامل للظهور العام؟</w:t>
      </w:r>
    </w:p>
    <w:p>
      <w:r>
        <w:br w:type="page"/>
      </w:r>
    </w:p>
    <w:p>
      <w:pPr>
        <w:pStyle w:val="Heading1"/>
        <w:spacing w:after="60" w:line="269" w:lineRule="auto"/>
        <w:jc w:val="right"/>
        <w:bidi w:val="1"/>
        <w:pBdr>
          <w:bottom w:val="single" w:sz="8" w:space="3" w:color="0B6B63"/>
        </w:pBdr>
      </w:pPr>
      <w:r>
        <w:rPr>
          <w:rFonts w:ascii="Noto Sans Arabic" w:hAnsi="Noto Sans Arabic" w:cs="Noto Sans Arabic" w:eastAsia="Noto Sans Arabic"/>
          <w:b/>
          <w:color w:val="17324D"/>
          <w:sz w:val="36"/>
          <w:rtl w:val="1"/>
        </w:rPr>
        <w:t>الخلاصة التنفيذية</w:t>
      </w:r>
    </w:p>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305E8C"/>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الوضع الحالي</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أثر مشرق في مرحلة انتقال من بناء العرض والتموضع إلى إثبات السوق. توجد أصول قوية ومنهج متماسك وفرصة فندقية حقيقية، لكن لم يثبت بعد إيراد B2B فندقي بعد التحول، ولا تزال الأسعار والعمليات بحاجة إلى توحيد.</w:t>
            </w:r>
          </w:p>
        </w:tc>
      </w:tr>
    </w:tbl>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0B6B63"/>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الأولوية الحالية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إغلاق أول تشخيص تنفيذي مدفوع بمخرجات واضحة لعميل فندقي مؤهل، مع توحيد التسعير وسير البيع حوله. لا أولوية أعلى الآن من تحويل العرض إلى Proof تجاري.</w:t>
            </w:r>
          </w:p>
        </w:tc>
      </w:tr>
    </w:tbl>
    <w:tbl>
      <w:tblPr>
        <w:tblW w:type="auto" w:w="0"/>
        <w:jc w:val="right"/>
        <w:tblLayout w:type="autofit"/>
        <w:tblLook w:firstColumn="1" w:firstRow="1" w:lastColumn="0" w:lastRow="0" w:noHBand="0" w:noVBand="1" w:val="04A0"/>
      </w:tblPr>
      <w:tblGrid>
        <w:gridCol w:w="5156"/>
        <w:gridCol w:w="5156"/>
      </w:tblGrid>
      <w:tr>
        <w:trPr>
          <w:cantSplit w:val="true"/>
        </w:trPr>
        <w:tc>
          <w:tcPr>
            <w:tcW w:type="dxa" w:w="5156"/>
            <w:shd w:fill="2E6B4F"/>
            <w:tcMar>
              <w:top w:w="100" w:type="dxa"/>
              <w:start w:w="110" w:type="dxa"/>
              <w:bottom w:w="100" w:type="dxa"/>
              <w:end w:w="110" w:type="dxa"/>
            </w:tcMar>
            <w:vAlign w:val="center"/>
          </w:tcPr>
          <w:p>
            <w:pPr>
              <w:spacing w:after="60" w:line="269" w:lineRule="auto"/>
              <w:jc w:val="center"/>
              <w:bidi w:val="1"/>
            </w:pPr>
            <w:r>
              <w:rPr>
                <w:rFonts w:ascii="Noto Sans Arabic" w:hAnsi="Noto Sans Arabic" w:cs="Noto Sans Arabic" w:eastAsia="Noto Sans Arabic"/>
                <w:b/>
                <w:color w:val="FFFFFF"/>
                <w:sz w:val="19"/>
                <w:rtl w:val="1"/>
              </w:rPr>
              <w:t>أفضل خطوة تالية</w:t>
            </w:r>
          </w:p>
        </w:tc>
        <w:tc>
          <w:tcPr>
            <w:tcW w:type="dxa" w:w="5156"/>
            <w:shd w:fill="F4F7F6"/>
            <w:tcMar>
              <w:top w:w="100" w:type="dxa"/>
              <w:start w:w="110" w:type="dxa"/>
              <w:bottom w:w="100" w:type="dxa"/>
              <w:end w:w="110" w:type="dxa"/>
            </w:tcMar>
            <w:vAlign w:val="center"/>
          </w:tcPr>
          <w:p>
            <w:pPr>
              <w:spacing w:after="60" w:line="269" w:lineRule="auto"/>
              <w:jc w:val="right"/>
              <w:bidi w:val="1"/>
            </w:pPr>
            <w:r>
              <w:rPr>
                <w:rFonts w:ascii="Noto Sans Arabic" w:hAnsi="Noto Sans Arabic" w:cs="Noto Sans Arabic" w:eastAsia="Noto Sans Arabic"/>
                <w:b w:val="0"/>
                <w:color w:val="17324D"/>
                <w:sz w:val="19"/>
                <w:rtl w:val="1"/>
              </w:rPr>
              <w:t>خلال 48 ساعة: إعداد «ورقة إغلاق تشخيص» من صفحة واحدة لإيريديوم/أوالف تتضمن المشكلة، النطاق، 5 مخرجات، المدة، السعر المعتمد، صاحب القرار، موعد القرار، والـNext Step؛ ثم إرسالها/مناقشتها بدل إنتاج عرض جديد طويل.</w:t>
            </w:r>
          </w:p>
        </w:tc>
      </w:tr>
    </w:tbl>
    <w:sectPr w:rsidR="00FC693F" w:rsidRPr="0006063C" w:rsidSect="00034616">
      <w:headerReference w:type="default" r:id="rId9"/>
      <w:footerReference w:type="default" r:id="rId10"/>
      <w:pgSz w:w="12240" w:h="15840"/>
      <w:pgMar w:top="907"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69" w:lineRule="auto"/>
      <w:jc w:val="center"/>
      <w:bidi w:val="1"/>
    </w:pPr>
    <w:r>
      <w:rPr>
        <w:rFonts w:ascii="Noto Sans Arabic" w:hAnsi="Noto Sans Arabic" w:cs="Noto Sans Arabic" w:eastAsia="Noto Sans Arabic"/>
        <w:b w:val="0"/>
        <w:color w:val="667085"/>
        <w:sz w:val="16"/>
        <w:rtl w:val="1"/>
      </w:rPr>
      <w:t>مرجع داخلي | أثر مشرق | تحديث 1 سبتمبر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line="269" w:lineRule="auto"/>
      <w:jc w:val="right"/>
      <w:bidi w:val="1"/>
      <w:pBdr>
        <w:bottom w:val="single" w:sz="6" w:space="3" w:color="D9E1E0"/>
      </w:pBdr>
    </w:pPr>
    <w:r>
      <w:rPr>
        <w:rFonts w:ascii="Noto Sans Arabic" w:hAnsi="Noto Sans Arabic" w:cs="Noto Sans Arabic" w:eastAsia="Noto Sans Arabic"/>
        <w:b/>
        <w:color w:val="667085"/>
        <w:sz w:val="17"/>
        <w:rtl w:val="1"/>
      </w:rPr>
      <w:t>أثر مشرق — ملف المعرفة الموحد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0B6B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B56A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Noto Sans Arabic" w:hAnsi="Noto Sans Arabic" w:cs="Noto Sans Arabic"/>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