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bidi w:val="1"/>
      </w:pPr>
      <w:r>
        <w:rPr>
          <w:rFonts w:ascii="Noto Kufi Arabic" w:hAnsi="Noto Kufi Arabic"/>
          <w:b/>
          <w:color w:val="17324D"/>
          <w:sz w:val="46"/>
        </w:rPr>
        <w:t>ما تم استدراكه بعد المراجعة الثانية</w:t>
      </w:r>
    </w:p>
    <w:p>
      <w:pPr>
        <w:jc w:val="center"/>
        <w:bidi w:val="1"/>
      </w:pPr>
      <w:r>
        <w:rPr>
          <w:rFonts w:ascii="Noto Kufi Arabic" w:hAnsi="Noto Kufi Arabic"/>
          <w:b/>
          <w:color w:val="0B6B63"/>
          <w:sz w:val="28"/>
        </w:rPr>
        <w:t>الفجوة بين النسخة الأولى والطبقة التاريخية</w:t>
      </w:r>
    </w:p>
    <w:p>
      <w:pPr>
        <w:pStyle w:val="Heading1"/>
        <w:jc w:val="right"/>
        <w:bidi w:val="1"/>
      </w:pPr>
      <w:r>
        <w:rPr>
          <w:rFonts w:ascii="Noto Sans Arabic" w:hAnsi="Noto Sans Arabic" w:eastAsia="Noto Sans Arabic" w:cs="Noto Sans Arabic"/>
          <w:rtl w:val="1"/>
        </w:rPr>
        <w:t>الخلاصة</w:t>
      </w:r>
    </w:p>
    <w:p>
      <w:pPr>
        <w:spacing w:after="80"/>
        <w:jc w:val="right"/>
        <w:bidi w:val="1"/>
      </w:pPr>
      <w:r>
        <w:rPr>
          <w:rFonts w:ascii="Noto Sans Arabic" w:hAnsi="Noto Sans Arabic" w:cs="Noto Sans Arabic"/>
        </w:rPr>
        <w:t>تقدير المستخدم بأن النسخة الأولى التقطت نحو 60% كان مبررًا من زاوية «المنهج التجاري». لم تكن المشكلة أن معلومات المشاريع ناقصة فقط، بل أن القواعد التي ظهرت في مشاريع مختلفة لم تُجمع كأنظمة متقاطعة. المراجعة الثانية أعادت بناء هذه الطبقة.</w:t>
      </w:r>
    </w:p>
    <w:tbl>
      <w:tblPr>
        <w:tblStyle w:val="TableGrid"/>
        <w:tblW w:type="auto" w:w="0"/>
        <w:jc w:val="center"/>
        <w:tblLook w:firstColumn="1" w:firstRow="1" w:lastColumn="0" w:lastRow="0" w:noHBand="0" w:noVBand="1" w:val="04A0"/>
      </w:tblPr>
      <w:tblGrid>
        <w:gridCol w:w="5156"/>
        <w:gridCol w:w="5156"/>
      </w:tblGrid>
      <w:tr>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7"/>
                <w:rtl w:val="1"/>
              </w:rPr>
              <w:t>الطبقة</w:t>
            </w:r>
          </w:p>
        </w:tc>
        <w:tc>
          <w:tcPr>
            <w:tcW w:type="dxa" w:w="5156"/>
            <w:vAlign w:val="center"/>
            <w:tcMar>
              <w:top w:w="80" w:type="dxa"/>
              <w:start w:w="90" w:type="dxa"/>
              <w:bottom w:w="80" w:type="dxa"/>
              <w:end w:w="90" w:type="dxa"/>
            </w:tcMar>
            <w:shd w:fill="17324D"/>
          </w:tcPr>
          <w:p>
            <w:pPr>
              <w:spacing w:after="30" w:before="20"/>
              <w:jc w:val="right"/>
              <w:bidi w:val="1"/>
            </w:pPr>
            <w:r>
              <w:rPr>
                <w:rFonts w:ascii="Noto Sans Arabic" w:hAnsi="Noto Sans Arabic" w:eastAsia="Noto Sans Arabic" w:cs="Noto Sans Arabic"/>
                <w:b/>
                <w:color w:val="FFFFFF"/>
                <w:sz w:val="17"/>
                <w:rtl w:val="1"/>
              </w:rPr>
              <w:t>ما أُضيف</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1. الرسالة والتموضع</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قاعدة 15 ثانية، 3–5 ثوانٍ، الرسالة قبل الإعلام، التخصص كباب دخول.</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2. Marketing as System</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المنتج/السعر/التوزيع/المحتوى/التجربة/السمعة، لا الإعلانات فقط.</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3. Omnichannel CRM</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Capture موحد، ذاكرة عميل، متابعة، إعادة شراء/تنشيط، قياس.</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4. Revenue Journey</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ربط التسويق بالمبيعات والتحصيل والهامش والتكرار.</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5. Paid Diagnostic Selling</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بيع خفض الغموض قبل التنفيذ الكبير؛ Discovery ليس استشارة مجانية.</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6. Objections &amp; Negotiation</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تكلفة التأجيل، الدليل، معيار القرار، Trade لا Discount.</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7. Closing OS</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Decision Map، Proposal بموعد قرار، Closing Blocker، 3 Follow-ups.</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8. Deal OS</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Quick Capture، مراحل الصفقة، Matching مبرر، طبقات السرية، Top 3–5.</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9. Partnerships</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توازن القيمة، ملكية العميل/البيانات، Pilot قبل التزام طويل.</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10. Customer Success</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Renewal/Expansion/Referral كجزء من النمو وليس ما بعد البيع فقط.</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11. Founder Independence</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Decision Trees/SOP/IP/Company Brain لتقليل الاعتماد على المؤسس.</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12. Growth Economics</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Contribution Margin، CAC/Cost of Sale، Collection، Stop/Scale.</w:t>
            </w:r>
          </w:p>
        </w:tc>
      </w:tr>
      <w:tr>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b/>
                <w:color w:val="17324D"/>
                <w:sz w:val="17"/>
                <w:rtl w:val="1"/>
              </w:rPr>
              <w:t>13. 30/60/90 &amp; 80% Focus</w:t>
            </w:r>
          </w:p>
        </w:tc>
        <w:tc>
          <w:tcPr>
            <w:tcW w:type="dxa" w:w="5156"/>
            <w:vAlign w:val="center"/>
            <w:tcMar>
              <w:top w:w="80" w:type="dxa"/>
              <w:start w:w="90" w:type="dxa"/>
              <w:bottom w:w="80" w:type="dxa"/>
              <w:end w:w="90" w:type="dxa"/>
            </w:tcMar>
          </w:tcPr>
          <w:p>
            <w:pPr>
              <w:spacing w:after="30" w:before="20"/>
              <w:jc w:val="right"/>
              <w:bidi w:val="1"/>
            </w:pPr>
            <w:r>
              <w:rPr>
                <w:rFonts w:ascii="Noto Sans Arabic" w:hAnsi="Noto Sans Arabic" w:eastAsia="Noto Sans Arabic" w:cs="Noto Sans Arabic"/>
                <w:sz w:val="17"/>
                <w:rtl w:val="1"/>
              </w:rPr>
              <w:t>مرحلة إثبات ثم تثبيت ثم توسع؛ منع التشتت والبناء المبكر.</w:t>
            </w:r>
          </w:p>
        </w:tc>
      </w:tr>
      <w:tr>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b/>
                <w:color w:val="17324D"/>
                <w:sz w:val="17"/>
                <w:rtl w:val="1"/>
              </w:rPr>
              <w:t>14. Historical heuristics</w:t>
            </w:r>
          </w:p>
        </w:tc>
        <w:tc>
          <w:tcPr>
            <w:tcW w:type="dxa" w:w="5156"/>
            <w:vAlign w:val="center"/>
            <w:tcMar>
              <w:top w:w="80" w:type="dxa"/>
              <w:start w:w="90" w:type="dxa"/>
              <w:bottom w:w="80" w:type="dxa"/>
              <w:end w:w="90" w:type="dxa"/>
            </w:tcMar>
            <w:shd w:fill="F7F9FA"/>
          </w:tcPr>
          <w:p>
            <w:pPr>
              <w:spacing w:after="30" w:before="20"/>
              <w:jc w:val="right"/>
              <w:bidi w:val="1"/>
            </w:pPr>
            <w:r>
              <w:rPr>
                <w:rFonts w:ascii="Noto Sans Arabic" w:hAnsi="Noto Sans Arabic" w:eastAsia="Noto Sans Arabic" w:cs="Noto Sans Arabic"/>
                <w:sz w:val="17"/>
                <w:rtl w:val="1"/>
              </w:rPr>
              <w:t>100→30→15→6→2–3، 50/30/20، 3/7/30/45، LTV/CAC≥3× مع وسمها كخطط/Heuristics لا حقائق عامة.</w:t>
            </w:r>
          </w:p>
        </w:tc>
      </w:tr>
    </w:tbl>
    <w:p>
      <w:pPr>
        <w:pStyle w:val="Heading1"/>
        <w:jc w:val="right"/>
        <w:bidi w:val="1"/>
      </w:pPr>
      <w:r>
        <w:rPr>
          <w:rFonts w:ascii="Noto Sans Arabic" w:hAnsi="Noto Sans Arabic" w:eastAsia="Noto Sans Arabic" w:cs="Noto Sans Arabic"/>
          <w:rtl w:val="1"/>
        </w:rPr>
        <w:t>النتيجة الجديدة</w:t>
      </w:r>
    </w:p>
    <w:p>
      <w:pPr>
        <w:spacing w:after="80"/>
        <w:jc w:val="right"/>
        <w:bidi w:val="1"/>
      </w:pPr>
      <w:r>
        <w:rPr>
          <w:rFonts w:ascii="Noto Sans Arabic" w:hAnsi="Noto Sans Arabic" w:cs="Noto Sans Arabic"/>
        </w:rPr>
        <w:t>الملف السابق كان «نظام تشخيص وتشغيل» قويًا. النسخة الثانية أصبحت «نظام نمو تجاري متكامل»: تشخيص + تموضع + تسويق + CRM + مبيعات + تفاوض + صفقات + تسليم + احتفاظ + شراكات + معرفة + تركيز محفظة.</w:t>
      </w:r>
    </w:p>
    <w:p>
      <w:pPr>
        <w:pStyle w:val="Heading1"/>
        <w:jc w:val="right"/>
        <w:bidi w:val="1"/>
      </w:pPr>
      <w:r>
        <w:rPr>
          <w:rFonts w:ascii="Noto Sans Arabic" w:hAnsi="Noto Sans Arabic" w:eastAsia="Noto Sans Arabic" w:cs="Noto Sans Arabic"/>
          <w:rtl w:val="1"/>
        </w:rPr>
        <w:t>الملفات المحدثة</w:t>
      </w:r>
    </w:p>
    <w:p>
      <w:pPr>
        <w:spacing w:after="50"/>
        <w:jc w:val="right"/>
        <w:bidi w:val="1"/>
      </w:pPr>
      <w:r>
        <w:rPr>
          <w:rFonts w:ascii="Noto Sans Arabic" w:hAnsi="Noto Sans Arabic" w:cs="Noto Sans Arabic"/>
        </w:rPr>
        <w:t>• 01 — قاعدة المعرفة الموحدة v2: أضيفت الطبقة التاريخية المشتركة وقواعد التسويق/المبيعات/الصفقات.</w:t>
      </w:r>
    </w:p>
    <w:p>
      <w:pPr>
        <w:spacing w:after="50"/>
        <w:jc w:val="right"/>
        <w:bidi w:val="1"/>
      </w:pPr>
      <w:r>
        <w:rPr>
          <w:rFonts w:ascii="Noto Sans Arabic" w:hAnsi="Noto Sans Arabic" w:cs="Noto Sans Arabic"/>
        </w:rPr>
        <w:t>• 04 — عقل الزبير v2: توسع من 40 إلى 100 قاعدة، وأضيفت 13 محرك تشغيل وPlaybooks تنفيذية.</w:t>
      </w:r>
    </w:p>
    <w:p>
      <w:pPr>
        <w:spacing w:after="50"/>
        <w:jc w:val="right"/>
        <w:bidi w:val="1"/>
      </w:pPr>
      <w:r>
        <w:rPr>
          <w:rFonts w:ascii="Noto Sans Arabic" w:hAnsi="Noto Sans Arabic" w:cs="Noto Sans Arabic"/>
        </w:rPr>
        <w:t>• 05 — Playbook جديد مستقل للنمو والمبيعات وإتمام الصفقات: للاستخدام المباشر داخل أي شركة خدمية/B2B.</w:t>
      </w:r>
    </w:p>
    <w:sectPr w:rsidR="00FC693F" w:rsidRPr="0006063C" w:rsidSect="00034616">
      <w:pgSz w:w="12240" w:h="15840"/>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cs="Noto Sans Arab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Kufi Arabic" w:hAnsi="Noto Kufi Arabic" w:cs="Noto Kufi Arabic"/>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Kufi Arabic" w:hAnsi="Noto Kufi Arabic" w:cs="Noto Kufi Arabic"/>
      <w:b/>
      <w:bCs/>
      <w:color w:val="0B6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Kufi Arabic" w:hAnsi="Noto Kufi Arabic" w:cs="Noto Kufi Arabic"/>
      <w:b/>
      <w:bCs/>
      <w:color w:val="A76A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