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bidi w:val="1"/>
        <w:spacing w:before="1600"/>
        <w:jc w:val="right"/>
      </w:pPr>
      <w:r>
        <w:rPr>
          <w:rFonts w:ascii="Noto Sans Arabic" w:hAnsi="Noto Sans Arabic" w:eastAsia="Noto Sans Arabic" w:cs="Noto Sans Arabic"/>
          <w:b/>
          <w:color w:val="182B3A"/>
          <w:sz w:val="58"/>
          <w:rtl w:val="1"/>
        </w:rPr>
        <w:t>فنجان عود</w:t>
      </w:r>
    </w:p>
    <w:p>
      <w:pPr>
        <w:widowControl/>
        <w:bidi w:val="1"/>
        <w:jc w:val="right"/>
      </w:pPr>
      <w:r>
        <w:rPr>
          <w:rFonts w:ascii="Noto Sans Arabic" w:hAnsi="Noto Sans Arabic" w:eastAsia="Noto Sans Arabic" w:cs="Noto Sans Arabic"/>
          <w:b w:val="0"/>
          <w:color w:val="0B6B63"/>
          <w:sz w:val="26"/>
          <w:rtl w:val="1"/>
        </w:rPr>
        <w:t>ملف المعرفة التنفيذي الموحد | Master Knowledge File</w:t>
      </w:r>
    </w:p>
    <w:p>
      <w:pPr>
        <w:widowControl/>
        <w:bidi w:val="1"/>
        <w:jc w:val="right"/>
      </w:pPr>
      <w:r>
        <w:rPr>
          <w:rFonts w:ascii="Noto Sans Arabic" w:hAnsi="Noto Sans Arabic" w:eastAsia="Noto Sans Arabic" w:cs="Noto Sans Arabic"/>
          <w:b/>
          <w:color w:val="AD7141"/>
          <w:sz w:val="22"/>
          <w:rtl w:val="1"/>
        </w:rPr>
        <w:t>تاريخ القطع: 1 سبتمبر 2026</w:t>
      </w:r>
    </w:p>
    <w:p>
      <w:pPr>
        <w:widowControl/>
        <w:bidi w:val="1"/>
        <w:jc w:val="right"/>
      </w:pPr>
      <w:r>
        <w:rPr>
          <w:rFonts w:ascii="Noto Sans Arabic" w:hAnsi="Noto Sans Arabic" w:eastAsia="Noto Sans Arabic" w:cs="Noto Sans Arabic"/>
          <w:b w:val="0"/>
          <w:color w:val="5A6369"/>
          <w:sz w:val="20"/>
          <w:rtl w:val="1"/>
        </w:rPr>
        <w:t>الغرض: مصدر واحد للقرار يجمع البيانات، المحادثات، الملفات، التقارير، البريد، الروابط، والأصول المرتبطة بالمشروع دون تكرار.</w:t>
      </w:r>
    </w:p>
    <w:tbl>
      <w:tblPr>
        <w:tblW w:type="auto" w:w="0"/>
        <w:jc w:val="center"/>
        <w:tblLayout w:type="autofit"/>
        <w:tblLook w:firstColumn="1" w:firstRow="1" w:lastColumn="0" w:lastRow="0" w:noHBand="0" w:noVBand="1" w:val="04A0"/>
      </w:tblPr>
      <w:tblGrid>
        <w:gridCol w:w="10312"/>
      </w:tblGrid>
      <w:tr>
        <w:trPr>
          <w:cantSplit/>
        </w:trPr>
        <w:tc>
          <w:tcPr>
            <w:tcW w:type="dxa" w:w="10312"/>
            <w:shd w:fill="EAF4F2"/>
            <w:tcBorders>
              <w:top w:val="single" w:sz="6" w:color="0B6B63"/>
              <w:left w:val="single" w:sz="6" w:color="0B6B63"/>
              <w:bottom w:val="single" w:sz="6" w:color="0B6B63"/>
              <w:right w:val="single" w:sz="6" w:color="0B6B63"/>
            </w:tcBorders>
            <w:tcMar>
              <w:top w:w="140" w:type="dxa"/>
              <w:start w:w="160" w:type="dxa"/>
              <w:bottom w:w="140" w:type="dxa"/>
              <w:end w:w="160" w:type="dxa"/>
            </w:tcMar>
          </w:tcPr>
          <w:p>
            <w:pPr>
              <w:widowControl/>
              <w:bidi w:val="1"/>
              <w:jc w:val="right"/>
            </w:pPr>
            <w:r>
              <w:rPr>
                <w:rFonts w:ascii="Noto Sans Arabic" w:hAnsi="Noto Sans Arabic" w:eastAsia="Noto Sans Arabic" w:cs="Noto Sans Arabic"/>
                <w:b/>
                <w:color w:val="0B6B63"/>
                <w:sz w:val="21"/>
                <w:rtl w:val="1"/>
              </w:rPr>
              <w:t>هذا الملف لا يعامل أرقام العروض القديمة كحقائق حالية تلقائياً. عند التعارض، تم الاحتفاظ بالنسختين وبيان مصدر كل واحدة وحدودها.</w:t>
            </w:r>
          </w:p>
        </w:tc>
      </w:tr>
    </w:tbl>
    <w:p>
      <w:pPr>
        <w:spacing w:after="0"/>
        <w:widowControl/>
        <w:bidi w:val="1"/>
        <w:jc w:val="right"/>
      </w:pPr>
    </w:p>
    <w:p>
      <w:pPr>
        <w:widowControl/>
        <w:bidi w:val="1"/>
        <w:jc w:val="right"/>
      </w:pPr>
      <w:r>
        <w:br w:type="page"/>
      </w:r>
    </w:p>
    <w:p>
      <w:pPr>
        <w:pStyle w:val="Heading1"/>
        <w:keepNext/>
        <w:widowControl/>
        <w:bidi w:val="1"/>
        <w:jc w:val="right"/>
      </w:pPr>
      <w:r>
        <w:rPr>
          <w:rFonts w:ascii="Noto Sans Arabic" w:hAnsi="Noto Sans Arabic" w:eastAsia="Noto Sans Arabic" w:cs="Noto Sans Arabic"/>
          <w:b/>
          <w:color w:val="182B3A"/>
          <w:sz w:val="36"/>
          <w:rtl w:val="1"/>
        </w:rPr>
        <w:t>منهجية القراءة ودرجة الثقة</w:t>
      </w:r>
    </w:p>
    <w:p>
      <w:pPr>
        <w:widowControl/>
        <w:bidi w:val="1"/>
        <w:jc w:val="right"/>
      </w:pPr>
      <w:r>
        <w:rPr>
          <w:rFonts w:ascii="Noto Sans Arabic" w:hAnsi="Noto Sans Arabic" w:eastAsia="Noto Sans Arabic" w:cs="Noto Sans Arabic"/>
          <w:b w:val="0"/>
          <w:sz w:val="20"/>
          <w:rtl w:val="1"/>
        </w:rPr>
        <w:t>تم ترتيب الأدلة حسب قوة المصدر: (1) بيانات الطلبات المنظمة والسجلات الخام، (2) أدلة منصة سلة والبريد والملفات التشغيلية، (3) الموقع الحي وقت الفحص، (4) عروض الشركة والدراسات الداخلية، (5) الافتراضات والتوصيات. كل رقم متغير مقيّد قدر الإمكان بتاريخ ومصدر.</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cantSplit/>
        </w:trPr>
        <w:tc>
          <w:tcPr>
            <w:tcW w:type="dxa" w:w="1701"/>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8"/>
                <w:rtl w:val="1"/>
              </w:rPr>
              <w:t>الوسم</w:t>
            </w:r>
          </w:p>
        </w:tc>
        <w:tc>
          <w:tcPr>
            <w:tcW w:type="dxa" w:w="2268"/>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8"/>
                <w:rtl w:val="1"/>
              </w:rPr>
              <w:t>المعنى</w:t>
            </w:r>
          </w:p>
        </w:tc>
        <w:tc>
          <w:tcPr>
            <w:tcW w:type="dxa" w:w="4535"/>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8"/>
                <w:rtl w:val="1"/>
              </w:rPr>
              <w:t>كيفية استخدامه في القرار</w:t>
            </w:r>
          </w:p>
        </w:tc>
      </w:tr>
      <w:tr>
        <w:trPr>
          <w:cantSplit/>
        </w:trPr>
        <w:tc>
          <w:tcPr>
            <w:tcW w:type="dxa" w:w="170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8"/>
                <w:rtl w:val="1"/>
              </w:rPr>
              <w:t>حقيقة</w:t>
            </w:r>
          </w:p>
        </w:tc>
        <w:tc>
          <w:tcPr>
            <w:tcW w:type="dxa" w:w="226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8"/>
                <w:rtl w:val="1"/>
              </w:rPr>
              <w:t>مدعومة بسجل/بيانات/منصة أو أكثر من مصدر متوافق</w:t>
            </w:r>
          </w:p>
        </w:tc>
        <w:tc>
          <w:tcPr>
            <w:tcW w:type="dxa" w:w="45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8"/>
                <w:rtl w:val="1"/>
              </w:rPr>
              <w:t>يمكن البناء عليها مع مراعاة تاريخها</w:t>
            </w:r>
          </w:p>
        </w:tc>
      </w:tr>
      <w:tr>
        <w:trPr>
          <w:cantSplit/>
        </w:trPr>
        <w:tc>
          <w:tcPr>
            <w:tcW w:type="dxa" w:w="170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8"/>
                <w:rtl w:val="1"/>
              </w:rPr>
              <w:t>حقيقة تاريخية</w:t>
            </w:r>
          </w:p>
        </w:tc>
        <w:tc>
          <w:tcPr>
            <w:tcW w:type="dxa" w:w="226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8"/>
                <w:rtl w:val="1"/>
              </w:rPr>
              <w:t>كانت صحيحة أو مذكورة في فترة سابقة ولا يُفترض استمرارها</w:t>
            </w:r>
          </w:p>
        </w:tc>
        <w:tc>
          <w:tcPr>
            <w:tcW w:type="dxa" w:w="45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8"/>
                <w:rtl w:val="1"/>
              </w:rPr>
              <w:t>تُستخدم لفهم المسار لا لتقدير الوضع الحالي</w:t>
            </w:r>
          </w:p>
        </w:tc>
      </w:tr>
      <w:tr>
        <w:trPr>
          <w:cantSplit/>
        </w:trPr>
        <w:tc>
          <w:tcPr>
            <w:tcW w:type="dxa" w:w="170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8"/>
                <w:rtl w:val="1"/>
              </w:rPr>
              <w:t>افتراض</w:t>
            </w:r>
          </w:p>
        </w:tc>
        <w:tc>
          <w:tcPr>
            <w:tcW w:type="dxa" w:w="226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8"/>
                <w:rtl w:val="1"/>
              </w:rPr>
              <w:t>فرضية أو تفسير لم يُثبت سببيًا</w:t>
            </w:r>
          </w:p>
        </w:tc>
        <w:tc>
          <w:tcPr>
            <w:tcW w:type="dxa" w:w="45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8"/>
                <w:rtl w:val="1"/>
              </w:rPr>
              <w:t>يحتاج اختبارًا أو مصدرًا إضافيًا</w:t>
            </w:r>
          </w:p>
        </w:tc>
      </w:tr>
      <w:tr>
        <w:trPr>
          <w:cantSplit/>
        </w:trPr>
        <w:tc>
          <w:tcPr>
            <w:tcW w:type="dxa" w:w="170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8"/>
                <w:rtl w:val="1"/>
              </w:rPr>
              <w:t>توقع</w:t>
            </w:r>
          </w:p>
        </w:tc>
        <w:tc>
          <w:tcPr>
            <w:tcW w:type="dxa" w:w="226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8"/>
                <w:rtl w:val="1"/>
              </w:rPr>
              <w:t>هدف/سيناريو أو رقم مستقبلي</w:t>
            </w:r>
          </w:p>
        </w:tc>
        <w:tc>
          <w:tcPr>
            <w:tcW w:type="dxa" w:w="45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8"/>
                <w:rtl w:val="1"/>
              </w:rPr>
              <w:t>لا يُعرض كإنجاز</w:t>
            </w:r>
          </w:p>
        </w:tc>
      </w:tr>
      <w:tr>
        <w:trPr>
          <w:cantSplit/>
        </w:trPr>
        <w:tc>
          <w:tcPr>
            <w:tcW w:type="dxa" w:w="170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8"/>
                <w:rtl w:val="1"/>
              </w:rPr>
              <w:t>رأي/توصية</w:t>
            </w:r>
          </w:p>
        </w:tc>
        <w:tc>
          <w:tcPr>
            <w:tcW w:type="dxa" w:w="226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8"/>
                <w:rtl w:val="1"/>
              </w:rPr>
              <w:t>قرار تحليلي مقترح</w:t>
            </w:r>
          </w:p>
        </w:tc>
        <w:tc>
          <w:tcPr>
            <w:tcW w:type="dxa" w:w="45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8"/>
                <w:rtl w:val="1"/>
              </w:rPr>
              <w:t>يُعتمد بعد تحقق شروطه</w:t>
            </w:r>
          </w:p>
        </w:tc>
      </w:tr>
      <w:tr>
        <w:trPr>
          <w:cantSplit/>
        </w:trPr>
        <w:tc>
          <w:tcPr>
            <w:tcW w:type="dxa" w:w="170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8"/>
                <w:rtl w:val="1"/>
              </w:rPr>
              <w:t>تعارض/غير محسوم</w:t>
            </w:r>
          </w:p>
        </w:tc>
        <w:tc>
          <w:tcPr>
            <w:tcW w:type="dxa" w:w="226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8"/>
                <w:rtl w:val="1"/>
              </w:rPr>
              <w:t>مصدران مختلفان أو نطاقان غير متطابقين</w:t>
            </w:r>
          </w:p>
        </w:tc>
        <w:tc>
          <w:tcPr>
            <w:tcW w:type="dxa" w:w="45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8"/>
                <w:rtl w:val="1"/>
              </w:rPr>
              <w:t>يُحسم بالمصدر الخام/المحاسبي الأحدث</w:t>
            </w:r>
          </w:p>
        </w:tc>
      </w:tr>
    </w:tbl>
    <w:p>
      <w:pPr>
        <w:spacing w:after="0"/>
        <w:widowControl/>
        <w:bidi w:val="1"/>
        <w:jc w:val="right"/>
      </w:pPr>
    </w:p>
    <w:tbl>
      <w:tblPr>
        <w:tblW w:type="auto" w:w="0"/>
        <w:jc w:val="center"/>
        <w:tblLayout w:type="autofit"/>
        <w:tblLook w:firstColumn="1" w:firstRow="1" w:lastColumn="0" w:lastRow="0" w:noHBand="0" w:noVBand="1" w:val="04A0"/>
      </w:tblPr>
      <w:tblGrid>
        <w:gridCol w:w="10312"/>
      </w:tblGrid>
      <w:tr>
        <w:trPr>
          <w:cantSplit/>
        </w:trPr>
        <w:tc>
          <w:tcPr>
            <w:tcW w:type="dxa" w:w="10312"/>
            <w:shd w:fill="FFF4E5"/>
            <w:tcBorders>
              <w:top w:val="single" w:sz="6" w:color="B17341"/>
              <w:left w:val="single" w:sz="6" w:color="B17341"/>
              <w:bottom w:val="single" w:sz="6" w:color="B17341"/>
              <w:right w:val="single" w:sz="6" w:color="B17341"/>
            </w:tcBorders>
            <w:tcMar>
              <w:top w:w="140" w:type="dxa"/>
              <w:start w:w="160" w:type="dxa"/>
              <w:bottom w:w="140" w:type="dxa"/>
              <w:end w:w="160" w:type="dxa"/>
            </w:tcMar>
          </w:tcPr>
          <w:p>
            <w:pPr>
              <w:widowControl/>
              <w:bidi w:val="1"/>
              <w:jc w:val="right"/>
            </w:pPr>
            <w:r>
              <w:rPr>
                <w:rFonts w:ascii="Noto Sans Arabic" w:hAnsi="Noto Sans Arabic" w:eastAsia="Noto Sans Arabic" w:cs="Noto Sans Arabic"/>
                <w:b/>
                <w:color w:val="0B6B63"/>
                <w:sz w:val="21"/>
                <w:rtl w:val="1"/>
              </w:rPr>
              <w:t>الخلاصة المنهجية: أقوى قاعدة رقمية حالياً تغطي تقريباً مارس 2019 - مارس 2023. أي قرار عن سبتمبر 2026 يحتاج تصدير سلة حديث وربط التكاليف والإنفاق والإلغاء والمرتجعات.</w:t>
            </w:r>
          </w:p>
        </w:tc>
      </w:tr>
    </w:tbl>
    <w:p>
      <w:pPr>
        <w:spacing w:after="0"/>
        <w:widowControl/>
        <w:bidi w:val="1"/>
        <w:jc w:val="right"/>
      </w:pPr>
    </w:p>
    <w:p>
      <w:pPr>
        <w:pStyle w:val="Heading1"/>
        <w:keepNext/>
        <w:widowControl/>
        <w:bidi w:val="1"/>
        <w:jc w:val="right"/>
      </w:pPr>
      <w:r>
        <w:rPr>
          <w:rFonts w:ascii="Noto Sans Arabic" w:hAnsi="Noto Sans Arabic" w:eastAsia="Noto Sans Arabic" w:cs="Noto Sans Arabic"/>
          <w:b/>
          <w:color w:val="182B3A"/>
          <w:sz w:val="36"/>
          <w:rtl w:val="1"/>
        </w:rPr>
        <w:t>ملخص تنفيذي سريع</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فنجان عود علامة تجارة إلكترونية قائمة منذ 2017 في مجال العود والبخور والعطور والمنتجات العطرية، وليست فكرة ناشئة.</w:t>
      </w:r>
      <w:r>
        <w:rPr>
          <w:rFonts w:ascii="Noto Sans Arabic" w:hAnsi="Noto Sans Arabic" w:eastAsia="Noto Sans Arabic" w:cs="Noto Sans Arabic"/>
          <w:b w:val="0"/>
          <w:color w:val="5A6369"/>
          <w:sz w:val="16"/>
          <w:rtl w:val="1"/>
        </w:rPr>
        <w:t xml:space="preserve">  — عرض الشركة + دراسة الجدوى + الموقع</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الخزنة المنظمة تحتوي 11,354 طلباً فريداً بقيمة طلبات محتسبة 2,320,745.39 ريال، و8,279 مشترياً معروفاً، ومتوسط طلب 220.48 ريال، حتى مارس 2023 تقريباً.</w:t>
      </w:r>
      <w:r>
        <w:rPr>
          <w:rFonts w:ascii="Noto Sans Arabic" w:hAnsi="Noto Sans Arabic" w:eastAsia="Noto Sans Arabic" w:cs="Noto Sans Arabic"/>
          <w:b w:val="0"/>
          <w:color w:val="5A6369"/>
          <w:sz w:val="16"/>
          <w:rtl w:val="1"/>
        </w:rPr>
        <w:t xml:space="preserve">  — FANJAN_OUD_KNOWLEDGE_DECISION_OS v1.0</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هناك 8,858 سجل عميل/جهة موحدة، 6,759 سجل واتساب، 4,163 بريداً، و1,177 تقييماً؛ لكن الموافقة التسويقية غير مثبتة في معظم القاعدة.</w:t>
      </w:r>
      <w:r>
        <w:rPr>
          <w:rFonts w:ascii="Noto Sans Arabic" w:hAnsi="Noto Sans Arabic" w:eastAsia="Noto Sans Arabic" w:cs="Noto Sans Arabic"/>
          <w:b w:val="0"/>
          <w:color w:val="5A6369"/>
          <w:sz w:val="16"/>
          <w:rtl w:val="1"/>
        </w:rPr>
        <w:t xml:space="preserve">  — DATA_VAULT + KNOWLEDGE_DECISION_OS</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1,321 عميلاً اشتروا مرتين أو أكثر؛ معدل التكرار المحسوب نحو 15.96%.</w:t>
      </w:r>
      <w:r>
        <w:rPr>
          <w:rFonts w:ascii="Noto Sans Arabic" w:hAnsi="Noto Sans Arabic" w:eastAsia="Noto Sans Arabic" w:cs="Noto Sans Arabic"/>
          <w:b w:val="0"/>
          <w:color w:val="5A6369"/>
          <w:sz w:val="16"/>
          <w:rtl w:val="1"/>
        </w:rPr>
        <w:t xml:space="preserve">  — KNOWLEDGE_DECISION_OS</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النجاح التاريخي كان موجة مركزة: ستة أشهر صنعت نحو 61.5% من قيمة الفترة المنظمة، وC52 ظهر في 5,205 طلبات ذروة.</w:t>
      </w:r>
      <w:r>
        <w:rPr>
          <w:rFonts w:ascii="Noto Sans Arabic" w:hAnsi="Noto Sans Arabic" w:eastAsia="Noto Sans Arabic" w:cs="Noto Sans Arabic"/>
          <w:b w:val="0"/>
          <w:color w:val="5A6369"/>
          <w:sz w:val="16"/>
          <w:rtl w:val="1"/>
        </w:rPr>
        <w:t xml:space="preserve">  — SUCCESS_REPLICATION_OS</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الذروة لم تكن احتفاظاً فقط: نحو 85.7% من طلبات الذروة جاءت من عملاء جدد، ما يعني أن الاكتساب كان محركاً رئيسياً.</w:t>
      </w:r>
      <w:r>
        <w:rPr>
          <w:rFonts w:ascii="Noto Sans Arabic" w:hAnsi="Noto Sans Arabic" w:eastAsia="Noto Sans Arabic" w:cs="Noto Sans Arabic"/>
          <w:b w:val="0"/>
          <w:color w:val="5A6369"/>
          <w:sz w:val="16"/>
          <w:rtl w:val="1"/>
        </w:rPr>
        <w:t xml:space="preserve">  — SUCCESS_REPLICATION_OS</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المشكلة الحالية ليست نقص المنتجات؛ الأضعف هو القياس، الثقة والتحويل، حداثة البيانات، ومعرفة الهامش الحقيقي قبل التوسع الإعلاني.</w:t>
      </w:r>
      <w:r>
        <w:rPr>
          <w:rFonts w:ascii="Noto Sans Arabic" w:hAnsi="Noto Sans Arabic" w:eastAsia="Noto Sans Arabic" w:cs="Noto Sans Arabic"/>
          <w:b w:val="0"/>
          <w:color w:val="5A6369"/>
          <w:sz w:val="16"/>
          <w:rtl w:val="1"/>
        </w:rPr>
        <w:t xml:space="preserve">  — التدقيق التسويقي 22-08-2026 + مراجعة ما قبل الإطلاق</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نظام التشغيل التجريبي 30 يوماً موجود على الورق، لكن سجل النمو حتى 1 سبتمبر 2026 يظهر مؤشرات صفرية وحالة الموظف "لم يبدأ"؛ أي أن مشكلة التنفيذ أكبر من مشكلة تصميم الخطة.</w:t>
      </w:r>
      <w:r>
        <w:rPr>
          <w:rFonts w:ascii="Noto Sans Arabic" w:hAnsi="Noto Sans Arabic" w:eastAsia="Noto Sans Arabic" w:cs="Noto Sans Arabic"/>
          <w:b w:val="0"/>
          <w:color w:val="5A6369"/>
          <w:sz w:val="16"/>
          <w:rtl w:val="1"/>
        </w:rPr>
        <w:t xml:space="preserve">  — سجل النمو اليومي</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A03232"/>
          <w:sz w:val="18"/>
          <w:rtl w:val="1"/>
        </w:rPr>
        <w:t xml:space="preserve">[غير محسوم] </w:t>
      </w:r>
      <w:r>
        <w:rPr>
          <w:rFonts w:ascii="Noto Sans Arabic" w:hAnsi="Noto Sans Arabic" w:eastAsia="Noto Sans Arabic" w:cs="Noto Sans Arabic"/>
          <w:b w:val="0"/>
          <w:color w:val="182B3A"/>
          <w:sz w:val="20"/>
          <w:rtl w:val="1"/>
        </w:rPr>
        <w:t>يوجد مسار استحواذ كامل مُعد للمشروع، لكن لا يوجد في المصادر التي راجعتها مشتري مؤكد أو LOI أو سعر بيع نهائي متفق عليه.</w:t>
      </w:r>
      <w:r>
        <w:rPr>
          <w:rFonts w:ascii="Noto Sans Arabic" w:hAnsi="Noto Sans Arabic" w:eastAsia="Noto Sans Arabic" w:cs="Noto Sans Arabic"/>
          <w:b w:val="0"/>
          <w:color w:val="5A6369"/>
          <w:sz w:val="16"/>
          <w:rtl w:val="1"/>
        </w:rPr>
        <w:t xml:space="preserve">  — ملف فرصة الاستحواذ + غياب طرف مقابل موثق</w:t>
      </w:r>
    </w:p>
    <w:p>
      <w:pPr>
        <w:widowControl/>
        <w:bidi w:val="1"/>
        <w:jc w:val="right"/>
      </w:pPr>
      <w:r>
        <w:br w:type="page"/>
      </w:r>
    </w:p>
    <w:p>
      <w:pPr>
        <w:pStyle w:val="Heading1"/>
        <w:keepNext/>
        <w:widowControl/>
        <w:bidi w:val="1"/>
        <w:jc w:val="right"/>
      </w:pPr>
      <w:r>
        <w:rPr>
          <w:rFonts w:ascii="Noto Sans Arabic" w:hAnsi="Noto Sans Arabic" w:eastAsia="Noto Sans Arabic" w:cs="Noto Sans Arabic"/>
          <w:b/>
          <w:color w:val="182B3A"/>
          <w:sz w:val="36"/>
          <w:rtl w:val="1"/>
        </w:rPr>
        <w:t>1. تعريف المشروع ونموذجه التجاري</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متجر/علامة سعودية متخصصة في العود والبخور ودهن العود والعطور والمنتجات العطرية والهدايا، تأسست منذ 2017. البيع الأساسي إلكتروني عبر متجر سلة ودومين cupoud.com، مع قنوات اجتماعية وواتساب.</w:t>
      </w:r>
      <w:r>
        <w:rPr>
          <w:rFonts w:ascii="Noto Sans Arabic" w:hAnsi="Noto Sans Arabic" w:eastAsia="Noto Sans Arabic" w:cs="Noto Sans Arabic"/>
          <w:b w:val="0"/>
          <w:color w:val="5A6369"/>
          <w:sz w:val="16"/>
          <w:rtl w:val="1"/>
        </w:rPr>
        <w:t xml:space="preserve">  — عرض الشركة + نموذج العمل + الموقع</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تاريخية] </w:t>
      </w:r>
      <w:r>
        <w:rPr>
          <w:rFonts w:ascii="Noto Sans Arabic" w:hAnsi="Noto Sans Arabic" w:eastAsia="Noto Sans Arabic" w:cs="Noto Sans Arabic"/>
          <w:b w:val="0"/>
          <w:color w:val="182B3A"/>
          <w:sz w:val="20"/>
          <w:rtl w:val="1"/>
        </w:rPr>
        <w:t>النموذج الفعلي الأساسي D2C: شراء مباشر من المتجر وتوصيل لجميع مناطق المملكة. توجد إشارات تاريخية إلى جملة انتقائية لرقائق العود وعملاء جملة، لكنها ليست موثقة حالياً كنسبة إيراد مستقلة.</w:t>
      </w:r>
      <w:r>
        <w:rPr>
          <w:rFonts w:ascii="Noto Sans Arabic" w:hAnsi="Noto Sans Arabic" w:eastAsia="Noto Sans Arabic" w:cs="Noto Sans Arabic"/>
          <w:b w:val="0"/>
          <w:color w:val="5A6369"/>
          <w:sz w:val="16"/>
          <w:rtl w:val="1"/>
        </w:rPr>
        <w:t xml:space="preserve">  — نموذج العمل + دراسة الجدوى</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طبقات الإيراد المقترحة: بيع مباشر، باقات وهدايا لرفع متوسط السلة، منتجات صغيرة متكررة، وجملة انتقائية. التوسع الخليجي مقترح بعد إثبات السعودية وليس كنموذج مثبت حالياً.</w:t>
      </w:r>
      <w:r>
        <w:rPr>
          <w:rFonts w:ascii="Noto Sans Arabic" w:hAnsi="Noto Sans Arabic" w:eastAsia="Noto Sans Arabic" w:cs="Noto Sans Arabic"/>
          <w:b w:val="0"/>
          <w:color w:val="5A6369"/>
          <w:sz w:val="16"/>
          <w:rtl w:val="1"/>
        </w:rPr>
        <w:t xml:space="preserve">  — دراسة الجدوى 2026</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القيمة الاستحواذية للمشروع أوسع من المتجر: علامة، دومين، بيانات عملاء، حسابات تواصل، موردون، مخزون متفق عليه، منتجات/تركيبات، ومعرفة تشغيلية.</w:t>
      </w:r>
      <w:r>
        <w:rPr>
          <w:rFonts w:ascii="Noto Sans Arabic" w:hAnsi="Noto Sans Arabic" w:eastAsia="Noto Sans Arabic" w:cs="Noto Sans Arabic"/>
          <w:b w:val="0"/>
          <w:color w:val="5A6369"/>
          <w:sz w:val="16"/>
          <w:rtl w:val="1"/>
        </w:rPr>
        <w:t xml:space="preserve">  — Funjan_Oud_Acquisition_Premium_Redesign</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النموذج القديم كان يعتمد بشكل أكبر على عروض السعر والكمية المجانية وسهولة الدفع؛ النموذج الأنسب للمرحلة القادمة هو بيع الثقة والاختيار والسياق (للبيت/هدية/مناسبة) مع عرض بطل مربح وقياس كامل.</w:t>
      </w:r>
      <w:r>
        <w:rPr>
          <w:rFonts w:ascii="Noto Sans Arabic" w:hAnsi="Noto Sans Arabic" w:eastAsia="Noto Sans Arabic" w:cs="Noto Sans Arabic"/>
          <w:b w:val="0"/>
          <w:color w:val="5A6369"/>
          <w:sz w:val="16"/>
          <w:rtl w:val="1"/>
        </w:rPr>
        <w:t xml:space="preserve">  — التدقيق التسويقي + تحليل البيانات</w:t>
      </w:r>
    </w:p>
    <w:p>
      <w:pPr>
        <w:pStyle w:val="Heading1"/>
        <w:keepNext/>
        <w:widowControl/>
        <w:bidi w:val="1"/>
        <w:jc w:val="right"/>
      </w:pPr>
      <w:r>
        <w:rPr>
          <w:rFonts w:ascii="Noto Sans Arabic" w:hAnsi="Noto Sans Arabic" w:eastAsia="Noto Sans Arabic" w:cs="Noto Sans Arabic"/>
          <w:b/>
          <w:color w:val="182B3A"/>
          <w:sz w:val="36"/>
          <w:rtl w:val="1"/>
        </w:rPr>
        <w:t>2. العميل المستهدف وصاحب القرار</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الموقع يحدد جمهوراً عاماً من الرجال والنساء بعمر 18-45 داخل المملكة. هذا تعريف رسمي عام وليس أفضل تقسيم للحملات.</w:t>
      </w:r>
      <w:r>
        <w:rPr>
          <w:rFonts w:ascii="Noto Sans Arabic" w:hAnsi="Noto Sans Arabic" w:eastAsia="Noto Sans Arabic" w:cs="Noto Sans Arabic"/>
          <w:b w:val="0"/>
          <w:color w:val="5A6369"/>
          <w:sz w:val="16"/>
          <w:rtl w:val="1"/>
        </w:rPr>
        <w:t xml:space="preserve">  — صفحة من نحن - فحص أغسطس 2026</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البيانات الفعلية تظهر ثقلاً جغرافياً في الرياض وجدة، ثم المدينة المنورة ومكة. الرياض وجدة وحدهما تقاربان 39% من قيمة الطلبات المحسوبة.</w:t>
      </w:r>
      <w:r>
        <w:rPr>
          <w:rFonts w:ascii="Noto Sans Arabic" w:hAnsi="Noto Sans Arabic" w:eastAsia="Noto Sans Arabic" w:cs="Noto Sans Arabic"/>
          <w:b w:val="0"/>
          <w:color w:val="5A6369"/>
          <w:sz w:val="16"/>
          <w:rtl w:val="1"/>
        </w:rPr>
        <w:t xml:space="preserve">  — KNOWLEDGE_DECISION_OS</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rPr>
          <w:tblHeader w:val="true"/>
          <w:cantSplit/>
        </w:trPr>
        <w:tc>
          <w:tcPr>
            <w:tcW w:type="dxa" w:w="1871"/>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الشريحة العملية</w:t>
            </w:r>
          </w:p>
        </w:tc>
        <w:tc>
          <w:tcPr>
            <w:tcW w:type="dxa" w:w="2608"/>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الدافع/الألم</w:t>
            </w:r>
          </w:p>
        </w:tc>
        <w:tc>
          <w:tcPr>
            <w:tcW w:type="dxa" w:w="1814"/>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صاحب القرار</w:t>
            </w:r>
          </w:p>
        </w:tc>
        <w:tc>
          <w:tcPr>
            <w:tcW w:type="dxa" w:w="3118"/>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ما يقنعه</w:t>
            </w:r>
          </w:p>
        </w:tc>
      </w:tr>
      <w:tr>
        <w:trPr>
          <w:cantSplit/>
        </w:trPr>
        <w:tc>
          <w:tcPr>
            <w:tcW w:type="dxa" w:w="187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مستخدم البيت والمجلس</w:t>
            </w:r>
          </w:p>
        </w:tc>
        <w:tc>
          <w:tcPr>
            <w:tcW w:type="dxa" w:w="260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رائحة مريحة وفوحان مناسب وسهولة الاستخدام</w:t>
            </w:r>
          </w:p>
        </w:tc>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المستخدم/ربة أو رب المنزل</w:t>
            </w:r>
          </w:p>
        </w:tc>
        <w:tc>
          <w:tcPr>
            <w:tcW w:type="dxa" w:w="311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طريقة الاستخدام، كمية، أثر، مراجعات</w:t>
            </w:r>
          </w:p>
        </w:tc>
      </w:tr>
      <w:tr>
        <w:trPr>
          <w:cantSplit/>
        </w:trPr>
        <w:tc>
          <w:tcPr>
            <w:tcW w:type="dxa" w:w="187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محب العود المتمرس</w:t>
            </w:r>
          </w:p>
        </w:tc>
        <w:tc>
          <w:tcPr>
            <w:tcW w:type="dxa" w:w="260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أصالة ومصدر ودرجة وجودة</w:t>
            </w:r>
          </w:p>
        </w:tc>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المشتري نفسه</w:t>
            </w:r>
          </w:p>
        </w:tc>
        <w:tc>
          <w:tcPr>
            <w:tcW w:type="dxa" w:w="311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المصدر، المقارنة، الإثبات، تجربة تبخير</w:t>
            </w:r>
          </w:p>
        </w:tc>
      </w:tr>
      <w:tr>
        <w:trPr>
          <w:cantSplit/>
        </w:trPr>
        <w:tc>
          <w:tcPr>
            <w:tcW w:type="dxa" w:w="187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مشتري الهدية</w:t>
            </w:r>
          </w:p>
        </w:tc>
        <w:tc>
          <w:tcPr>
            <w:tcW w:type="dxa" w:w="260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الخوف من اختيار رائحة/تغليف/وصول غير مناسب</w:t>
            </w:r>
          </w:p>
        </w:tc>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مقدم الهدية</w:t>
            </w:r>
          </w:p>
        </w:tc>
        <w:tc>
          <w:tcPr>
            <w:tcW w:type="dxa" w:w="311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باقة جاهزة، تغليف، موعد وصول، بطاقة إهداء</w:t>
            </w:r>
          </w:p>
        </w:tc>
      </w:tr>
      <w:tr>
        <w:trPr>
          <w:cantSplit/>
        </w:trPr>
        <w:tc>
          <w:tcPr>
            <w:tcW w:type="dxa" w:w="187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الباحث عن القيمة</w:t>
            </w:r>
          </w:p>
        </w:tc>
        <w:tc>
          <w:tcPr>
            <w:tcW w:type="dxa" w:w="260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هل الخصم حقيقي وهل الكمية تستحق؟</w:t>
            </w:r>
          </w:p>
        </w:tc>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المشتري نفسه</w:t>
            </w:r>
          </w:p>
        </w:tc>
        <w:tc>
          <w:tcPr>
            <w:tcW w:type="dxa" w:w="311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سعر/وزن واضح، قيمة لكل وحدة، عرض محدود</w:t>
            </w:r>
          </w:p>
        </w:tc>
      </w:tr>
      <w:tr>
        <w:trPr>
          <w:cantSplit/>
        </w:trPr>
        <w:tc>
          <w:tcPr>
            <w:tcW w:type="dxa" w:w="187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عميل مناسبة</w:t>
            </w:r>
          </w:p>
        </w:tc>
        <w:tc>
          <w:tcPr>
            <w:tcW w:type="dxa" w:w="260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الرائحة المناسبة للحضور والحدث</w:t>
            </w:r>
          </w:p>
        </w:tc>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المشتري/مقدم الهدية</w:t>
            </w:r>
          </w:p>
        </w:tc>
        <w:tc>
          <w:tcPr>
            <w:tcW w:type="dxa" w:w="311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اختيار حسب المناسبة والانطباع</w:t>
            </w:r>
          </w:p>
        </w:tc>
      </w:tr>
      <w:tr>
        <w:trPr>
          <w:cantSplit/>
        </w:trPr>
        <w:tc>
          <w:tcPr>
            <w:tcW w:type="dxa" w:w="187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B2B محتمل</w:t>
            </w:r>
          </w:p>
        </w:tc>
        <w:tc>
          <w:tcPr>
            <w:tcW w:type="dxa" w:w="260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هدايا أو شراء كميات</w:t>
            </w:r>
          </w:p>
        </w:tc>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افتراضياً: المالك/المشتريات/التسويق أو الإدارة</w:t>
            </w:r>
          </w:p>
        </w:tc>
        <w:tc>
          <w:tcPr>
            <w:tcW w:type="dxa" w:w="311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عينات، سعر كمية، مهلة، تخصيص، جودة ثابتة</w:t>
            </w:r>
          </w:p>
        </w:tc>
      </w:tr>
    </w:tbl>
    <w:p>
      <w:pPr>
        <w:spacing w:after="0"/>
        <w:widowControl/>
        <w:bidi w:val="1"/>
        <w:jc w:val="right"/>
      </w:pP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A03232"/>
          <w:sz w:val="18"/>
          <w:rtl w:val="1"/>
        </w:rPr>
        <w:t xml:space="preserve">[تعارض] </w:t>
      </w:r>
      <w:r>
        <w:rPr>
          <w:rFonts w:ascii="Noto Sans Arabic" w:hAnsi="Noto Sans Arabic" w:eastAsia="Noto Sans Arabic" w:cs="Noto Sans Arabic"/>
          <w:b w:val="0"/>
          <w:color w:val="182B3A"/>
          <w:sz w:val="20"/>
          <w:rtl w:val="1"/>
        </w:rPr>
        <w:t>الملفات القديمة تضمنت شخصية 25-50 سنة، 60% إناث/40% ذكور ودخل 12 ألف ريال، كما استبعدت الشباب في نسخة أخرى؛ هذه افتراضات تسويقية قديمة ومتعارضة مع تعريف الموقع الحالي، ولا تُستخدم دون اختبار حديث.</w:t>
      </w:r>
      <w:r>
        <w:rPr>
          <w:rFonts w:ascii="Noto Sans Arabic" w:hAnsi="Noto Sans Arabic" w:eastAsia="Noto Sans Arabic" w:cs="Noto Sans Arabic"/>
          <w:b w:val="0"/>
          <w:color w:val="5A6369"/>
          <w:sz w:val="16"/>
          <w:rtl w:val="1"/>
        </w:rPr>
        <w:t xml:space="preserve">  — فنجان عود.pdf + Untitled-1.pdf + صفحة من نحن</w:t>
      </w:r>
    </w:p>
    <w:p>
      <w:pPr>
        <w:pStyle w:val="Heading1"/>
        <w:keepNext/>
        <w:widowControl/>
        <w:bidi w:val="1"/>
        <w:jc w:val="right"/>
      </w:pPr>
      <w:r>
        <w:rPr>
          <w:rFonts w:ascii="Noto Sans Arabic" w:hAnsi="Noto Sans Arabic" w:eastAsia="Noto Sans Arabic" w:cs="Noto Sans Arabic"/>
          <w:b/>
          <w:color w:val="182B3A"/>
          <w:sz w:val="36"/>
          <w:rtl w:val="1"/>
        </w:rPr>
        <w:t>3. المشكلة التي يحلها والقيمة المقدمة</w:t>
      </w:r>
    </w:p>
    <w:p>
      <w:pPr>
        <w:pStyle w:val="Heading2"/>
        <w:keepNext/>
        <w:widowControl/>
        <w:bidi w:val="1"/>
        <w:jc w:val="right"/>
      </w:pPr>
      <w:r>
        <w:rPr>
          <w:rFonts w:ascii="Noto Sans Arabic" w:hAnsi="Noto Sans Arabic" w:eastAsia="Noto Sans Arabic" w:cs="Noto Sans Arabic"/>
          <w:b/>
          <w:color w:val="0B6B63"/>
          <w:sz w:val="28"/>
          <w:rtl w:val="1"/>
        </w:rPr>
        <w:t>للعميل</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المنتج عطري وحسي، لذلك لا يستطيع العميل شمه قبل الشراء؛ أهم ألم هو تقليل مخاطرة الاختيار والجودة والأصالة.</w:t>
      </w:r>
      <w:r>
        <w:rPr>
          <w:rFonts w:ascii="Noto Sans Arabic" w:hAnsi="Noto Sans Arabic" w:eastAsia="Noto Sans Arabic" w:cs="Noto Sans Arabic"/>
          <w:b w:val="0"/>
          <w:color w:val="5A6369"/>
          <w:sz w:val="16"/>
          <w:rtl w:val="1"/>
        </w:rPr>
        <w:t xml:space="preserve">  — تحليل رحلة الشراء</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تنوع الأصناف قد يسبب حيرة: هل المتجر للعود الطبيعي أم العطور أم الهدايا؟ القيمة المطلوبة هي توجيه الاختيار حسب الذوق والمناسبة والميزانية.</w:t>
      </w:r>
      <w:r>
        <w:rPr>
          <w:rFonts w:ascii="Noto Sans Arabic" w:hAnsi="Noto Sans Arabic" w:eastAsia="Noto Sans Arabic" w:cs="Noto Sans Arabic"/>
          <w:b w:val="0"/>
          <w:color w:val="5A6369"/>
          <w:sz w:val="16"/>
          <w:rtl w:val="1"/>
        </w:rPr>
        <w:t xml:space="preserve">  — التدقيق التسويقي</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تاريخية] </w:t>
      </w:r>
      <w:r>
        <w:rPr>
          <w:rFonts w:ascii="Noto Sans Arabic" w:hAnsi="Noto Sans Arabic" w:eastAsia="Noto Sans Arabic" w:cs="Noto Sans Arabic"/>
          <w:b w:val="0"/>
          <w:color w:val="182B3A"/>
          <w:sz w:val="20"/>
          <w:rtl w:val="1"/>
        </w:rPr>
        <w:t>وعد العلامة التاريخي يدور حول الفخامة، الراحة، الذكريات، الأصالة الشرقية و"عدل المود"؛ هذا أصل عاطفي يمكن ربطه بإثباتات أكثر واقعية.</w:t>
      </w:r>
      <w:r>
        <w:rPr>
          <w:rFonts w:ascii="Noto Sans Arabic" w:hAnsi="Noto Sans Arabic" w:eastAsia="Noto Sans Arabic" w:cs="Noto Sans Arabic"/>
          <w:b w:val="0"/>
          <w:color w:val="5A6369"/>
          <w:sz w:val="16"/>
          <w:rtl w:val="1"/>
        </w:rPr>
        <w:t xml:space="preserve">  — عرض الشركة + الموقع</w:t>
      </w:r>
    </w:p>
    <w:p>
      <w:pPr>
        <w:pStyle w:val="Heading2"/>
        <w:keepNext/>
        <w:widowControl/>
        <w:bidi w:val="1"/>
        <w:jc w:val="right"/>
      </w:pPr>
      <w:r>
        <w:rPr>
          <w:rFonts w:ascii="Noto Sans Arabic" w:hAnsi="Noto Sans Arabic" w:eastAsia="Noto Sans Arabic" w:cs="Noto Sans Arabic"/>
          <w:b/>
          <w:color w:val="0B6B63"/>
          <w:sz w:val="28"/>
          <w:rtl w:val="1"/>
        </w:rPr>
        <w:t>للمشروع نفسه</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المشكلة التجارية الحالية هي فجوة بين أصول قوية (اسم، بيانات، منتجات، سجل طلب) وبين أداء وتشغيل وقياس غير منضبط.</w:t>
      </w:r>
      <w:r>
        <w:rPr>
          <w:rFonts w:ascii="Noto Sans Arabic" w:hAnsi="Noto Sans Arabic" w:eastAsia="Noto Sans Arabic" w:cs="Noto Sans Arabic"/>
          <w:b w:val="0"/>
          <w:color w:val="5A6369"/>
          <w:sz w:val="16"/>
          <w:rtl w:val="1"/>
        </w:rPr>
        <w:t xml:space="preserve">  — ملفات القرار والاستحواذ</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عنق الزجاجة: لا يوجد خط أساس حديث موحد من 2023 إلى الآن، ولا هامش مساهمة مؤكد لكل SKU مرشح، ولا ربط كامل للإنفاق بالإيراد والطلب والاستلام.</w:t>
      </w:r>
      <w:r>
        <w:rPr>
          <w:rFonts w:ascii="Noto Sans Arabic" w:hAnsi="Noto Sans Arabic" w:eastAsia="Noto Sans Arabic" w:cs="Noto Sans Arabic"/>
          <w:b w:val="0"/>
          <w:color w:val="5A6369"/>
          <w:sz w:val="16"/>
          <w:rtl w:val="1"/>
        </w:rPr>
        <w:t xml:space="preserve">  — خريطة الأدلة + مراجعة الإطلاق</w:t>
      </w:r>
    </w:p>
    <w:tbl>
      <w:tblPr>
        <w:tblW w:type="auto" w:w="0"/>
        <w:jc w:val="center"/>
        <w:tblLayout w:type="autofit"/>
        <w:tblLook w:firstColumn="1" w:firstRow="1" w:lastColumn="0" w:lastRow="0" w:noHBand="0" w:noVBand="1" w:val="04A0"/>
      </w:tblPr>
      <w:tblGrid>
        <w:gridCol w:w="10312"/>
      </w:tblGrid>
      <w:tr>
        <w:trPr>
          <w:cantSplit/>
        </w:trPr>
        <w:tc>
          <w:tcPr>
            <w:tcW w:type="dxa" w:w="10312"/>
            <w:shd w:fill="EAF4F2"/>
            <w:tcBorders>
              <w:top w:val="single" w:sz="6" w:color="0B6B63"/>
              <w:left w:val="single" w:sz="6" w:color="0B6B63"/>
              <w:bottom w:val="single" w:sz="6" w:color="0B6B63"/>
              <w:right w:val="single" w:sz="6" w:color="0B6B63"/>
            </w:tcBorders>
            <w:tcMar>
              <w:top w:w="140" w:type="dxa"/>
              <w:start w:w="160" w:type="dxa"/>
              <w:bottom w:w="140" w:type="dxa"/>
              <w:end w:w="160" w:type="dxa"/>
            </w:tcMar>
          </w:tcPr>
          <w:p>
            <w:pPr>
              <w:widowControl/>
              <w:bidi w:val="1"/>
              <w:jc w:val="right"/>
            </w:pPr>
            <w:r>
              <w:rPr>
                <w:rFonts w:ascii="Noto Sans Arabic" w:hAnsi="Noto Sans Arabic" w:eastAsia="Noto Sans Arabic" w:cs="Noto Sans Arabic"/>
                <w:b/>
                <w:color w:val="0B6B63"/>
                <w:sz w:val="21"/>
                <w:rtl w:val="1"/>
              </w:rPr>
              <w:t>القيمة الأقوى لفنجان عود ليست "لدينا منتجات كثيرة"؛ بل: لدينا طلب تاريخي، قاعدة يمكن إعادة تنشيطها، عرض بطل سابق، معرفة موردين، وهوية قابلة لإعادة البناء - إذا أصبح كل ذلك قابلاً للقياس والتكرار.</w:t>
            </w:r>
          </w:p>
        </w:tc>
      </w:tr>
    </w:tbl>
    <w:p>
      <w:pPr>
        <w:spacing w:after="0"/>
        <w:widowControl/>
        <w:bidi w:val="1"/>
        <w:jc w:val="right"/>
      </w:pPr>
    </w:p>
    <w:p>
      <w:pPr>
        <w:pStyle w:val="Heading1"/>
        <w:keepNext/>
        <w:widowControl/>
        <w:bidi w:val="1"/>
        <w:jc w:val="right"/>
      </w:pPr>
      <w:r>
        <w:rPr>
          <w:rFonts w:ascii="Noto Sans Arabic" w:hAnsi="Noto Sans Arabic" w:eastAsia="Noto Sans Arabic" w:cs="Noto Sans Arabic"/>
          <w:b/>
          <w:color w:val="182B3A"/>
          <w:sz w:val="36"/>
          <w:rtl w:val="1"/>
        </w:rPr>
        <w:t>4. المنتجات والخدمات والأسعار</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الفئات الحالية/الموثقة: عطور، رقائق عود، دهن عود، أنواع الورد، خشب العود، منتجات طبيعية، المبثوث والمعمول، زيوت عطرية، وباكدجات. الكتالوج النشط في آخر تصدير بالدراسة ذُكر أنه 116 منتجاً.</w:t>
      </w:r>
      <w:r>
        <w:rPr>
          <w:rFonts w:ascii="Noto Sans Arabic" w:hAnsi="Noto Sans Arabic" w:eastAsia="Noto Sans Arabic" w:cs="Noto Sans Arabic"/>
          <w:b w:val="0"/>
          <w:color w:val="5A6369"/>
          <w:sz w:val="16"/>
          <w:rtl w:val="1"/>
        </w:rPr>
        <w:t xml:space="preserve">  — الموقع + دراسة الجدوى</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تاريخية] </w:t>
      </w:r>
      <w:r>
        <w:rPr>
          <w:rFonts w:ascii="Noto Sans Arabic" w:hAnsi="Noto Sans Arabic" w:eastAsia="Noto Sans Arabic" w:cs="Noto Sans Arabic"/>
          <w:b w:val="0"/>
          <w:color w:val="182B3A"/>
          <w:sz w:val="20"/>
          <w:rtl w:val="1"/>
        </w:rPr>
        <w:t>منتجات تاريخية بارزة: رقائق العود الفيتنامية، بخور التايقر، دهن العود الكمبودي، أدهان ومخلطات وورد. الادعاءات مثل "الأكثر مبيعاً" و"15,000 عرض" وردت في عرض قديم ولا تُعامل كرقم حالي.</w:t>
      </w:r>
      <w:r>
        <w:rPr>
          <w:rFonts w:ascii="Noto Sans Arabic" w:hAnsi="Noto Sans Arabic" w:eastAsia="Noto Sans Arabic" w:cs="Noto Sans Arabic"/>
          <w:b w:val="0"/>
          <w:color w:val="5A6369"/>
          <w:sz w:val="16"/>
          <w:rtl w:val="1"/>
        </w:rPr>
        <w:t xml:space="preserve">  — عرض فنجان عود</w:t>
      </w:r>
    </w:p>
    <w:tbl>
      <w:tblPr>
        <w:tblStyle w:val="TableGrid"/>
        <w:tblW w:type="auto" w:w="0"/>
        <w:jc w:val="center"/>
        <w:tblLayout w:type="autofit"/>
        <w:tblLook w:firstColumn="1" w:firstRow="1" w:lastColumn="0" w:lastRow="0" w:noHBand="0" w:noVBand="1" w:val="04A0"/>
      </w:tblPr>
      <w:tblGrid>
        <w:gridCol w:w="2062"/>
        <w:gridCol w:w="2062"/>
        <w:gridCol w:w="2062"/>
        <w:gridCol w:w="2062"/>
        <w:gridCol w:w="2062"/>
      </w:tblGrid>
      <w:tr>
        <w:trPr>
          <w:tblHeader w:val="true"/>
          <w:cantSplit/>
        </w:trPr>
        <w:tc>
          <w:tcPr>
            <w:tcW w:type="dxa" w:w="2381"/>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المنتج/العرض</w:t>
            </w:r>
          </w:p>
        </w:tc>
        <w:tc>
          <w:tcPr>
            <w:tcW w:type="dxa" w:w="1984"/>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السعر/الحالة</w:t>
            </w:r>
          </w:p>
        </w:tc>
        <w:tc>
          <w:tcPr>
            <w:tcW w:type="dxa" w:w="1531"/>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التاريخ</w:t>
            </w:r>
          </w:p>
        </w:tc>
        <w:tc>
          <w:tcPr>
            <w:tcW w:type="dxa" w:w="1587"/>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نوع المعلومة</w:t>
            </w:r>
          </w:p>
        </w:tc>
        <w:tc>
          <w:tcPr>
            <w:tcW w:type="dxa" w:w="3005"/>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ملاحظة قرار</w:t>
            </w:r>
          </w:p>
        </w:tc>
      </w:tr>
      <w:tr>
        <w:trPr>
          <w:cantSplit/>
        </w:trPr>
        <w:tc>
          <w:tcPr>
            <w:tcW w:type="dxa" w:w="238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C52 - أوقية رقائق العود بلس + أوقية مجاناً</w:t>
            </w:r>
          </w:p>
        </w:tc>
        <w:tc>
          <w:tcPr>
            <w:tcW w:type="dxa" w:w="198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139 ريال أساساً في أمثلة قديمة؛ إجمالي بعض الطلبات 149-159 بعد إضافات</w:t>
            </w:r>
          </w:p>
        </w:tc>
        <w:tc>
          <w:tcPr>
            <w:tcW w:type="dxa" w:w="153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2021</w:t>
            </w:r>
          </w:p>
        </w:tc>
        <w:tc>
          <w:tcPr>
            <w:tcW w:type="dxa" w:w="1587"/>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حقيقة تاريخية</w:t>
            </w:r>
          </w:p>
        </w:tc>
        <w:tc>
          <w:tcPr>
            <w:tcW w:type="dxa" w:w="300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ظهر في 5,205 طلبات ذروة؛ يجب مطابقة هويته الحالية</w:t>
            </w:r>
          </w:p>
        </w:tc>
      </w:tr>
      <w:tr>
        <w:trPr>
          <w:cantSplit/>
        </w:trPr>
        <w:tc>
          <w:tcPr>
            <w:tcW w:type="dxa" w:w="238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بكج 96 - نسيم + صهيل + أثيرا عود</w:t>
            </w:r>
          </w:p>
        </w:tc>
        <w:tc>
          <w:tcPr>
            <w:tcW w:type="dxa" w:w="198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196 ريال بدلاً من 660</w:t>
            </w:r>
          </w:p>
        </w:tc>
        <w:tc>
          <w:tcPr>
            <w:tcW w:type="dxa" w:w="153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22-08-2026</w:t>
            </w:r>
          </w:p>
        </w:tc>
        <w:tc>
          <w:tcPr>
            <w:tcW w:type="dxa" w:w="1587"/>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حقيقة من صفحة فُحصت</w:t>
            </w:r>
          </w:p>
        </w:tc>
        <w:tc>
          <w:tcPr>
            <w:tcW w:type="dxa" w:w="300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يجب إثبات السعر السابق 660 وإضافة الأحجام/المكونات</w:t>
            </w:r>
          </w:p>
        </w:tc>
      </w:tr>
      <w:tr>
        <w:trPr>
          <w:cantSplit/>
        </w:trPr>
        <w:tc>
          <w:tcPr>
            <w:tcW w:type="dxa" w:w="238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دهن عود كمبودي كوه كنج - ربع تولة C204</w:t>
            </w:r>
          </w:p>
        </w:tc>
        <w:tc>
          <w:tcPr>
            <w:tcW w:type="dxa" w:w="198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ظهر للعامة بنحو 44.99 دولار بدلاً من 68.94</w:t>
            </w:r>
          </w:p>
        </w:tc>
        <w:tc>
          <w:tcPr>
            <w:tcW w:type="dxa" w:w="153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أواخر أغسطس 2026</w:t>
            </w:r>
          </w:p>
        </w:tc>
        <w:tc>
          <w:tcPr>
            <w:tcW w:type="dxa" w:w="1587"/>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حقيقة موقع حي</w:t>
            </w:r>
          </w:p>
        </w:tc>
        <w:tc>
          <w:tcPr>
            <w:tcW w:type="dxa" w:w="300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عرض العملة بالدولار في الزحف؛ تحقق سعودي بالريال مطلوب</w:t>
            </w:r>
          </w:p>
        </w:tc>
      </w:tr>
      <w:tr>
        <w:trPr>
          <w:cantSplit/>
        </w:trPr>
        <w:tc>
          <w:tcPr>
            <w:tcW w:type="dxa" w:w="238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دهن عود كمبودي فواح 3+1 C43</w:t>
            </w:r>
          </w:p>
        </w:tc>
        <w:tc>
          <w:tcPr>
            <w:tcW w:type="dxa" w:w="198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ظهر بنحو 126.81 دولار بدلاً من 170.15</w:t>
            </w:r>
          </w:p>
        </w:tc>
        <w:tc>
          <w:tcPr>
            <w:tcW w:type="dxa" w:w="153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أواخر أغسطس 2026</w:t>
            </w:r>
          </w:p>
        </w:tc>
        <w:tc>
          <w:tcPr>
            <w:tcW w:type="dxa" w:w="1587"/>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حقيقة موقع حي</w:t>
            </w:r>
          </w:p>
        </w:tc>
        <w:tc>
          <w:tcPr>
            <w:tcW w:type="dxa" w:w="300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عرض 3 + الرابع مجاناً؛ يحتاج هامش فعلي</w:t>
            </w:r>
          </w:p>
        </w:tc>
      </w:tr>
      <w:tr>
        <w:trPr>
          <w:cantSplit/>
        </w:trPr>
        <w:tc>
          <w:tcPr>
            <w:tcW w:type="dxa" w:w="238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أثيرا عود</w:t>
            </w:r>
          </w:p>
        </w:tc>
        <w:tc>
          <w:tcPr>
            <w:tcW w:type="dxa" w:w="198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ظهر بنحو 39.73 دولار</w:t>
            </w:r>
          </w:p>
        </w:tc>
        <w:tc>
          <w:tcPr>
            <w:tcW w:type="dxa" w:w="153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أواخر أغسطس 2026</w:t>
            </w:r>
          </w:p>
        </w:tc>
        <w:tc>
          <w:tcPr>
            <w:tcW w:type="dxa" w:w="1587"/>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حقيقة موقع حي</w:t>
            </w:r>
          </w:p>
        </w:tc>
        <w:tc>
          <w:tcPr>
            <w:tcW w:type="dxa" w:w="300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سعر ديناميكي/عملة حسب الموقع</w:t>
            </w:r>
          </w:p>
        </w:tc>
      </w:tr>
      <w:tr>
        <w:trPr>
          <w:cantSplit/>
        </w:trPr>
        <w:tc>
          <w:tcPr>
            <w:tcW w:type="dxa" w:w="238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صندوق طيب الوطن</w:t>
            </w:r>
          </w:p>
        </w:tc>
        <w:tc>
          <w:tcPr>
            <w:tcW w:type="dxa" w:w="198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لا سعر نهائي مثبت؛ اقتراح 20-30 صندوقاً</w:t>
            </w:r>
          </w:p>
        </w:tc>
        <w:tc>
          <w:tcPr>
            <w:tcW w:type="dxa" w:w="153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أغسطس 2026</w:t>
            </w:r>
          </w:p>
        </w:tc>
        <w:tc>
          <w:tcPr>
            <w:tcW w:type="dxa" w:w="1587"/>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توقع/اختبار</w:t>
            </w:r>
          </w:p>
        </w:tc>
        <w:tc>
          <w:tcPr>
            <w:tcW w:type="dxa" w:w="300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لا يطلق قبل التكلفة والهامش والشحن</w:t>
            </w:r>
          </w:p>
        </w:tc>
      </w:tr>
    </w:tbl>
    <w:p>
      <w:pPr>
        <w:spacing w:after="0"/>
        <w:widowControl/>
        <w:bidi w:val="1"/>
        <w:jc w:val="right"/>
      </w:pP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تاريخية] </w:t>
      </w:r>
      <w:r>
        <w:rPr>
          <w:rFonts w:ascii="Noto Sans Arabic" w:hAnsi="Noto Sans Arabic" w:eastAsia="Noto Sans Arabic" w:cs="Noto Sans Arabic"/>
          <w:b w:val="0"/>
          <w:color w:val="182B3A"/>
          <w:sz w:val="20"/>
          <w:rtl w:val="1"/>
        </w:rPr>
        <w:t>العروض التاريخية تضمنت شحناً مجانياً وخصم 5% للدفع المسبق في بعض الفترات؛ نتائجها المالية غير مستخرجة، فلا تُعاد آلياً.</w:t>
      </w:r>
      <w:r>
        <w:rPr>
          <w:rFonts w:ascii="Noto Sans Arabic" w:hAnsi="Noto Sans Arabic" w:eastAsia="Noto Sans Arabic" w:cs="Noto Sans Arabic"/>
          <w:b w:val="0"/>
          <w:color w:val="5A6369"/>
          <w:sz w:val="16"/>
          <w:rtl w:val="1"/>
        </w:rPr>
        <w:t xml:space="preserve">  — محادثات/مواد سابقة</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لا توجد خدمة مستقلة مدفوعة خارج بيع المنتجات مثبتة كمصدر إيراد حالي. B2B والهدايا المؤسسية والجملة فرص توسع وليست إيراداً موثقاً حالياً.</w:t>
      </w:r>
      <w:r>
        <w:rPr>
          <w:rFonts w:ascii="Noto Sans Arabic" w:hAnsi="Noto Sans Arabic" w:eastAsia="Noto Sans Arabic" w:cs="Noto Sans Arabic"/>
          <w:b w:val="0"/>
          <w:color w:val="5A6369"/>
          <w:sz w:val="16"/>
          <w:rtl w:val="1"/>
        </w:rPr>
        <w:t xml:space="preserve">  — المصادر المراجعة</w:t>
      </w:r>
    </w:p>
    <w:p>
      <w:pPr>
        <w:pStyle w:val="Heading1"/>
        <w:keepNext/>
        <w:widowControl/>
        <w:bidi w:val="1"/>
        <w:jc w:val="right"/>
      </w:pPr>
      <w:r>
        <w:rPr>
          <w:rFonts w:ascii="Noto Sans Arabic" w:hAnsi="Noto Sans Arabic" w:eastAsia="Noto Sans Arabic" w:cs="Noto Sans Arabic"/>
          <w:b/>
          <w:color w:val="182B3A"/>
          <w:sz w:val="36"/>
          <w:rtl w:val="1"/>
        </w:rPr>
        <w:t>5. المبيعات والإيرادات والتكاليف والمؤشرات</w:t>
      </w:r>
    </w:p>
    <w:p>
      <w:pPr>
        <w:pStyle w:val="Heading2"/>
        <w:keepNext/>
        <w:widowControl/>
        <w:bidi w:val="1"/>
        <w:jc w:val="right"/>
      </w:pPr>
      <w:r>
        <w:rPr>
          <w:rFonts w:ascii="Noto Sans Arabic" w:hAnsi="Noto Sans Arabic" w:eastAsia="Noto Sans Arabic" w:cs="Noto Sans Arabic"/>
          <w:b/>
          <w:color w:val="0B6B63"/>
          <w:sz w:val="28"/>
          <w:rtl w:val="1"/>
        </w:rPr>
        <w:t>القاعدة المنظمة الأقوى</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rPr>
          <w:tblHeader w:val="true"/>
          <w:cantSplit/>
        </w:trPr>
        <w:tc>
          <w:tcPr>
            <w:tcW w:type="dxa" w:w="2041"/>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المؤشر</w:t>
            </w:r>
          </w:p>
        </w:tc>
        <w:tc>
          <w:tcPr>
            <w:tcW w:type="dxa" w:w="2098"/>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القيمة</w:t>
            </w:r>
          </w:p>
        </w:tc>
        <w:tc>
          <w:tcPr>
            <w:tcW w:type="dxa" w:w="2948"/>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الفترة/المصدر</w:t>
            </w:r>
          </w:p>
        </w:tc>
        <w:tc>
          <w:tcPr>
            <w:tcW w:type="dxa" w:w="2835"/>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ملاحظة</w:t>
            </w:r>
          </w:p>
        </w:tc>
      </w:tr>
      <w:tr>
        <w:trPr>
          <w:cantSplit/>
        </w:trPr>
        <w:tc>
          <w:tcPr>
            <w:tcW w:type="dxa" w:w="204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الطلبات الفريدة</w:t>
            </w:r>
          </w:p>
        </w:tc>
        <w:tc>
          <w:tcPr>
            <w:tcW w:type="dxa" w:w="209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11,354</w:t>
            </w:r>
          </w:p>
        </w:tc>
        <w:tc>
          <w:tcPr>
            <w:tcW w:type="dxa" w:w="294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حتى 03-2023 | KNOWLEDGE_DECISION_OS</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بعد دمج المصادر واستبعاد حالات بحسب المنهج</w:t>
            </w:r>
          </w:p>
        </w:tc>
      </w:tr>
      <w:tr>
        <w:trPr>
          <w:cantSplit/>
        </w:trPr>
        <w:tc>
          <w:tcPr>
            <w:tcW w:type="dxa" w:w="204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قيمة الطلبات المحتسبة</w:t>
            </w:r>
          </w:p>
        </w:tc>
        <w:tc>
          <w:tcPr>
            <w:tcW w:type="dxa" w:w="209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2,320,745.39 ريال</w:t>
            </w:r>
          </w:p>
        </w:tc>
        <w:tc>
          <w:tcPr>
            <w:tcW w:type="dxa" w:w="294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حتى 03-2023 | KNOWLEDGE_DECISION_OS</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ليست إيراداً محاسبياً مدققاً</w:t>
            </w:r>
          </w:p>
        </w:tc>
      </w:tr>
      <w:tr>
        <w:trPr>
          <w:cantSplit/>
        </w:trPr>
        <w:tc>
          <w:tcPr>
            <w:tcW w:type="dxa" w:w="204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متوسط الطلب</w:t>
            </w:r>
          </w:p>
        </w:tc>
        <w:tc>
          <w:tcPr>
            <w:tcW w:type="dxa" w:w="209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220.48 ريال</w:t>
            </w:r>
          </w:p>
        </w:tc>
        <w:tc>
          <w:tcPr>
            <w:tcW w:type="dxa" w:w="294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حتى 03-2023</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مبني على الطلبات المحتسبة</w:t>
            </w:r>
          </w:p>
        </w:tc>
      </w:tr>
      <w:tr>
        <w:trPr>
          <w:cantSplit/>
        </w:trPr>
        <w:tc>
          <w:tcPr>
            <w:tcW w:type="dxa" w:w="204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المشترون المعروفون</w:t>
            </w:r>
          </w:p>
        </w:tc>
        <w:tc>
          <w:tcPr>
            <w:tcW w:type="dxa" w:w="209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8,279</w:t>
            </w:r>
          </w:p>
        </w:tc>
        <w:tc>
          <w:tcPr>
            <w:tcW w:type="dxa" w:w="294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حتى 03-2023</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يختلف عن 8,858 جهة موحدة لأنها تشمل جهات بلا طلب</w:t>
            </w:r>
          </w:p>
        </w:tc>
      </w:tr>
      <w:tr>
        <w:trPr>
          <w:cantSplit/>
        </w:trPr>
        <w:tc>
          <w:tcPr>
            <w:tcW w:type="dxa" w:w="204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العملاء المتكررون</w:t>
            </w:r>
          </w:p>
        </w:tc>
        <w:tc>
          <w:tcPr>
            <w:tcW w:type="dxa" w:w="209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1,321</w:t>
            </w:r>
          </w:p>
        </w:tc>
        <w:tc>
          <w:tcPr>
            <w:tcW w:type="dxa" w:w="294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حتى 03-2023</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اشتروا مرتين أو أكثر</w:t>
            </w:r>
          </w:p>
        </w:tc>
      </w:tr>
      <w:tr>
        <w:trPr>
          <w:cantSplit/>
        </w:trPr>
        <w:tc>
          <w:tcPr>
            <w:tcW w:type="dxa" w:w="204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معدل التكرار</w:t>
            </w:r>
          </w:p>
        </w:tc>
        <w:tc>
          <w:tcPr>
            <w:tcW w:type="dxa" w:w="209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15.96%</w:t>
            </w:r>
          </w:p>
        </w:tc>
        <w:tc>
          <w:tcPr>
            <w:tcW w:type="dxa" w:w="294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حتى 03-2023</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معدل محسوب على المشترين المعروفين</w:t>
            </w:r>
          </w:p>
        </w:tc>
      </w:tr>
      <w:tr>
        <w:trPr>
          <w:cantSplit/>
        </w:trPr>
        <w:tc>
          <w:tcPr>
            <w:tcW w:type="dxa" w:w="204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قيمة 6 أشهر الذروة</w:t>
            </w:r>
          </w:p>
        </w:tc>
        <w:tc>
          <w:tcPr>
            <w:tcW w:type="dxa" w:w="209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1,427,104.31 ريال</w:t>
            </w:r>
          </w:p>
        </w:tc>
        <w:tc>
          <w:tcPr>
            <w:tcW w:type="dxa" w:w="294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2020-10 إلى 2021-03 تقريباً</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نحو 61.5% من قيمة الفترة المنظمة</w:t>
            </w:r>
          </w:p>
        </w:tc>
      </w:tr>
      <w:tr>
        <w:trPr>
          <w:cantSplit/>
        </w:trPr>
        <w:tc>
          <w:tcPr>
            <w:tcW w:type="dxa" w:w="204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طلبات الذروة</w:t>
            </w:r>
          </w:p>
        </w:tc>
        <w:tc>
          <w:tcPr>
            <w:tcW w:type="dxa" w:w="209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6,969</w:t>
            </w:r>
          </w:p>
        </w:tc>
        <w:tc>
          <w:tcPr>
            <w:tcW w:type="dxa" w:w="294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6 أشهر</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موجة نمو مركزة</w:t>
            </w:r>
          </w:p>
        </w:tc>
      </w:tr>
      <w:tr>
        <w:trPr>
          <w:cantSplit/>
        </w:trPr>
        <w:tc>
          <w:tcPr>
            <w:tcW w:type="dxa" w:w="204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طلبات الذروة لعملاء جدد</w:t>
            </w:r>
          </w:p>
        </w:tc>
        <w:tc>
          <w:tcPr>
            <w:tcW w:type="dxa" w:w="209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5,975 ≈ 85.7%</w:t>
            </w:r>
          </w:p>
        </w:tc>
        <w:tc>
          <w:tcPr>
            <w:tcW w:type="dxa" w:w="294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SUCCESS_REPLICATION_OS</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الاكتساب قاد الذروة</w:t>
            </w:r>
          </w:p>
        </w:tc>
      </w:tr>
      <w:tr>
        <w:trPr>
          <w:cantSplit/>
        </w:trPr>
        <w:tc>
          <w:tcPr>
            <w:tcW w:type="dxa" w:w="204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COD في الذروة</w:t>
            </w:r>
          </w:p>
        </w:tc>
        <w:tc>
          <w:tcPr>
            <w:tcW w:type="dxa" w:w="209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≈47.5% من الطلبات</w:t>
            </w:r>
          </w:p>
        </w:tc>
        <w:tc>
          <w:tcPr>
            <w:tcW w:type="dxa" w:w="294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SUCCESS_REPLICATION_OS</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تكلفة عدم الاستلام غير معروفة</w:t>
            </w:r>
          </w:p>
        </w:tc>
      </w:tr>
      <w:tr>
        <w:trPr>
          <w:cantSplit/>
        </w:trPr>
        <w:tc>
          <w:tcPr>
            <w:tcW w:type="dxa" w:w="204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سلات أقل من 300 ريال</w:t>
            </w:r>
          </w:p>
        </w:tc>
        <w:tc>
          <w:tcPr>
            <w:tcW w:type="dxa" w:w="209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9,228 ≈ 87.7%</w:t>
            </w:r>
          </w:p>
        </w:tc>
        <w:tc>
          <w:tcPr>
            <w:tcW w:type="dxa" w:w="294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كامل الفترة المنظمة</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السعر المنخفض/المتوسط يهيمن</w:t>
            </w:r>
          </w:p>
        </w:tc>
      </w:tr>
      <w:tr>
        <w:trPr>
          <w:cantSplit/>
        </w:trPr>
        <w:tc>
          <w:tcPr>
            <w:tcW w:type="dxa" w:w="204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طلبات 500+</w:t>
            </w:r>
          </w:p>
        </w:tc>
        <w:tc>
          <w:tcPr>
            <w:tcW w:type="dxa" w:w="209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540 ≈ 5.13%</w:t>
            </w:r>
          </w:p>
        </w:tc>
        <w:tc>
          <w:tcPr>
            <w:tcW w:type="dxa" w:w="294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كامل الفترة</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شريحة صغيرة عالية القيمة</w:t>
            </w:r>
          </w:p>
        </w:tc>
      </w:tr>
    </w:tbl>
    <w:p>
      <w:pPr>
        <w:spacing w:after="0"/>
        <w:widowControl/>
        <w:bidi w:val="1"/>
        <w:jc w:val="right"/>
      </w:pPr>
    </w:p>
    <w:p>
      <w:pPr>
        <w:pStyle w:val="Heading2"/>
        <w:keepNext/>
        <w:widowControl/>
        <w:bidi w:val="1"/>
        <w:jc w:val="right"/>
      </w:pPr>
      <w:r>
        <w:rPr>
          <w:rFonts w:ascii="Noto Sans Arabic" w:hAnsi="Noto Sans Arabic" w:eastAsia="Noto Sans Arabic" w:cs="Noto Sans Arabic"/>
          <w:b/>
          <w:color w:val="0B6B63"/>
          <w:sz w:val="28"/>
          <w:rtl w:val="1"/>
        </w:rPr>
        <w:t>السنوات والأرقام التاريخية المتعارضة</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cantSplit/>
        </w:trPr>
        <w:tc>
          <w:tcPr>
            <w:tcW w:type="dxa" w:w="2835"/>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المصدر</w:t>
            </w:r>
          </w:p>
        </w:tc>
        <w:tc>
          <w:tcPr>
            <w:tcW w:type="dxa" w:w="3402"/>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الرقم</w:t>
            </w:r>
          </w:p>
        </w:tc>
        <w:tc>
          <w:tcPr>
            <w:tcW w:type="dxa" w:w="3061"/>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الحكم</w:t>
            </w:r>
          </w:p>
        </w:tc>
      </w:tr>
      <w:tr>
        <w:trPr>
          <w:cantSplit/>
        </w:trPr>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دراسة الجدوى 2026 نقلاً من العرض</w:t>
            </w:r>
          </w:p>
        </w:tc>
        <w:tc>
          <w:tcPr>
            <w:tcW w:type="dxa" w:w="340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2021: 1,206,130 ريال / 5,179 طلب</w:t>
            </w:r>
          </w:p>
        </w:tc>
        <w:tc>
          <w:tcPr>
            <w:tcW w:type="dxa" w:w="306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رقم تاريخي مذكور بوضوح</w:t>
            </w:r>
          </w:p>
        </w:tc>
      </w:tr>
      <w:tr>
        <w:trPr>
          <w:cantSplit/>
        </w:trPr>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دراسة الجدوى 2026</w:t>
            </w:r>
          </w:p>
        </w:tc>
        <w:tc>
          <w:tcPr>
            <w:tcW w:type="dxa" w:w="340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2022: 505,551 ريال / 1,870 طلب</w:t>
            </w:r>
          </w:p>
        </w:tc>
        <w:tc>
          <w:tcPr>
            <w:tcW w:type="dxa" w:w="306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رقم تاريخي</w:t>
            </w:r>
          </w:p>
        </w:tc>
      </w:tr>
      <w:tr>
        <w:trPr>
          <w:cantSplit/>
        </w:trPr>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دراسة الجدوى 2026</w:t>
            </w:r>
          </w:p>
        </w:tc>
        <w:tc>
          <w:tcPr>
            <w:tcW w:type="dxa" w:w="340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2023: 199,649 ريال / 565 طلب</w:t>
            </w:r>
          </w:p>
        </w:tc>
        <w:tc>
          <w:tcPr>
            <w:tcW w:type="dxa" w:w="306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رقم تاريخي؛ يوضح التراجع</w:t>
            </w:r>
          </w:p>
        </w:tc>
      </w:tr>
      <w:tr>
        <w:trPr>
          <w:cantSplit/>
        </w:trPr>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العرض الاستحواذي أغسطس 2026</w:t>
            </w:r>
          </w:p>
        </w:tc>
        <w:tc>
          <w:tcPr>
            <w:tcW w:type="dxa" w:w="340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13,000+ طلب، 8,000+ عميل، ≈3.3 مليون ريال مبيعات تاريخية</w:t>
            </w:r>
          </w:p>
        </w:tc>
        <w:tc>
          <w:tcPr>
            <w:tcW w:type="dxa" w:w="306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أوسع من الخزنة؛ يحتاج مطابقة مع المصدر المحاسبي</w:t>
            </w:r>
          </w:p>
        </w:tc>
      </w:tr>
      <w:tr>
        <w:trPr>
          <w:cantSplit/>
        </w:trPr>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العرض المؤسسي القديم</w:t>
            </w:r>
          </w:p>
        </w:tc>
        <w:tc>
          <w:tcPr>
            <w:tcW w:type="dxa" w:w="340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&gt;20,000 منتج/طلب، &gt;7,900 عميل، رضا 94.69%</w:t>
            </w:r>
          </w:p>
        </w:tc>
        <w:tc>
          <w:tcPr>
            <w:tcW w:type="dxa" w:w="306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تعريف/claim قديم، نطاقه غير واضح</w:t>
            </w:r>
          </w:p>
        </w:tc>
      </w:tr>
      <w:tr>
        <w:trPr>
          <w:cantSplit/>
        </w:trPr>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الخزنة المنظمة</w:t>
            </w:r>
          </w:p>
        </w:tc>
        <w:tc>
          <w:tcPr>
            <w:tcW w:type="dxa" w:w="340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11,354 طلب / 2.32 مليون قيمة طلبات</w:t>
            </w:r>
          </w:p>
        </w:tc>
        <w:tc>
          <w:tcPr>
            <w:tcW w:type="dxa" w:w="306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الأقوى للقرار التحليلي حتى 03-2023</w:t>
            </w:r>
          </w:p>
        </w:tc>
      </w:tr>
      <w:tr>
        <w:trPr>
          <w:cantSplit/>
        </w:trPr>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سلة عبر البريد 05-04-2026</w:t>
            </w:r>
          </w:p>
        </w:tc>
        <w:tc>
          <w:tcPr>
            <w:tcW w:type="dxa" w:w="340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تجاوز حاجز 10,000 ريال</w:t>
            </w:r>
          </w:p>
        </w:tc>
        <w:tc>
          <w:tcPr>
            <w:tcW w:type="dxa" w:w="306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يثبت نشاطاً في 2026 لكن الفترة التي يقيسها البريد غير محددة</w:t>
            </w:r>
          </w:p>
        </w:tc>
      </w:tr>
      <w:tr>
        <w:trPr>
          <w:cantSplit/>
        </w:trPr>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عرض الشركة</w:t>
            </w:r>
          </w:p>
        </w:tc>
        <w:tc>
          <w:tcPr>
            <w:tcW w:type="dxa" w:w="340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2024: 300,000 ريال / 1,100 طلب</w:t>
            </w:r>
          </w:p>
        </w:tc>
        <w:tc>
          <w:tcPr>
            <w:tcW w:type="dxa" w:w="306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توقع/مستهدف، ليس فعلياً</w:t>
            </w:r>
          </w:p>
        </w:tc>
      </w:tr>
    </w:tbl>
    <w:p>
      <w:pPr>
        <w:spacing w:after="0"/>
        <w:widowControl/>
        <w:bidi w:val="1"/>
        <w:jc w:val="right"/>
      </w:pPr>
    </w:p>
    <w:tbl>
      <w:tblPr>
        <w:tblW w:type="auto" w:w="0"/>
        <w:jc w:val="center"/>
        <w:tblLayout w:type="autofit"/>
        <w:tblLook w:firstColumn="1" w:firstRow="1" w:lastColumn="0" w:lastRow="0" w:noHBand="0" w:noVBand="1" w:val="04A0"/>
      </w:tblPr>
      <w:tblGrid>
        <w:gridCol w:w="10312"/>
      </w:tblGrid>
      <w:tr>
        <w:trPr>
          <w:cantSplit/>
        </w:trPr>
        <w:tc>
          <w:tcPr>
            <w:tcW w:type="dxa" w:w="10312"/>
            <w:shd w:fill="FFF0F0"/>
            <w:tcBorders>
              <w:top w:val="single" w:sz="6" w:color="A03232"/>
              <w:left w:val="single" w:sz="6" w:color="A03232"/>
              <w:bottom w:val="single" w:sz="6" w:color="A03232"/>
              <w:right w:val="single" w:sz="6" w:color="A03232"/>
            </w:tcBorders>
            <w:tcMar>
              <w:top w:w="140" w:type="dxa"/>
              <w:start w:w="160" w:type="dxa"/>
              <w:bottom w:w="140" w:type="dxa"/>
              <w:end w:w="160" w:type="dxa"/>
            </w:tcMar>
          </w:tcPr>
          <w:p>
            <w:pPr>
              <w:widowControl/>
              <w:bidi w:val="1"/>
              <w:jc w:val="right"/>
            </w:pPr>
            <w:r>
              <w:rPr>
                <w:rFonts w:ascii="Noto Sans Arabic" w:hAnsi="Noto Sans Arabic" w:eastAsia="Noto Sans Arabic" w:cs="Noto Sans Arabic"/>
                <w:b/>
                <w:color w:val="A03232"/>
                <w:sz w:val="21"/>
                <w:rtl w:val="1"/>
              </w:rPr>
              <w:t>التعارض ليس خطأ يجب إخفاؤه: 2.32 مليون هي قيمة طلبات منظمة ضمن نطاق محدد، بينما ≈3.3 مليون و13 ألف+ رقم إجمالي أوسع في عرض الاستحواذ. قبل تقييم الشركة أو البيع يجب تسوية هذه الأرقام مع سلة + البنك + المحاسبة.</w:t>
            </w:r>
          </w:p>
        </w:tc>
      </w:tr>
    </w:tbl>
    <w:p>
      <w:pPr>
        <w:spacing w:after="0"/>
        <w:widowControl/>
        <w:bidi w:val="1"/>
        <w:jc w:val="right"/>
      </w:pPr>
    </w:p>
    <w:p>
      <w:pPr>
        <w:pStyle w:val="Heading2"/>
        <w:keepNext/>
        <w:widowControl/>
        <w:bidi w:val="1"/>
        <w:jc w:val="right"/>
      </w:pPr>
      <w:r>
        <w:rPr>
          <w:rFonts w:ascii="Noto Sans Arabic" w:hAnsi="Noto Sans Arabic" w:eastAsia="Noto Sans Arabic" w:cs="Noto Sans Arabic"/>
          <w:b/>
          <w:color w:val="0B6B63"/>
          <w:sz w:val="28"/>
          <w:rtl w:val="1"/>
        </w:rPr>
        <w:t>تكاليف ومؤشرات ناقصة</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لا توجد في القاعدة الحالية تكلفة حديثة موثقة لكل SKU، تكلفة شحن فعلية حسب المدينة، تكلفة الإلغاء/عدم الاستلام، عمولات الدفع، والهالك؛ لذلك لا يمكن اعتماد ROAS وحده.</w:t>
      </w:r>
      <w:r>
        <w:rPr>
          <w:rFonts w:ascii="Noto Sans Arabic" w:hAnsi="Noto Sans Arabic" w:eastAsia="Noto Sans Arabic" w:cs="Noto Sans Arabic"/>
          <w:b w:val="0"/>
          <w:color w:val="5A6369"/>
          <w:sz w:val="16"/>
          <w:rtl w:val="1"/>
        </w:rPr>
        <w:t xml:space="preserve">  — مراجعة الإطلاق</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9E7636"/>
          <w:sz w:val="18"/>
          <w:rtl w:val="1"/>
        </w:rPr>
        <w:t xml:space="preserve">[افتراض] </w:t>
      </w:r>
      <w:r>
        <w:rPr>
          <w:rFonts w:ascii="Noto Sans Arabic" w:hAnsi="Noto Sans Arabic" w:eastAsia="Noto Sans Arabic" w:cs="Noto Sans Arabic"/>
          <w:b w:val="0"/>
          <w:color w:val="182B3A"/>
          <w:sz w:val="20"/>
          <w:rtl w:val="1"/>
        </w:rPr>
        <w:t>الدراسة ذكرت إنفاقاً تسويقياً تاريخياً تجاوز 20 ألف ريال شهرياً دون ربط واضح بالعائد؛ هذا تفسير/سرد تاريخي يحتاج كشف الإنفاق الفعلي قبل اعتماده سببيًا.</w:t>
      </w:r>
      <w:r>
        <w:rPr>
          <w:rFonts w:ascii="Noto Sans Arabic" w:hAnsi="Noto Sans Arabic" w:eastAsia="Noto Sans Arabic" w:cs="Noto Sans Arabic"/>
          <w:b w:val="0"/>
          <w:color w:val="5A6369"/>
          <w:sz w:val="16"/>
          <w:rtl w:val="1"/>
        </w:rPr>
        <w:t xml:space="preserve">  — دراسة الجدوى</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تاريخية] </w:t>
      </w:r>
      <w:r>
        <w:rPr>
          <w:rFonts w:ascii="Noto Sans Arabic" w:hAnsi="Noto Sans Arabic" w:eastAsia="Noto Sans Arabic" w:cs="Noto Sans Arabic"/>
          <w:b w:val="0"/>
          <w:color w:val="182B3A"/>
          <w:sz w:val="20"/>
          <w:rtl w:val="1"/>
        </w:rPr>
        <w:t>عرض قديم أظهر ديوناً/التزامات: قصر العطور 32 ألف، المطبعة 18 ألف، مصنع تايلند 11 ألف، مؤسسة غيداء 20 ألف، رواتب متأخرة 9 آلاف، مديونيات ترويج 6.8 آلاف؛ الإجمالي 96.8 ألف ريال. الحالة الحالية لهذه الالتزامات غير معروفة.</w:t>
      </w:r>
      <w:r>
        <w:rPr>
          <w:rFonts w:ascii="Noto Sans Arabic" w:hAnsi="Noto Sans Arabic" w:eastAsia="Noto Sans Arabic" w:cs="Noto Sans Arabic"/>
          <w:b w:val="0"/>
          <w:color w:val="5A6369"/>
          <w:sz w:val="16"/>
          <w:rtl w:val="1"/>
        </w:rPr>
        <w:t xml:space="preserve">  — عرض فنجان عود</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AD7141"/>
          <w:sz w:val="18"/>
          <w:rtl w:val="1"/>
        </w:rPr>
        <w:t xml:space="preserve">[توقع] </w:t>
      </w:r>
      <w:r>
        <w:rPr>
          <w:rFonts w:ascii="Noto Sans Arabic" w:hAnsi="Noto Sans Arabic" w:eastAsia="Noto Sans Arabic" w:cs="Noto Sans Arabic"/>
          <w:b w:val="0"/>
          <w:color w:val="182B3A"/>
          <w:sz w:val="20"/>
          <w:rtl w:val="1"/>
        </w:rPr>
        <w:t>هدف التشغيل الحالي في المحادثات: 100 ألف ريال شهرياً، CAC مرغوب 25-35 ريال، حد استثنائي 75 ريال، وهامش مساهمة مستهدف ≥25%. هذه أهداف/بوابات وليست نتائج.</w:t>
      </w:r>
      <w:r>
        <w:rPr>
          <w:rFonts w:ascii="Noto Sans Arabic" w:hAnsi="Noto Sans Arabic" w:eastAsia="Noto Sans Arabic" w:cs="Noto Sans Arabic"/>
          <w:b w:val="0"/>
          <w:color w:val="5A6369"/>
          <w:sz w:val="16"/>
          <w:rtl w:val="1"/>
        </w:rPr>
        <w:t xml:space="preserve">  — خطة النمو أغسطس 2026</w:t>
      </w:r>
    </w:p>
    <w:p>
      <w:pPr>
        <w:pStyle w:val="Heading1"/>
        <w:keepNext/>
        <w:widowControl/>
        <w:bidi w:val="1"/>
        <w:jc w:val="right"/>
      </w:pPr>
      <w:r>
        <w:rPr>
          <w:rFonts w:ascii="Noto Sans Arabic" w:hAnsi="Noto Sans Arabic" w:eastAsia="Noto Sans Arabic" w:cs="Noto Sans Arabic"/>
          <w:b/>
          <w:color w:val="182B3A"/>
          <w:sz w:val="36"/>
          <w:rtl w:val="1"/>
        </w:rPr>
        <w:t>6. التسويق والقنوات والمحتوى</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القنوات الموجودة أو التاريخية: الموقع/سلة، Instagram، TikTok، Snapchat، YouTube، X/Twitter، Facebook، WhatsApp، البريد، Telegram، ومدونة SEO.</w:t>
      </w:r>
      <w:r>
        <w:rPr>
          <w:rFonts w:ascii="Noto Sans Arabic" w:hAnsi="Noto Sans Arabic" w:eastAsia="Noto Sans Arabic" w:cs="Noto Sans Arabic"/>
          <w:b w:val="0"/>
          <w:color w:val="5A6369"/>
          <w:sz w:val="16"/>
          <w:rtl w:val="1"/>
        </w:rPr>
        <w:t xml:space="preserve">  — الموقع + العروض + البريد</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تاريخية] </w:t>
      </w:r>
      <w:r>
        <w:rPr>
          <w:rFonts w:ascii="Noto Sans Arabic" w:hAnsi="Noto Sans Arabic" w:eastAsia="Noto Sans Arabic" w:cs="Noto Sans Arabic"/>
          <w:b w:val="0"/>
          <w:color w:val="182B3A"/>
          <w:sz w:val="20"/>
          <w:rtl w:val="1"/>
        </w:rPr>
        <w:t>عرض قديم ذكر إجمالي متابعين &gt;20 ألف، وأرقاماً لقنوات منفردة مثل Instagram 16 ألف وSnapchat 7.5 ألف وTikTok 5,414، مع أهداف أعلى؛ تاريخ القياس/هل هي أرقام حالية أم مستهدفة غير واضح.</w:t>
      </w:r>
      <w:r>
        <w:rPr>
          <w:rFonts w:ascii="Noto Sans Arabic" w:hAnsi="Noto Sans Arabic" w:eastAsia="Noto Sans Arabic" w:cs="Noto Sans Arabic"/>
          <w:b w:val="0"/>
          <w:color w:val="5A6369"/>
          <w:sz w:val="16"/>
          <w:rtl w:val="1"/>
        </w:rPr>
        <w:t xml:space="preserve">  — عرض فنجان عود</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التدقيق في 22 أغسطس 2026 لم يستطع قراءة Insights كاملة لإنستغرام/تيك توك، كما ظهر رابط يوتيوب متعطل في نسخة من التذييل. لا توجد لوحة موحدة حديثة للتفاعل والتحويل حسب المحتوى.</w:t>
      </w:r>
      <w:r>
        <w:rPr>
          <w:rFonts w:ascii="Noto Sans Arabic" w:hAnsi="Noto Sans Arabic" w:eastAsia="Noto Sans Arabic" w:cs="Noto Sans Arabic"/>
          <w:b w:val="0"/>
          <w:color w:val="5A6369"/>
          <w:sz w:val="16"/>
          <w:rtl w:val="1"/>
        </w:rPr>
        <w:t xml:space="preserve">  — التدقيق التسويقي</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المتجر نشر محتوى SEO في 2026 حول العود ودهن العود وكحل الإثمد، ما يثبت نشاط محتوى عضوي، لكن أثره على الطلبات لم يُربط بعد.</w:t>
      </w:r>
      <w:r>
        <w:rPr>
          <w:rFonts w:ascii="Noto Sans Arabic" w:hAnsi="Noto Sans Arabic" w:eastAsia="Noto Sans Arabic" w:cs="Noto Sans Arabic"/>
          <w:b w:val="0"/>
          <w:color w:val="5A6369"/>
          <w:sz w:val="16"/>
          <w:rtl w:val="1"/>
        </w:rPr>
        <w:t xml:space="preserve">  — مدونة cupoud.com - فحص 2026</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مبدأ المحتوى المعتمد في تحدي 30 يوماً: محتوى رئيسي يومياً (منتج/استخدام/مقارنة/مشكلة/تجربة) + محتوى داعم يومياً (قصة عميل/اعتراض/كواليس/تقييم/سؤال)، مع تسجيل الفرضية وCTA والنتيجة.</w:t>
      </w:r>
      <w:r>
        <w:rPr>
          <w:rFonts w:ascii="Noto Sans Arabic" w:hAnsi="Noto Sans Arabic" w:eastAsia="Noto Sans Arabic" w:cs="Noto Sans Arabic"/>
          <w:b w:val="0"/>
          <w:color w:val="5A6369"/>
          <w:sz w:val="16"/>
          <w:rtl w:val="1"/>
        </w:rPr>
        <w:t xml:space="preserve">  — KNOWLEDGE_DECISION_OS</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الأولوية ليست زيادة النشر العشوائي؛ بل تحويل المحتوى إلى آلة إثبات: جودة حقيقية، استخدام، مراجعات، اعتراضات، ثم ربط المشاهدة بالزيارة والسلة والشراء وإعادة الشراء.</w:t>
      </w:r>
      <w:r>
        <w:rPr>
          <w:rFonts w:ascii="Noto Sans Arabic" w:hAnsi="Noto Sans Arabic" w:eastAsia="Noto Sans Arabic" w:cs="Noto Sans Arabic"/>
          <w:b w:val="0"/>
          <w:color w:val="5A6369"/>
          <w:sz w:val="16"/>
          <w:rtl w:val="1"/>
        </w:rPr>
        <w:t xml:space="preserve">  — التدقيق التسويقي</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مقترح توزيع تسويق في دراسة الجدوى: 40% محتوى/مؤثرون صغار، 25% أداء مدفوع، 20% SEO، 15% إعادة استهداف/احتفاظ. هذا مقترح وليس ميزانية معتمدة.</w:t>
      </w:r>
      <w:r>
        <w:rPr>
          <w:rFonts w:ascii="Noto Sans Arabic" w:hAnsi="Noto Sans Arabic" w:eastAsia="Noto Sans Arabic" w:cs="Noto Sans Arabic"/>
          <w:b w:val="0"/>
          <w:color w:val="5A6369"/>
          <w:sz w:val="16"/>
          <w:rtl w:val="1"/>
        </w:rPr>
        <w:t xml:space="preserve">  — دراسة الجدوى</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ملف Drive "جدول صناعة المحتوى.xlsx" موجود، وظهرت رسالة مشاركة من حساب فنجان عود في 25 أغسطس 2025؛ هو أصل تشغيلي يجب ربطه بسجل النتائج لا أن يبقى جدول نشر فقط.</w:t>
      </w:r>
      <w:r>
        <w:rPr>
          <w:rFonts w:ascii="Noto Sans Arabic" w:hAnsi="Noto Sans Arabic" w:eastAsia="Noto Sans Arabic" w:cs="Noto Sans Arabic"/>
          <w:b w:val="0"/>
          <w:color w:val="5A6369"/>
          <w:sz w:val="16"/>
          <w:rtl w:val="1"/>
        </w:rPr>
        <w:t xml:space="preserve">  — Google Drive + Gmail</w:t>
      </w:r>
    </w:p>
    <w:p>
      <w:pPr>
        <w:pStyle w:val="Heading1"/>
        <w:keepNext/>
        <w:widowControl/>
        <w:bidi w:val="1"/>
        <w:jc w:val="right"/>
      </w:pPr>
      <w:r>
        <w:rPr>
          <w:rFonts w:ascii="Noto Sans Arabic" w:hAnsi="Noto Sans Arabic" w:eastAsia="Noto Sans Arabic" w:cs="Noto Sans Arabic"/>
          <w:b/>
          <w:color w:val="182B3A"/>
          <w:sz w:val="36"/>
          <w:rtl w:val="1"/>
        </w:rPr>
        <w:t>7. العملاء والعلاقات والشركاء</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cantSplit/>
        </w:trPr>
        <w:tc>
          <w:tcPr>
            <w:tcW w:type="dxa" w:w="2381"/>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7"/>
                <w:rtl w:val="1"/>
              </w:rPr>
              <w:t>الأصل/العلاقة</w:t>
            </w:r>
          </w:p>
        </w:tc>
        <w:tc>
          <w:tcPr>
            <w:tcW w:type="dxa" w:w="2268"/>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7"/>
                <w:rtl w:val="1"/>
              </w:rPr>
              <w:t>الحجم/الحالة</w:t>
            </w:r>
          </w:p>
        </w:tc>
        <w:tc>
          <w:tcPr>
            <w:tcW w:type="dxa" w:w="4252"/>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7"/>
                <w:rtl w:val="1"/>
              </w:rPr>
              <w:t>المعنى</w:t>
            </w:r>
          </w:p>
        </w:tc>
      </w:tr>
      <w:tr>
        <w:trPr>
          <w:cantSplit/>
        </w:trPr>
        <w:tc>
          <w:tcPr>
            <w:tcW w:type="dxa" w:w="238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جهات/عملاء موحدون</w:t>
            </w:r>
          </w:p>
        </w:tc>
        <w:tc>
          <w:tcPr>
            <w:tcW w:type="dxa" w:w="226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8,858</w:t>
            </w:r>
          </w:p>
        </w:tc>
        <w:tc>
          <w:tcPr>
            <w:tcW w:type="dxa" w:w="425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هوية موحدة بالهاتف؛ تشمل جهات بلا طلب</w:t>
            </w:r>
          </w:p>
        </w:tc>
      </w:tr>
      <w:tr>
        <w:trPr>
          <w:cantSplit/>
        </w:trPr>
        <w:tc>
          <w:tcPr>
            <w:tcW w:type="dxa" w:w="238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مشترون معروفون</w:t>
            </w:r>
          </w:p>
        </w:tc>
        <w:tc>
          <w:tcPr>
            <w:tcW w:type="dxa" w:w="226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8,279</w:t>
            </w:r>
          </w:p>
        </w:tc>
        <w:tc>
          <w:tcPr>
            <w:tcW w:type="dxa" w:w="425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قاعدة الشراء في التحليل المنظم</w:t>
            </w:r>
          </w:p>
        </w:tc>
      </w:tr>
      <w:tr>
        <w:trPr>
          <w:cantSplit/>
        </w:trPr>
        <w:tc>
          <w:tcPr>
            <w:tcW w:type="dxa" w:w="238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عملاء متكررون</w:t>
            </w:r>
          </w:p>
        </w:tc>
        <w:tc>
          <w:tcPr>
            <w:tcW w:type="dxa" w:w="226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1,321</w:t>
            </w:r>
          </w:p>
        </w:tc>
        <w:tc>
          <w:tcPr>
            <w:tcW w:type="dxa" w:w="425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أفضل نقطة بداية للاحتفاظ والاستعادة</w:t>
            </w:r>
          </w:p>
        </w:tc>
      </w:tr>
      <w:tr>
        <w:trPr>
          <w:cantSplit/>
        </w:trPr>
        <w:tc>
          <w:tcPr>
            <w:tcW w:type="dxa" w:w="238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واتساب قابل للفتح</w:t>
            </w:r>
          </w:p>
        </w:tc>
        <w:tc>
          <w:tcPr>
            <w:tcW w:type="dxa" w:w="226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6,759</w:t>
            </w:r>
          </w:p>
        </w:tc>
        <w:tc>
          <w:tcPr>
            <w:tcW w:type="dxa" w:w="425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دليل علاقة، لا يساوي موافقة تسويق</w:t>
            </w:r>
          </w:p>
        </w:tc>
      </w:tr>
      <w:tr>
        <w:trPr>
          <w:cantSplit/>
        </w:trPr>
        <w:tc>
          <w:tcPr>
            <w:tcW w:type="dxa" w:w="238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بريد عملاء</w:t>
            </w:r>
          </w:p>
        </w:tc>
        <w:tc>
          <w:tcPr>
            <w:tcW w:type="dxa" w:w="226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4,163</w:t>
            </w:r>
          </w:p>
        </w:tc>
        <w:tc>
          <w:tcPr>
            <w:tcW w:type="dxa" w:w="425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قناة محتملة بعد تنظيف الصحة والموافقة</w:t>
            </w:r>
          </w:p>
        </w:tc>
      </w:tr>
      <w:tr>
        <w:trPr>
          <w:cantSplit/>
        </w:trPr>
        <w:tc>
          <w:tcPr>
            <w:tcW w:type="dxa" w:w="238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تقييمات</w:t>
            </w:r>
          </w:p>
        </w:tc>
        <w:tc>
          <w:tcPr>
            <w:tcW w:type="dxa" w:w="226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1,177</w:t>
            </w:r>
          </w:p>
        </w:tc>
        <w:tc>
          <w:tcPr>
            <w:tcW w:type="dxa" w:w="425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كلها 5/5 في التصدير؛ المصدر منحاز/ناقص على الأرجح</w:t>
            </w:r>
          </w:p>
        </w:tc>
      </w:tr>
      <w:tr>
        <w:trPr>
          <w:cantSplit/>
        </w:trPr>
        <w:tc>
          <w:tcPr>
            <w:tcW w:type="dxa" w:w="238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عملاء جملة رقائق عود</w:t>
            </w:r>
          </w:p>
        </w:tc>
        <w:tc>
          <w:tcPr>
            <w:tcW w:type="dxa" w:w="226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320-333 مذكورون في دراسة أقدم</w:t>
            </w:r>
          </w:p>
        </w:tc>
        <w:tc>
          <w:tcPr>
            <w:tcW w:type="dxa" w:w="425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النطاق/الحداثة غير محسوم؛ يحتاج ملف مصدر</w:t>
            </w:r>
          </w:p>
        </w:tc>
      </w:tr>
      <w:tr>
        <w:trPr>
          <w:cantSplit/>
        </w:trPr>
        <w:tc>
          <w:tcPr>
            <w:tcW w:type="dxa" w:w="238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قاعدة "983 عميل" في دراسة الجدوى</w:t>
            </w:r>
          </w:p>
        </w:tc>
        <w:tc>
          <w:tcPr>
            <w:tcW w:type="dxa" w:w="226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983</w:t>
            </w:r>
          </w:p>
        </w:tc>
        <w:tc>
          <w:tcPr>
            <w:tcW w:type="dxa" w:w="425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تبدو قائمة فرعية/قديمة؛ تتعارض نطاقياً مع 8,858 الموحدة</w:t>
            </w:r>
          </w:p>
        </w:tc>
      </w:tr>
    </w:tbl>
    <w:p>
      <w:pPr>
        <w:spacing w:after="0"/>
        <w:widowControl/>
        <w:bidi w:val="1"/>
        <w:jc w:val="right"/>
      </w:pP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تاريخية] </w:t>
      </w:r>
      <w:r>
        <w:rPr>
          <w:rFonts w:ascii="Noto Sans Arabic" w:hAnsi="Noto Sans Arabic" w:eastAsia="Noto Sans Arabic" w:cs="Noto Sans Arabic"/>
          <w:b w:val="0"/>
          <w:color w:val="182B3A"/>
          <w:sz w:val="20"/>
          <w:rtl w:val="1"/>
        </w:rPr>
        <w:t>الموردون والعلاقات جزء من قيمة الاستحواذ، وملف قديم يذكر مورداً قوياً للأدهان/المخلطات/الورد. لا توجد قائمة حديثة موحدة بأسعار الموردين، شروط الائتمان، MOQ، الجودة ومخاطر الاعتماد.</w:t>
      </w:r>
      <w:r>
        <w:rPr>
          <w:rFonts w:ascii="Noto Sans Arabic" w:hAnsi="Noto Sans Arabic" w:eastAsia="Noto Sans Arabic" w:cs="Noto Sans Arabic"/>
          <w:b w:val="0"/>
          <w:color w:val="5A6369"/>
          <w:sz w:val="16"/>
          <w:rtl w:val="1"/>
        </w:rPr>
        <w:t xml:space="preserve">  — عرض الشركة + ملف الاستحواذ</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تاريخية] </w:t>
      </w:r>
      <w:r>
        <w:rPr>
          <w:rFonts w:ascii="Noto Sans Arabic" w:hAnsi="Noto Sans Arabic" w:eastAsia="Noto Sans Arabic" w:cs="Noto Sans Arabic"/>
          <w:b w:val="0"/>
          <w:color w:val="182B3A"/>
          <w:sz w:val="20"/>
          <w:rtl w:val="1"/>
        </w:rPr>
        <w:t>منصات/مزودون ظاهرون تاريخياً في الطلبات: سلة، أرامكس، Storage Station ومندوبون/ناقلون آخرون؛ لا نفترض استمرار العقود الحالية.</w:t>
      </w:r>
      <w:r>
        <w:rPr>
          <w:rFonts w:ascii="Noto Sans Arabic" w:hAnsi="Noto Sans Arabic" w:eastAsia="Noto Sans Arabic" w:cs="Noto Sans Arabic"/>
          <w:b w:val="0"/>
          <w:color w:val="5A6369"/>
          <w:sz w:val="16"/>
          <w:rtl w:val="1"/>
        </w:rPr>
        <w:t xml:space="preserve">  — DATA_VAULT</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ظهور تقييم جديد على سلة في 26 ديسمبر 2025، وسؤال عميل عن موقع جدة في 19 نوفمبر 2025، يؤكد وجود تفاعل عملاء حي قبل 2026؛ سؤال الموقع يفتح فرضية طلب تجربة/نقطة حضور لكنه لا يثبت الحاجة لفرع.</w:t>
      </w:r>
      <w:r>
        <w:rPr>
          <w:rFonts w:ascii="Noto Sans Arabic" w:hAnsi="Noto Sans Arabic" w:eastAsia="Noto Sans Arabic" w:cs="Noto Sans Arabic"/>
          <w:b w:val="0"/>
          <w:color w:val="5A6369"/>
          <w:sz w:val="16"/>
          <w:rtl w:val="1"/>
        </w:rPr>
        <w:t xml:space="preserve">  — Gmail/Salla</w:t>
      </w:r>
    </w:p>
    <w:p>
      <w:pPr>
        <w:pStyle w:val="Heading1"/>
        <w:keepNext/>
        <w:widowControl/>
        <w:bidi w:val="1"/>
        <w:jc w:val="right"/>
      </w:pPr>
      <w:r>
        <w:rPr>
          <w:rFonts w:ascii="Noto Sans Arabic" w:hAnsi="Noto Sans Arabic" w:eastAsia="Noto Sans Arabic" w:cs="Noto Sans Arabic"/>
          <w:b/>
          <w:color w:val="182B3A"/>
          <w:sz w:val="36"/>
          <w:rtl w:val="1"/>
        </w:rPr>
        <w:t>8. الأصول الحالية</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cantSplit/>
        </w:trPr>
        <w:tc>
          <w:tcPr>
            <w:tcW w:type="dxa" w:w="1814"/>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فئة الأصل</w:t>
            </w:r>
          </w:p>
        </w:tc>
        <w:tc>
          <w:tcPr>
            <w:tcW w:type="dxa" w:w="3118"/>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الأصل</w:t>
            </w:r>
          </w:p>
        </w:tc>
        <w:tc>
          <w:tcPr>
            <w:tcW w:type="dxa" w:w="3969"/>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الوضع الحالي/القيد</w:t>
            </w:r>
          </w:p>
        </w:tc>
      </w:tr>
      <w:tr>
        <w:trPr>
          <w:cantSplit/>
        </w:trPr>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العلامة</w:t>
            </w:r>
          </w:p>
        </w:tc>
        <w:tc>
          <w:tcPr>
            <w:tcW w:type="dxa" w:w="311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اسم فنجان عود + "عدل المود بفنجان عود" + تاريخ منذ 2017</w:t>
            </w:r>
          </w:p>
        </w:tc>
        <w:tc>
          <w:tcPr>
            <w:tcW w:type="dxa" w:w="3969"/>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أصل معروف، يحتاج تموضع أكثر وضوحاً</w:t>
            </w:r>
          </w:p>
        </w:tc>
      </w:tr>
      <w:tr>
        <w:trPr>
          <w:cantSplit/>
        </w:trPr>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رقمي</w:t>
            </w:r>
          </w:p>
        </w:tc>
        <w:tc>
          <w:tcPr>
            <w:tcW w:type="dxa" w:w="311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cupoud.com + متجر سلة</w:t>
            </w:r>
          </w:p>
        </w:tc>
        <w:tc>
          <w:tcPr>
            <w:tcW w:type="dxa" w:w="3969"/>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نشط؛ تجربة العملة/التحويل تحتاج تحقق سعودي</w:t>
            </w:r>
          </w:p>
        </w:tc>
      </w:tr>
      <w:tr>
        <w:trPr>
          <w:cantSplit/>
        </w:trPr>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قانوني/ثقة</w:t>
            </w:r>
          </w:p>
        </w:tc>
        <w:tc>
          <w:tcPr>
            <w:tcW w:type="dxa" w:w="311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رقم سجل تجاري ظاهر 7051162753 في الموقع وقت الفحص</w:t>
            </w:r>
          </w:p>
        </w:tc>
        <w:tc>
          <w:tcPr>
            <w:tcW w:type="dxa" w:w="3969"/>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يُراجع مع الوثائق الرسمية قبل استخدامه في صفقة</w:t>
            </w:r>
          </w:p>
        </w:tc>
      </w:tr>
      <w:tr>
        <w:trPr>
          <w:cantSplit/>
        </w:trPr>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بيانات</w:t>
            </w:r>
          </w:p>
        </w:tc>
        <w:tc>
          <w:tcPr>
            <w:tcW w:type="dxa" w:w="311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DATA_VAULT: 8,858 جهات / 11,354 طلب / 19,230 بند خام</w:t>
            </w:r>
          </w:p>
        </w:tc>
        <w:tc>
          <w:tcPr>
            <w:tcW w:type="dxa" w:w="3969"/>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قوي تاريخياً، لكنه يتوقف تقريباً عند 03-2023</w:t>
            </w:r>
          </w:p>
        </w:tc>
      </w:tr>
      <w:tr>
        <w:trPr>
          <w:cantSplit/>
        </w:trPr>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علاقات</w:t>
            </w:r>
          </w:p>
        </w:tc>
        <w:tc>
          <w:tcPr>
            <w:tcW w:type="dxa" w:w="311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6,759 واتساب + 4,163 بريد + 1,321 متكرر</w:t>
            </w:r>
          </w:p>
        </w:tc>
        <w:tc>
          <w:tcPr>
            <w:tcW w:type="dxa" w:w="3969"/>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قيمة كبيرة مع قيد الموافقة التسويقية</w:t>
            </w:r>
          </w:p>
        </w:tc>
      </w:tr>
      <w:tr>
        <w:trPr>
          <w:cantSplit/>
        </w:trPr>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صوت العميل</w:t>
            </w:r>
          </w:p>
        </w:tc>
        <w:tc>
          <w:tcPr>
            <w:tcW w:type="dxa" w:w="311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1,177 تقييم</w:t>
            </w:r>
          </w:p>
        </w:tc>
        <w:tc>
          <w:tcPr>
            <w:tcW w:type="dxa" w:w="3969"/>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غير كافٍ لقياس الرضا بسبب تجانس 5/5</w:t>
            </w:r>
          </w:p>
        </w:tc>
      </w:tr>
      <w:tr>
        <w:trPr>
          <w:cantSplit/>
        </w:trPr>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معرفة</w:t>
            </w:r>
          </w:p>
        </w:tc>
        <w:tc>
          <w:tcPr>
            <w:tcW w:type="dxa" w:w="311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KNOWLEDGE_DECISION_OS + SUCCESS_REPLICATION_OS + سجل قرارات وتجارب</w:t>
            </w:r>
          </w:p>
        </w:tc>
        <w:tc>
          <w:tcPr>
            <w:tcW w:type="dxa" w:w="3969"/>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بنية قرار جيدة</w:t>
            </w:r>
          </w:p>
        </w:tc>
      </w:tr>
      <w:tr>
        <w:trPr>
          <w:cantSplit/>
        </w:trPr>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Drive</w:t>
            </w:r>
          </w:p>
        </w:tc>
        <w:tc>
          <w:tcPr>
            <w:tcW w:type="dxa" w:w="311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جرد 4,704 أصل 2017-2026</w:t>
            </w:r>
          </w:p>
        </w:tc>
        <w:tc>
          <w:tcPr>
            <w:tcW w:type="dxa" w:w="3969"/>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الأسماء/الوصف مجرودة؛ المحتوى الكامل غير محلل</w:t>
            </w:r>
          </w:p>
        </w:tc>
      </w:tr>
      <w:tr>
        <w:trPr>
          <w:cantSplit/>
        </w:trPr>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محتوى</w:t>
            </w:r>
          </w:p>
        </w:tc>
        <w:tc>
          <w:tcPr>
            <w:tcW w:type="dxa" w:w="311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جدول صناعة المحتوى + صور منتجات + مدونة SEO</w:t>
            </w:r>
          </w:p>
        </w:tc>
        <w:tc>
          <w:tcPr>
            <w:tcW w:type="dxa" w:w="3969"/>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يحتاج ربط بالـSKU والنتيجة</w:t>
            </w:r>
          </w:p>
        </w:tc>
      </w:tr>
      <w:tr>
        <w:trPr>
          <w:cantSplit/>
        </w:trPr>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بريد</w:t>
            </w:r>
          </w:p>
        </w:tc>
        <w:tc>
          <w:tcPr>
            <w:tcW w:type="dxa" w:w="311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cup.oud@gmail.com / cup.oud2@gmail.com / finjnoudhest@gmail.com في Hub سابق</w:t>
            </w:r>
          </w:p>
        </w:tc>
        <w:tc>
          <w:tcPr>
            <w:tcW w:type="dxa" w:w="3969"/>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تعدد حسابات وصلاحيات؛ التخزين/الملكية بحاجة ضبط</w:t>
            </w:r>
          </w:p>
        </w:tc>
      </w:tr>
      <w:tr>
        <w:trPr>
          <w:cantSplit/>
        </w:trPr>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منصات اجتماعية</w:t>
            </w:r>
          </w:p>
        </w:tc>
        <w:tc>
          <w:tcPr>
            <w:tcW w:type="dxa" w:w="311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حسابات تاريخية متعددة</w:t>
            </w:r>
          </w:p>
        </w:tc>
        <w:tc>
          <w:tcPr>
            <w:tcW w:type="dxa" w:w="3969"/>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IDs/الملكية/الصلاحيات غير مكتملة في الجرد</w:t>
            </w:r>
          </w:p>
        </w:tc>
      </w:tr>
      <w:tr>
        <w:trPr>
          <w:cantSplit/>
        </w:trPr>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منتجات/معرفة تصنيع</w:t>
            </w:r>
          </w:p>
        </w:tc>
        <w:tc>
          <w:tcPr>
            <w:tcW w:type="dxa" w:w="311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تركيبات/خلطات/مورّدون/كتالوج</w:t>
            </w:r>
          </w:p>
        </w:tc>
        <w:tc>
          <w:tcPr>
            <w:tcW w:type="dxa" w:w="3969"/>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قيمة استحواذية؛ المخزون الحالي والتكلفة غير محسومين</w:t>
            </w:r>
          </w:p>
        </w:tc>
      </w:tr>
    </w:tbl>
    <w:p>
      <w:pPr>
        <w:spacing w:after="0"/>
        <w:widowControl/>
        <w:bidi w:val="1"/>
        <w:jc w:val="right"/>
      </w:pP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هناك أصول تحليل لم تُفتح بعمق بعد: Snap Ads Transactions 2021-10-23—2022-01-23، الجدول الشهري للحملات، cupoud.com Performance on Search 2021، وقوائم Cupoud Customers. هذه مرشحة P0/P1 لاستخراج سبب الذروة.</w:t>
      </w:r>
      <w:r>
        <w:rPr>
          <w:rFonts w:ascii="Noto Sans Arabic" w:hAnsi="Noto Sans Arabic" w:eastAsia="Noto Sans Arabic" w:cs="Noto Sans Arabic"/>
          <w:b w:val="0"/>
          <w:color w:val="5A6369"/>
          <w:sz w:val="16"/>
          <w:rtl w:val="1"/>
        </w:rPr>
        <w:t xml:space="preserve">  — خريطة الأدلة SUCCESS_REPLICATION_OS</w:t>
      </w:r>
    </w:p>
    <w:p>
      <w:pPr>
        <w:pStyle w:val="Heading1"/>
        <w:keepNext/>
        <w:widowControl/>
        <w:bidi w:val="1"/>
        <w:jc w:val="right"/>
      </w:pPr>
      <w:r>
        <w:rPr>
          <w:rFonts w:ascii="Noto Sans Arabic" w:hAnsi="Noto Sans Arabic" w:eastAsia="Noto Sans Arabic" w:cs="Noto Sans Arabic"/>
          <w:b/>
          <w:color w:val="182B3A"/>
          <w:sz w:val="36"/>
          <w:rtl w:val="1"/>
        </w:rPr>
        <w:t>9. العمليات والفريق والمسؤوليات</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النظام المقترح يفصل القيادة عن التنفيذ: الزبير يتولى التوجيه واعتماد الفرضية والقرار؛ موظف فنجان عود ينفذ المحتوى، التواصل، التسجيل والمتابعة اليومية.</w:t>
      </w:r>
      <w:r>
        <w:rPr>
          <w:rFonts w:ascii="Noto Sans Arabic" w:hAnsi="Noto Sans Arabic" w:eastAsia="Noto Sans Arabic" w:cs="Noto Sans Arabic"/>
          <w:b w:val="0"/>
          <w:color w:val="5A6369"/>
          <w:sz w:val="16"/>
          <w:rtl w:val="1"/>
        </w:rPr>
        <w:t xml:space="preserve">  — KNOWLEDGE_DECISION_OS</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rPr>
          <w:tblHeader w:val="true"/>
          <w:cantSplit/>
        </w:trPr>
        <w:tc>
          <w:tcPr>
            <w:tcW w:type="dxa" w:w="1701"/>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7"/>
                <w:rtl w:val="1"/>
              </w:rPr>
              <w:t>الفترة</w:t>
            </w:r>
          </w:p>
        </w:tc>
        <w:tc>
          <w:tcPr>
            <w:tcW w:type="dxa" w:w="2721"/>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7"/>
                <w:rtl w:val="1"/>
              </w:rPr>
              <w:t>دور القيادة</w:t>
            </w:r>
          </w:p>
        </w:tc>
        <w:tc>
          <w:tcPr>
            <w:tcW w:type="dxa" w:w="2835"/>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7"/>
                <w:rtl w:val="1"/>
              </w:rPr>
              <w:t>دور الموظف</w:t>
            </w:r>
          </w:p>
        </w:tc>
        <w:tc>
          <w:tcPr>
            <w:tcW w:type="dxa" w:w="2835"/>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7"/>
                <w:rtl w:val="1"/>
              </w:rPr>
              <w:t>بوابة الانتقال</w:t>
            </w:r>
          </w:p>
        </w:tc>
      </w:tr>
      <w:tr>
        <w:trPr>
          <w:cantSplit/>
        </w:trPr>
        <w:tc>
          <w:tcPr>
            <w:tcW w:type="dxa" w:w="170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اليوم 1-14</w:t>
            </w:r>
          </w:p>
        </w:tc>
        <w:tc>
          <w:tcPr>
            <w:tcW w:type="dxa" w:w="272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متابعة يومية واعتماد القرار</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تنفيذ المحتوى والتواصل والتسجيل</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اكتمال السجل وجودة التنفيذ</w:t>
            </w:r>
          </w:p>
        </w:tc>
      </w:tr>
      <w:tr>
        <w:trPr>
          <w:cantSplit/>
        </w:trPr>
        <w:tc>
          <w:tcPr>
            <w:tcW w:type="dxa" w:w="170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اليوم 15-30</w:t>
            </w:r>
          </w:p>
        </w:tc>
        <w:tc>
          <w:tcPr>
            <w:tcW w:type="dxa" w:w="272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مراجعة النتائج والاستثناءات</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اقتراح فرضية وتنفيذ ثم رفع القرار</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ثبات الجودة دون اعتماد دائم</w:t>
            </w:r>
          </w:p>
        </w:tc>
      </w:tr>
      <w:tr>
        <w:trPr>
          <w:cantSplit/>
        </w:trPr>
        <w:tc>
          <w:tcPr>
            <w:tcW w:type="dxa" w:w="170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بعد 30</w:t>
            </w:r>
          </w:p>
        </w:tc>
        <w:tc>
          <w:tcPr>
            <w:tcW w:type="dxa" w:w="272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قرار أسبوعي وتوجيه استراتيجي</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تشغيل يومي مستقل</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مبيعات + هوامش + معرفة قابلة للتكرار</w:t>
            </w:r>
          </w:p>
        </w:tc>
      </w:tr>
    </w:tbl>
    <w:p>
      <w:pPr>
        <w:spacing w:after="0"/>
        <w:widowControl/>
        <w:bidi w:val="1"/>
        <w:jc w:val="right"/>
      </w:pP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وتيرة التشغيل: ساعة قرار/تعلم يومياً، 2 محتوى، 10-15 محادثة عميل، مع حفظ المنتج/الشريحة/الفرضية/CTA/الرد/الاعتراض/الطلب.</w:t>
      </w:r>
      <w:r>
        <w:rPr>
          <w:rFonts w:ascii="Noto Sans Arabic" w:hAnsi="Noto Sans Arabic" w:eastAsia="Noto Sans Arabic" w:cs="Noto Sans Arabic"/>
          <w:b w:val="0"/>
          <w:color w:val="5A6369"/>
          <w:sz w:val="16"/>
          <w:rtl w:val="1"/>
        </w:rPr>
        <w:t xml:space="preserve">  — تحدي النمو 30 يوم</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لكن سجل الأيام 23-31 أغسطس وحتى 1 سبتمبر يظهر أصفاراً وحالة "لم يبدأ" للموظف؛ لا يوجد دليل تنفيذ كافٍ حتى تاريخ القطع.</w:t>
      </w:r>
      <w:r>
        <w:rPr>
          <w:rFonts w:ascii="Noto Sans Arabic" w:hAnsi="Noto Sans Arabic" w:eastAsia="Noto Sans Arabic" w:cs="Noto Sans Arabic"/>
          <w:b w:val="0"/>
          <w:color w:val="5A6369"/>
          <w:sz w:val="16"/>
          <w:rtl w:val="1"/>
        </w:rPr>
        <w:t xml:space="preserve">  — 09_سجل_النمو_اليومي</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إجراء العنوان الوطني المعتمد للطلبات القادمة من واتساب: دفع العميل إلى Checkout سلة أولاً؛ بعد تسجيل/دفع الطلب يُطلب العنوان المختصر فقط، تذكير واحد، ثم إبقاء الطلب معلقاً إن لم يرد، مع خيار مساعدة.</w:t>
      </w:r>
      <w:r>
        <w:rPr>
          <w:rFonts w:ascii="Noto Sans Arabic" w:hAnsi="Noto Sans Arabic" w:eastAsia="Noto Sans Arabic" w:cs="Noto Sans Arabic"/>
          <w:b w:val="0"/>
          <w:color w:val="5A6369"/>
          <w:sz w:val="16"/>
          <w:rtl w:val="1"/>
        </w:rPr>
        <w:t xml:space="preserve">  — مراجعة ما قبل الإطلاق + محادثة المشروع</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البريد أظهر إتمام تسجيل موظف في سلة في 12 نوفمبر 2025، لكنه لا يكفي لتحديد الفريق الحالي أو الصلاحيات الدقيقة.</w:t>
      </w:r>
      <w:r>
        <w:rPr>
          <w:rFonts w:ascii="Noto Sans Arabic" w:hAnsi="Noto Sans Arabic" w:eastAsia="Noto Sans Arabic" w:cs="Noto Sans Arabic"/>
          <w:b w:val="0"/>
          <w:color w:val="5A6369"/>
          <w:sz w:val="16"/>
          <w:rtl w:val="1"/>
        </w:rPr>
        <w:t xml:space="preserve">  — Gmail/Salla</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A03232"/>
          <w:sz w:val="18"/>
          <w:rtl w:val="1"/>
        </w:rPr>
        <w:t xml:space="preserve">[غير محسوم] </w:t>
      </w:r>
      <w:r>
        <w:rPr>
          <w:rFonts w:ascii="Noto Sans Arabic" w:hAnsi="Noto Sans Arabic" w:eastAsia="Noto Sans Arabic" w:cs="Noto Sans Arabic"/>
          <w:b w:val="0"/>
          <w:color w:val="182B3A"/>
          <w:sz w:val="20"/>
          <w:rtl w:val="1"/>
        </w:rPr>
        <w:t>لا توجد في المصادر قائمة فريق حالية كاملة بأسماء ومسؤوليات/دوام/تكلفة؛ يجب ألا نفترض أكثر من الأدوار المذكورة أعلاه.</w:t>
      </w:r>
      <w:r>
        <w:rPr>
          <w:rFonts w:ascii="Noto Sans Arabic" w:hAnsi="Noto Sans Arabic" w:eastAsia="Noto Sans Arabic" w:cs="Noto Sans Arabic"/>
          <w:b w:val="0"/>
          <w:color w:val="5A6369"/>
          <w:sz w:val="16"/>
          <w:rtl w:val="1"/>
        </w:rPr>
        <w:t xml:space="preserve">  — المصادر المتاحة</w:t>
      </w:r>
    </w:p>
    <w:p>
      <w:pPr>
        <w:pStyle w:val="Heading1"/>
        <w:keepNext/>
        <w:widowControl/>
        <w:bidi w:val="1"/>
        <w:jc w:val="right"/>
      </w:pPr>
      <w:r>
        <w:rPr>
          <w:rFonts w:ascii="Noto Sans Arabic" w:hAnsi="Noto Sans Arabic" w:eastAsia="Noto Sans Arabic" w:cs="Noto Sans Arabic"/>
          <w:b/>
          <w:color w:val="182B3A"/>
          <w:sz w:val="36"/>
          <w:rtl w:val="1"/>
        </w:rPr>
        <w:t>10. الفرص الحالية والمحتملة</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إعادة تنشيط العملاء المتكررين ومرتفعَي القيمة: 1,321 متكرراً مع تاريخ طلب يسمح بتخصيص الرسالة، بعد إثبات الموافقة والقناة.</w:t>
      </w:r>
      <w:r>
        <w:rPr>
          <w:rFonts w:ascii="Noto Sans Arabic" w:hAnsi="Noto Sans Arabic" w:eastAsia="Noto Sans Arabic" w:cs="Noto Sans Arabic"/>
          <w:b w:val="0"/>
          <w:color w:val="5A6369"/>
          <w:sz w:val="16"/>
          <w:rtl w:val="1"/>
        </w:rPr>
        <w:t xml:space="preserve">  — KNOWLEDGE_DECISION_OS</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إعادة بناء عرض بطل من DNA نجاح C52: المنتج/العرض ظهر في 5,205 طلبات ذروة، لكن يُعاد تعريفه بالهامش والهوية الحالية لا بنسخ السعر القديم.</w:t>
      </w:r>
      <w:r>
        <w:rPr>
          <w:rFonts w:ascii="Noto Sans Arabic" w:hAnsi="Noto Sans Arabic" w:eastAsia="Noto Sans Arabic" w:cs="Noto Sans Arabic"/>
          <w:b w:val="0"/>
          <w:color w:val="5A6369"/>
          <w:sz w:val="16"/>
          <w:rtl w:val="1"/>
        </w:rPr>
        <w:t xml:space="preserve">  — SUCCESS_REPLICATION_OS</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تركيز المدن الأربع: الرياض، جدة، المدينة، مكة تمثل كتلة طلب كبيرة؛ يمكن فصل الاستهداف والشحن والرسائل ومقارنة CAC/CVR.</w:t>
      </w:r>
      <w:r>
        <w:rPr>
          <w:rFonts w:ascii="Noto Sans Arabic" w:hAnsi="Noto Sans Arabic" w:eastAsia="Noto Sans Arabic" w:cs="Noto Sans Arabic"/>
          <w:b w:val="0"/>
          <w:color w:val="5A6369"/>
          <w:sz w:val="16"/>
          <w:rtl w:val="1"/>
        </w:rPr>
        <w:t xml:space="preserve">  — بيانات المدن</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هدايا وباقات مناسبة: بكج 96، صندوق موسمي، باقات البيت/الهدية يمكن أن ترفع AOV وتقلل حيرة العميل، بشرط هامش مساهمة ≥25% ومخزون قابل للتصريف بعد الموسم.</w:t>
      </w:r>
      <w:r>
        <w:rPr>
          <w:rFonts w:ascii="Noto Sans Arabic" w:hAnsi="Noto Sans Arabic" w:eastAsia="Noto Sans Arabic" w:cs="Noto Sans Arabic"/>
          <w:b w:val="0"/>
          <w:color w:val="5A6369"/>
          <w:sz w:val="16"/>
          <w:rtl w:val="1"/>
        </w:rPr>
        <w:t xml:space="preserve">  — مراجعة الإطلاق</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تحويل قاعدة المعرفة نفسها إلى نظام تشغيل/تشخيص قابل للنسخ على متاجر أخرى وشركات خدمية: أكبر أصل غير مستغل هو المنهج وليس ملف Excel بعينه.</w:t>
      </w:r>
      <w:r>
        <w:rPr>
          <w:rFonts w:ascii="Noto Sans Arabic" w:hAnsi="Noto Sans Arabic" w:eastAsia="Noto Sans Arabic" w:cs="Noto Sans Arabic"/>
          <w:b w:val="0"/>
          <w:color w:val="5A6369"/>
          <w:sz w:val="16"/>
          <w:rtl w:val="1"/>
        </w:rPr>
        <w:t xml:space="preserve">  — التحليل الحالي</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9E7636"/>
          <w:sz w:val="18"/>
          <w:rtl w:val="1"/>
        </w:rPr>
        <w:t xml:space="preserve">[افتراض] </w:t>
      </w:r>
      <w:r>
        <w:rPr>
          <w:rFonts w:ascii="Noto Sans Arabic" w:hAnsi="Noto Sans Arabic" w:eastAsia="Noto Sans Arabic" w:cs="Noto Sans Arabic"/>
          <w:b w:val="0"/>
          <w:color w:val="182B3A"/>
          <w:sz w:val="20"/>
          <w:rtl w:val="1"/>
        </w:rPr>
        <w:t>B2B انتقائي (هدايا شركات/جملة) فرصة، لكن يجب أولاً توثيق قاعدة الجملة القديمة وصافي هامشها وتكاليف الخدمة.</w:t>
      </w:r>
      <w:r>
        <w:rPr>
          <w:rFonts w:ascii="Noto Sans Arabic" w:hAnsi="Noto Sans Arabic" w:eastAsia="Noto Sans Arabic" w:cs="Noto Sans Arabic"/>
          <w:b w:val="0"/>
          <w:color w:val="5A6369"/>
          <w:sz w:val="16"/>
          <w:rtl w:val="1"/>
        </w:rPr>
        <w:t xml:space="preserve">  — دراسة الجدوى</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الخليج فرصة لاحقة، لكن لا يفتح أكثر من سوق قبل إثبات وحدة اقتصاد مربحة في السعودية وقابلية الشحن النظامي للعود.</w:t>
      </w:r>
      <w:r>
        <w:rPr>
          <w:rFonts w:ascii="Noto Sans Arabic" w:hAnsi="Noto Sans Arabic" w:eastAsia="Noto Sans Arabic" w:cs="Noto Sans Arabic"/>
          <w:b w:val="0"/>
          <w:color w:val="5A6369"/>
          <w:sz w:val="16"/>
          <w:rtl w:val="1"/>
        </w:rPr>
        <w:t xml:space="preserve">  — دراسة الجدوى</w:t>
      </w:r>
    </w:p>
    <w:p>
      <w:pPr>
        <w:pStyle w:val="Heading1"/>
        <w:keepNext/>
        <w:widowControl/>
        <w:bidi w:val="1"/>
        <w:jc w:val="right"/>
      </w:pPr>
      <w:r>
        <w:rPr>
          <w:rFonts w:ascii="Noto Sans Arabic" w:hAnsi="Noto Sans Arabic" w:eastAsia="Noto Sans Arabic" w:cs="Noto Sans Arabic"/>
          <w:b/>
          <w:color w:val="182B3A"/>
          <w:sz w:val="36"/>
          <w:rtl w:val="1"/>
        </w:rPr>
        <w:t>11. الصفقات والمفاوضات المفتوحة</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تم إعداد ملف استحواذ كامل لفنجان عود في أغسطس 2026: بيع 100% من المشروع والأصول المتفق عليها، اتفاق انتقال معرفة، أتعاب استشارية للمؤسس، وحافز أداء.</w:t>
      </w:r>
      <w:r>
        <w:rPr>
          <w:rFonts w:ascii="Noto Sans Arabic" w:hAnsi="Noto Sans Arabic" w:eastAsia="Noto Sans Arabic" w:cs="Noto Sans Arabic"/>
          <w:b w:val="0"/>
          <w:color w:val="5A6369"/>
          <w:sz w:val="16"/>
          <w:rtl w:val="1"/>
        </w:rPr>
        <w:t xml:space="preserve">  — Funjan_Oud_Acquisition_Premium_Redesign</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المشتري المستهدف Operator-Buyer: مالك يشغل ويطور، لديه رأس مال وفريق وخبرة تجارة/عطور أو تجارة إلكترونية، ويرى قيمة البيانات والمعرفة لا المخزون فقط.</w:t>
      </w:r>
      <w:r>
        <w:rPr>
          <w:rFonts w:ascii="Noto Sans Arabic" w:hAnsi="Noto Sans Arabic" w:eastAsia="Noto Sans Arabic" w:cs="Noto Sans Arabic"/>
          <w:b w:val="0"/>
          <w:color w:val="5A6369"/>
          <w:sz w:val="16"/>
          <w:rtl w:val="1"/>
        </w:rPr>
        <w:t xml:space="preserve">  — ملف الاستحواذ</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خطة انتقال المؤسس المقترحة 12 شهراً: 1-3 نقل معرفة وعلاقات، 4-6 تدريب، 7-9 الفريق يدير والمؤسس يراجع، 10-12 استقلالية.</w:t>
      </w:r>
      <w:r>
        <w:rPr>
          <w:rFonts w:ascii="Noto Sans Arabic" w:hAnsi="Noto Sans Arabic" w:eastAsia="Noto Sans Arabic" w:cs="Noto Sans Arabic"/>
          <w:b w:val="0"/>
          <w:color w:val="5A6369"/>
          <w:sz w:val="16"/>
          <w:rtl w:val="1"/>
        </w:rPr>
        <w:t xml:space="preserve">  — ملف الاستحواذ</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A03232"/>
          <w:sz w:val="18"/>
          <w:rtl w:val="1"/>
        </w:rPr>
        <w:t xml:space="preserve">[غير محسوم] </w:t>
      </w:r>
      <w:r>
        <w:rPr>
          <w:rFonts w:ascii="Noto Sans Arabic" w:hAnsi="Noto Sans Arabic" w:eastAsia="Noto Sans Arabic" w:cs="Noto Sans Arabic"/>
          <w:b w:val="0"/>
          <w:color w:val="182B3A"/>
          <w:sz w:val="20"/>
          <w:rtl w:val="1"/>
        </w:rPr>
        <w:t>لا يوجد في المصادر المراجعة اسم مشتري مؤكد، عرض سعر، LOI، عربون، Due Diligence أو تاريخ إغلاق. لذلك "الاستحواذ" حالياً مسار عرض/تجهيز صفقة وليس صفقة مثبتة.</w:t>
      </w:r>
      <w:r>
        <w:rPr>
          <w:rFonts w:ascii="Noto Sans Arabic" w:hAnsi="Noto Sans Arabic" w:eastAsia="Noto Sans Arabic" w:cs="Noto Sans Arabic"/>
          <w:b w:val="0"/>
          <w:color w:val="5A6369"/>
          <w:sz w:val="16"/>
          <w:rtl w:val="1"/>
        </w:rPr>
        <w:t xml:space="preserve">  — المصادر المتاحة</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A03232"/>
          <w:sz w:val="18"/>
          <w:rtl w:val="1"/>
        </w:rPr>
        <w:t xml:space="preserve">[تعارض] </w:t>
      </w:r>
      <w:r>
        <w:rPr>
          <w:rFonts w:ascii="Noto Sans Arabic" w:hAnsi="Noto Sans Arabic" w:eastAsia="Noto Sans Arabic" w:cs="Noto Sans Arabic"/>
          <w:b w:val="0"/>
          <w:color w:val="182B3A"/>
          <w:sz w:val="20"/>
          <w:rtl w:val="1"/>
        </w:rPr>
        <w:t>عرض استثماري أقدم قيّم المشروع 1.25 مليون ريال وطلب 250 ألف مقابل 20% مع أفق 3 سنوات؛ هذا هيكل تاريخي مختلف عن الاستحواذ الكامل ويجب عدم خلطه بعرض البيع الحالي.</w:t>
      </w:r>
      <w:r>
        <w:rPr>
          <w:rFonts w:ascii="Noto Sans Arabic" w:hAnsi="Noto Sans Arabic" w:eastAsia="Noto Sans Arabic" w:cs="Noto Sans Arabic"/>
          <w:b w:val="0"/>
          <w:color w:val="5A6369"/>
          <w:sz w:val="16"/>
          <w:rtl w:val="1"/>
        </w:rPr>
        <w:t xml:space="preserve">  — عرض فنجان عود القديم vs ملف الاستحواذ 2026</w:t>
      </w:r>
    </w:p>
    <w:p>
      <w:pPr>
        <w:pStyle w:val="Heading1"/>
        <w:keepNext/>
        <w:widowControl/>
        <w:bidi w:val="1"/>
        <w:jc w:val="right"/>
      </w:pPr>
      <w:r>
        <w:rPr>
          <w:rFonts w:ascii="Noto Sans Arabic" w:hAnsi="Noto Sans Arabic" w:eastAsia="Noto Sans Arabic" w:cs="Noto Sans Arabic"/>
          <w:b/>
          <w:color w:val="182B3A"/>
          <w:sz w:val="36"/>
          <w:rtl w:val="1"/>
        </w:rPr>
        <w:t>12. المشاكل والاختناقات والمخاطر</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rPr>
          <w:tblHeader w:val="true"/>
          <w:cantSplit/>
        </w:trPr>
        <w:tc>
          <w:tcPr>
            <w:tcW w:type="dxa" w:w="2835"/>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المشكلة/الخطر</w:t>
            </w:r>
          </w:p>
        </w:tc>
        <w:tc>
          <w:tcPr>
            <w:tcW w:type="dxa" w:w="3118"/>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الدليل</w:t>
            </w:r>
          </w:p>
        </w:tc>
        <w:tc>
          <w:tcPr>
            <w:tcW w:type="dxa" w:w="2948"/>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الأثر</w:t>
            </w:r>
          </w:p>
        </w:tc>
        <w:tc>
          <w:tcPr>
            <w:tcW w:type="dxa" w:w="1304"/>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الأولوية</w:t>
            </w:r>
          </w:p>
        </w:tc>
      </w:tr>
      <w:tr>
        <w:trPr>
          <w:cantSplit/>
        </w:trPr>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البيانات الحالية غير مكتملة</w:t>
            </w:r>
          </w:p>
        </w:tc>
        <w:tc>
          <w:tcPr>
            <w:tcW w:type="dxa" w:w="311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القاعدة المنظمة تتوقف تقريباً 03-2023</w:t>
            </w:r>
          </w:p>
        </w:tc>
        <w:tc>
          <w:tcPr>
            <w:tcW w:type="dxa" w:w="294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قرارات 2026 قد تُبنى على سلوك قديم</w:t>
            </w:r>
          </w:p>
        </w:tc>
        <w:tc>
          <w:tcPr>
            <w:tcW w:type="dxa" w:w="130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حرجة</w:t>
            </w:r>
          </w:p>
        </w:tc>
      </w:tr>
      <w:tr>
        <w:trPr>
          <w:cantSplit/>
        </w:trPr>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هامش SKU غير معروف</w:t>
            </w:r>
          </w:p>
        </w:tc>
        <w:tc>
          <w:tcPr>
            <w:tcW w:type="dxa" w:w="311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لا تكلفة/شحن/إلغاء حديثة مرتبطة بكل عرض</w:t>
            </w:r>
          </w:p>
        </w:tc>
        <w:tc>
          <w:tcPr>
            <w:tcW w:type="dxa" w:w="294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قد تُضاعف المبيعات وتضاعف الخسارة</w:t>
            </w:r>
          </w:p>
        </w:tc>
        <w:tc>
          <w:tcPr>
            <w:tcW w:type="dxa" w:w="130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حرجة</w:t>
            </w:r>
          </w:p>
        </w:tc>
      </w:tr>
      <w:tr>
        <w:trPr>
          <w:cantSplit/>
        </w:trPr>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قياس التحويل غير مُثبت بالكامل</w:t>
            </w:r>
          </w:p>
        </w:tc>
        <w:tc>
          <w:tcPr>
            <w:tcW w:type="dxa" w:w="311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يجب مطابقة Purchase/GA4/SAR/transaction_id مع سلة</w:t>
            </w:r>
          </w:p>
        </w:tc>
        <w:tc>
          <w:tcPr>
            <w:tcW w:type="dxa" w:w="294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لا يمكن حساب CAC/ROAS موثوق</w:t>
            </w:r>
          </w:p>
        </w:tc>
        <w:tc>
          <w:tcPr>
            <w:tcW w:type="dxa" w:w="130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حرجة</w:t>
            </w:r>
          </w:p>
        </w:tc>
      </w:tr>
      <w:tr>
        <w:trPr>
          <w:cantSplit/>
        </w:trPr>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التنفيذ متعثر</w:t>
            </w:r>
          </w:p>
        </w:tc>
        <w:tc>
          <w:tcPr>
            <w:tcW w:type="dxa" w:w="311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سجل النمو اليومي أصفار وحالة لم يبدأ</w:t>
            </w:r>
          </w:p>
        </w:tc>
        <w:tc>
          <w:tcPr>
            <w:tcW w:type="dxa" w:w="294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النظام يتحول إلى ملفات بلا نتائج</w:t>
            </w:r>
          </w:p>
        </w:tc>
        <w:tc>
          <w:tcPr>
            <w:tcW w:type="dxa" w:w="130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حرجة</w:t>
            </w:r>
          </w:p>
        </w:tc>
      </w:tr>
      <w:tr>
        <w:trPr>
          <w:cantSplit/>
        </w:trPr>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موافقة التسويق غير مثبتة</w:t>
            </w:r>
          </w:p>
        </w:tc>
        <w:tc>
          <w:tcPr>
            <w:tcW w:type="dxa" w:w="311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واتساب/بريد ضخم لكن consent غير موثق</w:t>
            </w:r>
          </w:p>
        </w:tc>
        <w:tc>
          <w:tcPr>
            <w:tcW w:type="dxa" w:w="294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مخاطر قانونية وسمعة وحظر</w:t>
            </w:r>
          </w:p>
        </w:tc>
        <w:tc>
          <w:tcPr>
            <w:tcW w:type="dxa" w:w="130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عالية</w:t>
            </w:r>
          </w:p>
        </w:tc>
      </w:tr>
      <w:tr>
        <w:trPr>
          <w:cantSplit/>
        </w:trPr>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هوية عرض C52 غير محسومة</w:t>
            </w:r>
          </w:p>
        </w:tc>
        <w:tc>
          <w:tcPr>
            <w:tcW w:type="dxa" w:w="311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SKU تاريخي/اسم حالي غير مربوط</w:t>
            </w:r>
          </w:p>
        </w:tc>
        <w:tc>
          <w:tcPr>
            <w:tcW w:type="dxa" w:w="294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نسخ نجاح غير صحيح</w:t>
            </w:r>
          </w:p>
        </w:tc>
        <w:tc>
          <w:tcPr>
            <w:tcW w:type="dxa" w:w="130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عالية</w:t>
            </w:r>
          </w:p>
        </w:tc>
      </w:tr>
      <w:tr>
        <w:trPr>
          <w:cantSplit/>
        </w:trPr>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ثقة الصفحة</w:t>
            </w:r>
          </w:p>
        </w:tc>
        <w:tc>
          <w:tcPr>
            <w:tcW w:type="dxa" w:w="311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الشحن/الدفع/المراجعات/العملة تحتاج وضوح</w:t>
            </w:r>
          </w:p>
        </w:tc>
        <w:tc>
          <w:tcPr>
            <w:tcW w:type="dxa" w:w="294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CVR أقل وCAC أعلى</w:t>
            </w:r>
          </w:p>
        </w:tc>
        <w:tc>
          <w:tcPr>
            <w:tcW w:type="dxa" w:w="130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عالية</w:t>
            </w:r>
          </w:p>
        </w:tc>
      </w:tr>
      <w:tr>
        <w:trPr>
          <w:cantSplit/>
        </w:trPr>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التقييمات منحازة</w:t>
            </w:r>
          </w:p>
        </w:tc>
        <w:tc>
          <w:tcPr>
            <w:tcW w:type="dxa" w:w="311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1,177 كلها 5/5</w:t>
            </w:r>
          </w:p>
        </w:tc>
        <w:tc>
          <w:tcPr>
            <w:tcW w:type="dxa" w:w="294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قراءة رضا زائفة</w:t>
            </w:r>
          </w:p>
        </w:tc>
        <w:tc>
          <w:tcPr>
            <w:tcW w:type="dxa" w:w="130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متوسطة</w:t>
            </w:r>
          </w:p>
        </w:tc>
      </w:tr>
      <w:tr>
        <w:trPr>
          <w:cantSplit/>
        </w:trPr>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ملكية الأصول الرقمية</w:t>
            </w:r>
          </w:p>
        </w:tc>
        <w:tc>
          <w:tcPr>
            <w:tcW w:type="dxa" w:w="311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IDs وصلاحيات الاجتماعية غير مكتملة</w:t>
            </w:r>
          </w:p>
        </w:tc>
        <w:tc>
          <w:tcPr>
            <w:tcW w:type="dxa" w:w="294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خطر تشغيل/صفقة</w:t>
            </w:r>
          </w:p>
        </w:tc>
        <w:tc>
          <w:tcPr>
            <w:tcW w:type="dxa" w:w="130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عالية</w:t>
            </w:r>
          </w:p>
        </w:tc>
      </w:tr>
      <w:tr>
        <w:trPr>
          <w:cantSplit/>
        </w:trPr>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ديون تاريخية غير مسوّاة بالمصدر الحالي</w:t>
            </w:r>
          </w:p>
        </w:tc>
        <w:tc>
          <w:tcPr>
            <w:tcW w:type="dxa" w:w="311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96.8 ألف في عرض قديم</w:t>
            </w:r>
          </w:p>
        </w:tc>
        <w:tc>
          <w:tcPr>
            <w:tcW w:type="dxa" w:w="294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قد تؤثر على valuation/DD</w:t>
            </w:r>
          </w:p>
        </w:tc>
        <w:tc>
          <w:tcPr>
            <w:tcW w:type="dxa" w:w="130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عالية</w:t>
            </w:r>
          </w:p>
        </w:tc>
      </w:tr>
      <w:tr>
        <w:trPr>
          <w:cantSplit/>
        </w:trPr>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اعتماد تاريخي على COD</w:t>
            </w:r>
          </w:p>
        </w:tc>
        <w:tc>
          <w:tcPr>
            <w:tcW w:type="dxa" w:w="311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قريب من نصف الطلبات في الذروة</w:t>
            </w:r>
          </w:p>
        </w:tc>
        <w:tc>
          <w:tcPr>
            <w:tcW w:type="dxa" w:w="294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إلغاء/عدم استلام وتكلفة نقدية مجهولة</w:t>
            </w:r>
          </w:p>
        </w:tc>
        <w:tc>
          <w:tcPr>
            <w:tcW w:type="dxa" w:w="130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متوسطة</w:t>
            </w:r>
          </w:p>
        </w:tc>
      </w:tr>
      <w:tr>
        <w:trPr>
          <w:cantSplit/>
        </w:trPr>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تشتت المنتج والتموضع</w:t>
            </w:r>
          </w:p>
        </w:tc>
        <w:tc>
          <w:tcPr>
            <w:tcW w:type="dxa" w:w="311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فئات كثيرة ورسالة واسعة</w:t>
            </w:r>
          </w:p>
        </w:tc>
        <w:tc>
          <w:tcPr>
            <w:tcW w:type="dxa" w:w="294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حيرة وتكلفة اكتساب أعلى</w:t>
            </w:r>
          </w:p>
        </w:tc>
        <w:tc>
          <w:tcPr>
            <w:tcW w:type="dxa" w:w="130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متوسطة</w:t>
            </w:r>
          </w:p>
        </w:tc>
      </w:tr>
    </w:tbl>
    <w:p>
      <w:pPr>
        <w:spacing w:after="0"/>
        <w:widowControl/>
        <w:bidi w:val="1"/>
        <w:jc w:val="right"/>
      </w:pPr>
    </w:p>
    <w:p>
      <w:pPr>
        <w:pStyle w:val="Heading1"/>
        <w:keepNext/>
        <w:widowControl/>
        <w:bidi w:val="1"/>
        <w:jc w:val="right"/>
      </w:pPr>
      <w:r>
        <w:rPr>
          <w:rFonts w:ascii="Noto Sans Arabic" w:hAnsi="Noto Sans Arabic" w:eastAsia="Noto Sans Arabic" w:cs="Noto Sans Arabic"/>
          <w:b/>
          <w:color w:val="182B3A"/>
          <w:sz w:val="36"/>
          <w:rtl w:val="1"/>
        </w:rPr>
        <w:t>13. القرارات السابقة وأسبابها</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قرار: إطلاق محدود لا واسع. السبب: الحفاظ على قابلية تفسير النتائج قبل ضخ الميزانية.</w:t>
      </w:r>
      <w:r>
        <w:rPr>
          <w:rFonts w:ascii="Noto Sans Arabic" w:hAnsi="Noto Sans Arabic" w:eastAsia="Noto Sans Arabic" w:cs="Noto Sans Arabic"/>
          <w:b w:val="0"/>
          <w:color w:val="5A6369"/>
          <w:sz w:val="16"/>
          <w:rtl w:val="1"/>
        </w:rPr>
        <w:t xml:space="preserve">  — مراجعة الإطلاق 22-08-2026</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قرار: اختبار منتجين فقط وجمهورين ورسالتين/ثلاث، وعدم بدء كاروسيل 5 منتجات. السبب: منع اختلاط المتغيرات.</w:t>
      </w:r>
      <w:r>
        <w:rPr>
          <w:rFonts w:ascii="Noto Sans Arabic" w:hAnsi="Noto Sans Arabic" w:eastAsia="Noto Sans Arabic" w:cs="Noto Sans Arabic"/>
          <w:b w:val="0"/>
          <w:color w:val="5A6369"/>
          <w:sz w:val="16"/>
          <w:rtl w:val="1"/>
        </w:rPr>
        <w:t xml:space="preserve">  — مراجعة الإطلاق</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قرار: لا توسع قبل تحقق القياس والهامش والمخزون والشحن. السبب: ROAS الظاهري لا يكفي إذا كان الاستلام أو الهامش ضعيفاً.</w:t>
      </w:r>
      <w:r>
        <w:rPr>
          <w:rFonts w:ascii="Noto Sans Arabic" w:hAnsi="Noto Sans Arabic" w:eastAsia="Noto Sans Arabic" w:cs="Noto Sans Arabic"/>
          <w:b w:val="0"/>
          <w:color w:val="5A6369"/>
          <w:sz w:val="16"/>
          <w:rtl w:val="1"/>
        </w:rPr>
        <w:t xml:space="preserve">  — مراجعة الإطلاق</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قرار: لا تواصل تسويقي مباشر لمجرد وجود هاتف/بريد. السبب: العلاقة لا تعني موافقة.</w:t>
      </w:r>
      <w:r>
        <w:rPr>
          <w:rFonts w:ascii="Noto Sans Arabic" w:hAnsi="Noto Sans Arabic" w:eastAsia="Noto Sans Arabic" w:cs="Noto Sans Arabic"/>
          <w:b w:val="0"/>
          <w:color w:val="5A6369"/>
          <w:sz w:val="16"/>
          <w:rtl w:val="1"/>
        </w:rPr>
        <w:t xml:space="preserve">  — حوكمة DATA/Knowledge OS</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قرار: حل العنوان الوطني عبر Checkout سلة لا بالمحادثات الطويلة. السبب: تقليل التسرب وطلب الحد الأدنى بعد البيع.</w:t>
      </w:r>
      <w:r>
        <w:rPr>
          <w:rFonts w:ascii="Noto Sans Arabic" w:hAnsi="Noto Sans Arabic" w:eastAsia="Noto Sans Arabic" w:cs="Noto Sans Arabic"/>
          <w:b w:val="0"/>
          <w:color w:val="5A6369"/>
          <w:sz w:val="16"/>
          <w:rtl w:val="1"/>
        </w:rPr>
        <w:t xml:space="preserve">  — مراجعة العنوان الوطني</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قرار: نقل التشغيل تدريجياً من القيادة إلى الموظف. السبب: بناء استقلالية وتكرار، لا اعتماد دائم على المؤسس.</w:t>
      </w:r>
      <w:r>
        <w:rPr>
          <w:rFonts w:ascii="Noto Sans Arabic" w:hAnsi="Noto Sans Arabic" w:eastAsia="Noto Sans Arabic" w:cs="Noto Sans Arabic"/>
          <w:b w:val="0"/>
          <w:color w:val="5A6369"/>
          <w:sz w:val="16"/>
          <w:rtl w:val="1"/>
        </w:rPr>
        <w:t xml:space="preserve">  — تحدي 30 يوم</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قرار استراتيجي مقترح: لا فرع ولا مصنع ولا توسع خليجي قبل ثبات الربحية والوحدة الاقتصادية. السبب: منع تكرار نمو الإيراد مع ضغط السيولة.</w:t>
      </w:r>
      <w:r>
        <w:rPr>
          <w:rFonts w:ascii="Noto Sans Arabic" w:hAnsi="Noto Sans Arabic" w:eastAsia="Noto Sans Arabic" w:cs="Noto Sans Arabic"/>
          <w:b w:val="0"/>
          <w:color w:val="5A6369"/>
          <w:sz w:val="16"/>
          <w:rtl w:val="1"/>
        </w:rPr>
        <w:t xml:space="preserve">  — الخطة طويلة المدى + دراسة الجدوى</w:t>
      </w:r>
    </w:p>
    <w:p>
      <w:pPr>
        <w:pStyle w:val="Heading1"/>
        <w:keepNext/>
        <w:widowControl/>
        <w:bidi w:val="1"/>
        <w:jc w:val="right"/>
      </w:pPr>
      <w:r>
        <w:rPr>
          <w:rFonts w:ascii="Noto Sans Arabic" w:hAnsi="Noto Sans Arabic" w:eastAsia="Noto Sans Arabic" w:cs="Noto Sans Arabic"/>
          <w:b/>
          <w:color w:val="182B3A"/>
          <w:sz w:val="36"/>
          <w:rtl w:val="1"/>
        </w:rPr>
        <w:t>14. التجارب التي نُفذت ونتائجها</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لا يوجد حتى تاريخ القطع سجل مكتمل لتجربة حديثة مدفوعة مع نتيجة نهائية موثقة داخل EXP-001..004؛ معظمها "مفتوح/مؤجل".</w:t>
      </w:r>
      <w:r>
        <w:rPr>
          <w:rFonts w:ascii="Noto Sans Arabic" w:hAnsi="Noto Sans Arabic" w:eastAsia="Noto Sans Arabic" w:cs="Noto Sans Arabic"/>
          <w:b w:val="0"/>
          <w:color w:val="5A6369"/>
          <w:sz w:val="16"/>
          <w:rtl w:val="1"/>
        </w:rPr>
        <w:t xml:space="preserve">  — SUCCESS_REPLICATION_OS / سجل التجارب</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rPr>
          <w:tblHeader w:val="true"/>
          <w:cantSplit/>
        </w:trPr>
        <w:tc>
          <w:tcPr>
            <w:tcW w:type="dxa" w:w="1814"/>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التجربة</w:t>
            </w:r>
          </w:p>
        </w:tc>
        <w:tc>
          <w:tcPr>
            <w:tcW w:type="dxa" w:w="2835"/>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الفرضية</w:t>
            </w:r>
          </w:p>
        </w:tc>
        <w:tc>
          <w:tcPr>
            <w:tcW w:type="dxa" w:w="1984"/>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المقياس</w:t>
            </w:r>
          </w:p>
        </w:tc>
        <w:tc>
          <w:tcPr>
            <w:tcW w:type="dxa" w:w="3402"/>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6"/>
                <w:rtl w:val="1"/>
              </w:rPr>
              <w:t>الحالة/النتيجة</w:t>
            </w:r>
          </w:p>
        </w:tc>
      </w:tr>
      <w:tr>
        <w:trPr>
          <w:cantSplit/>
        </w:trPr>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EXP-001</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عرض بطل واضح يخفض CAC</w:t>
            </w:r>
          </w:p>
        </w:tc>
        <w:tc>
          <w:tcPr>
            <w:tcW w:type="dxa" w:w="198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CAC، حد إرشادي 35 ريال</w:t>
            </w:r>
          </w:p>
        </w:tc>
        <w:tc>
          <w:tcPr>
            <w:tcW w:type="dxa" w:w="340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مفتوح - لا نتيجة مسجلة</w:t>
            </w:r>
          </w:p>
        </w:tc>
      </w:tr>
      <w:tr>
        <w:trPr>
          <w:cantSplit/>
        </w:trPr>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EXP-002</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المدن الأربع تتفوق</w:t>
            </w:r>
          </w:p>
        </w:tc>
        <w:tc>
          <w:tcPr>
            <w:tcW w:type="dxa" w:w="198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CAC حسب مدينة</w:t>
            </w:r>
          </w:p>
        </w:tc>
        <w:tc>
          <w:tcPr>
            <w:tcW w:type="dxa" w:w="340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مؤجل</w:t>
            </w:r>
          </w:p>
        </w:tc>
      </w:tr>
      <w:tr>
        <w:trPr>
          <w:cantSplit/>
        </w:trPr>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EXP-003</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المساء أفضل</w:t>
            </w:r>
          </w:p>
        </w:tc>
        <w:tc>
          <w:tcPr>
            <w:tcW w:type="dxa" w:w="198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CVR حسب الساعة</w:t>
            </w:r>
          </w:p>
        </w:tc>
        <w:tc>
          <w:tcPr>
            <w:tcW w:type="dxa" w:w="340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مؤجل</w:t>
            </w:r>
          </w:p>
        </w:tc>
      </w:tr>
      <w:tr>
        <w:trPr>
          <w:cantSplit/>
        </w:trPr>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EXP-004</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الدليل الاجتماعي يرفع CVR</w:t>
            </w:r>
          </w:p>
        </w:tc>
        <w:tc>
          <w:tcPr>
            <w:tcW w:type="dxa" w:w="198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CVR</w:t>
            </w:r>
          </w:p>
        </w:tc>
        <w:tc>
          <w:tcPr>
            <w:tcW w:type="dxa" w:w="340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مؤجل</w:t>
            </w:r>
          </w:p>
        </w:tc>
      </w:tr>
      <w:tr>
        <w:trPr>
          <w:cantSplit/>
        </w:trPr>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تحدي 30 يوم</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الإيقاع اليومي يحسن المبيعات وينقل المعرفة</w:t>
            </w:r>
          </w:p>
        </w:tc>
        <w:tc>
          <w:tcPr>
            <w:tcW w:type="dxa" w:w="198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60 محتوى، 300-450 تواصل، طلبات/هامش</w:t>
            </w:r>
          </w:p>
        </w:tc>
        <w:tc>
          <w:tcPr>
            <w:tcW w:type="dxa" w:w="340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6"/>
                <w:rtl w:val="1"/>
              </w:rPr>
              <w:t>مُعتمد لكن سجل التنفيذ حتى 01-09 لا يثبت انطلاقاً فعلياً</w:t>
            </w:r>
          </w:p>
        </w:tc>
      </w:tr>
      <w:tr>
        <w:trPr>
          <w:cantSplit/>
        </w:trPr>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نجاح C52 التاريخي</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عرض محوري قابل لإعادة البناء</w:t>
            </w:r>
          </w:p>
        </w:tc>
        <w:tc>
          <w:tcPr>
            <w:tcW w:type="dxa" w:w="198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ظهور/طلبات</w:t>
            </w:r>
          </w:p>
        </w:tc>
        <w:tc>
          <w:tcPr>
            <w:tcW w:type="dxa" w:w="340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6"/>
                <w:rtl w:val="1"/>
              </w:rPr>
              <w:t>ملاحظة تاريخية، ليست تجربة A/B؛ ظهر في 5,205 طلبات ذروة</w:t>
            </w:r>
          </w:p>
        </w:tc>
      </w:tr>
    </w:tbl>
    <w:p>
      <w:pPr>
        <w:spacing w:after="0"/>
        <w:widowControl/>
        <w:bidi w:val="1"/>
        <w:jc w:val="right"/>
      </w:pPr>
    </w:p>
    <w:tbl>
      <w:tblPr>
        <w:tblW w:type="auto" w:w="0"/>
        <w:jc w:val="center"/>
        <w:tblLayout w:type="autofit"/>
        <w:tblLook w:firstColumn="1" w:firstRow="1" w:lastColumn="0" w:lastRow="0" w:noHBand="0" w:noVBand="1" w:val="04A0"/>
      </w:tblPr>
      <w:tblGrid>
        <w:gridCol w:w="10312"/>
      </w:tblGrid>
      <w:tr>
        <w:trPr>
          <w:cantSplit/>
        </w:trPr>
        <w:tc>
          <w:tcPr>
            <w:tcW w:type="dxa" w:w="10312"/>
            <w:shd w:fill="EAF4F2"/>
            <w:tcBorders>
              <w:top w:val="single" w:sz="6" w:color="0B6B63"/>
              <w:left w:val="single" w:sz="6" w:color="0B6B63"/>
              <w:bottom w:val="single" w:sz="6" w:color="0B6B63"/>
              <w:right w:val="single" w:sz="6" w:color="0B6B63"/>
            </w:tcBorders>
            <w:tcMar>
              <w:top w:w="140" w:type="dxa"/>
              <w:start w:w="160" w:type="dxa"/>
              <w:bottom w:w="140" w:type="dxa"/>
              <w:end w:w="160" w:type="dxa"/>
            </w:tcMar>
          </w:tcPr>
          <w:p>
            <w:pPr>
              <w:widowControl/>
              <w:bidi w:val="1"/>
              <w:jc w:val="right"/>
            </w:pPr>
            <w:r>
              <w:rPr>
                <w:rFonts w:ascii="Noto Sans Arabic" w:hAnsi="Noto Sans Arabic" w:eastAsia="Noto Sans Arabic" w:cs="Noto Sans Arabic"/>
                <w:b/>
                <w:color w:val="0B6B63"/>
                <w:sz w:val="21"/>
                <w:rtl w:val="1"/>
              </w:rPr>
              <w:t>المشكلة المعرفية الأهم: لدينا فرضيات وتجارب مصممة أكثر بكثير من نتائج تجارب. المرحلة القادمة يجب أن تنتج أدلة جديدة، لا ملفات جديدة.</w:t>
            </w:r>
          </w:p>
        </w:tc>
      </w:tr>
    </w:tbl>
    <w:p>
      <w:pPr>
        <w:spacing w:after="0"/>
        <w:widowControl/>
        <w:bidi w:val="1"/>
        <w:jc w:val="right"/>
      </w:pPr>
    </w:p>
    <w:p>
      <w:pPr>
        <w:pStyle w:val="Heading1"/>
        <w:keepNext/>
        <w:widowControl/>
        <w:bidi w:val="1"/>
        <w:jc w:val="right"/>
      </w:pPr>
      <w:r>
        <w:rPr>
          <w:rFonts w:ascii="Noto Sans Arabic" w:hAnsi="Noto Sans Arabic" w:eastAsia="Noto Sans Arabic" w:cs="Noto Sans Arabic"/>
          <w:b/>
          <w:color w:val="182B3A"/>
          <w:sz w:val="36"/>
          <w:rtl w:val="1"/>
        </w:rPr>
        <w:t>15. الخطط والأهداف والمراحل القادمة</w:t>
      </w:r>
    </w:p>
    <w:p>
      <w:pPr>
        <w:pStyle w:val="Heading2"/>
        <w:keepNext/>
        <w:widowControl/>
        <w:bidi w:val="1"/>
        <w:jc w:val="right"/>
      </w:pPr>
      <w:r>
        <w:rPr>
          <w:rFonts w:ascii="Noto Sans Arabic" w:hAnsi="Noto Sans Arabic" w:eastAsia="Noto Sans Arabic" w:cs="Noto Sans Arabic"/>
          <w:b/>
          <w:color w:val="0B6B63"/>
          <w:sz w:val="28"/>
          <w:rtl w:val="1"/>
        </w:rPr>
        <w:t>بوابة 48 ساعة قبل أي صرف واسع</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تصدير سلة الحديث من 2023 إلى 1 سبتمبر 2026 (والأفضل آخر 90/30 يوماً منفصلين).</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تثبيت تكلفة وهامش ومخزون المنتجين المرشحين، وتكاليف الشحن/الدفع/COD والإلغاء.</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اختبار العميل السعودي: العملة SAR في الصفحة والسلة والدفع، وتطابق GA4 purchase + value + currency + transaction_id مع سلة.</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إضافة بطاقة ثقة واضحة قرب زر الشراء: مدة/تكلفة الشحن، طرق الدفع المتاحة، ملخص الاسترجاع.</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اختيار منتج بطل + منافس واحد فقط، مع مواد متقاربة الجودة.</w:t>
      </w:r>
    </w:p>
    <w:p>
      <w:pPr>
        <w:pStyle w:val="Heading2"/>
        <w:keepNext/>
        <w:widowControl/>
        <w:bidi w:val="1"/>
        <w:jc w:val="right"/>
      </w:pPr>
      <w:r>
        <w:rPr>
          <w:rFonts w:ascii="Noto Sans Arabic" w:hAnsi="Noto Sans Arabic" w:eastAsia="Noto Sans Arabic" w:cs="Noto Sans Arabic"/>
          <w:b/>
          <w:color w:val="0B6B63"/>
          <w:sz w:val="28"/>
          <w:rtl w:val="1"/>
        </w:rPr>
        <w:t>اختبار أولي</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ميزانية أساسية مذكورة: 1,500 ريال. النسخة الأصلية: 1,050 للبطل/المنافس + 300 إعادة استهداف + 150 احتياط.</w:t>
      </w:r>
      <w:r>
        <w:rPr>
          <w:rFonts w:ascii="Noto Sans Arabic" w:hAnsi="Noto Sans Arabic" w:eastAsia="Noto Sans Arabic" w:cs="Noto Sans Arabic"/>
          <w:b w:val="0"/>
          <w:color w:val="5A6369"/>
          <w:sz w:val="16"/>
          <w:rtl w:val="1"/>
        </w:rPr>
        <w:t xml:space="preserve">  — مراجعة الإطلاق</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A03232"/>
          <w:sz w:val="18"/>
          <w:rtl w:val="1"/>
        </w:rPr>
        <w:t xml:space="preserve">[تعارض] </w:t>
      </w:r>
      <w:r>
        <w:rPr>
          <w:rFonts w:ascii="Noto Sans Arabic" w:hAnsi="Noto Sans Arabic" w:eastAsia="Noto Sans Arabic" w:cs="Noto Sans Arabic"/>
          <w:b w:val="0"/>
          <w:color w:val="182B3A"/>
          <w:sz w:val="20"/>
          <w:rtl w:val="1"/>
        </w:rPr>
        <w:t>نسخة موسمية لاحقة: 700 للصندوق/البطل + 350 منافس/دخول + 300 إعادة + 150 احتياط. هذا تعديل موسمي وليس نفس التصميم؛ لا يُجمع الاثنان.</w:t>
      </w:r>
      <w:r>
        <w:rPr>
          <w:rFonts w:ascii="Noto Sans Arabic" w:hAnsi="Noto Sans Arabic" w:eastAsia="Noto Sans Arabic" w:cs="Noto Sans Arabic"/>
          <w:b w:val="0"/>
          <w:color w:val="5A6369"/>
          <w:sz w:val="16"/>
          <w:rtl w:val="1"/>
        </w:rPr>
        <w:t xml:space="preserve">  — مراجعة الإطلاق المحدثة</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بوابة التوسع: هامش مساهمة ≥25%، مخزون يغطي 21-30 يوماً، 7 أيام تشغيل مستقرة، قياس شراء صحيح، وCAC داخل الحد الاقتصادي.</w:t>
      </w:r>
      <w:r>
        <w:rPr>
          <w:rFonts w:ascii="Noto Sans Arabic" w:hAnsi="Noto Sans Arabic" w:eastAsia="Noto Sans Arabic" w:cs="Noto Sans Arabic"/>
          <w:b w:val="0"/>
          <w:color w:val="5A6369"/>
          <w:sz w:val="16"/>
          <w:rtl w:val="1"/>
        </w:rPr>
        <w:t xml:space="preserve">  — مراجعة الإطلاق</w:t>
      </w:r>
    </w:p>
    <w:p>
      <w:pPr>
        <w:pStyle w:val="Heading2"/>
        <w:keepNext/>
        <w:widowControl/>
        <w:bidi w:val="1"/>
        <w:jc w:val="right"/>
      </w:pPr>
      <w:r>
        <w:rPr>
          <w:rFonts w:ascii="Noto Sans Arabic" w:hAnsi="Noto Sans Arabic" w:eastAsia="Noto Sans Arabic" w:cs="Noto Sans Arabic"/>
          <w:b/>
          <w:color w:val="0B6B63"/>
          <w:sz w:val="28"/>
          <w:rtl w:val="1"/>
        </w:rPr>
        <w:t>30 يوماً</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AD7141"/>
          <w:sz w:val="18"/>
          <w:rtl w:val="1"/>
        </w:rPr>
        <w:t xml:space="preserve">[توقع] </w:t>
      </w:r>
      <w:r>
        <w:rPr>
          <w:rFonts w:ascii="Noto Sans Arabic" w:hAnsi="Noto Sans Arabic" w:eastAsia="Noto Sans Arabic" w:cs="Noto Sans Arabic"/>
          <w:b w:val="0"/>
          <w:color w:val="182B3A"/>
          <w:sz w:val="20"/>
          <w:rtl w:val="1"/>
        </w:rPr>
        <w:t>الهدف التشغيلي: 60 محتوى + 300-450 محادثة موجهة + سجل قرار يومي، مع نقل الاستقلالية للموظف تدريجياً.</w:t>
      </w:r>
      <w:r>
        <w:rPr>
          <w:rFonts w:ascii="Noto Sans Arabic" w:hAnsi="Noto Sans Arabic" w:eastAsia="Noto Sans Arabic" w:cs="Noto Sans Arabic"/>
          <w:b w:val="0"/>
          <w:color w:val="5A6369"/>
          <w:sz w:val="16"/>
          <w:rtl w:val="1"/>
        </w:rPr>
        <w:t xml:space="preserve">  — تحدي 30 يوم</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AD7141"/>
          <w:sz w:val="18"/>
          <w:rtl w:val="1"/>
        </w:rPr>
        <w:t xml:space="preserve">[توقع] </w:t>
      </w:r>
      <w:r>
        <w:rPr>
          <w:rFonts w:ascii="Noto Sans Arabic" w:hAnsi="Noto Sans Arabic" w:eastAsia="Noto Sans Arabic" w:cs="Noto Sans Arabic"/>
          <w:b w:val="0"/>
          <w:color w:val="182B3A"/>
          <w:sz w:val="20"/>
          <w:rtl w:val="1"/>
        </w:rPr>
        <w:t>الهدف التجاري المذكور في المحادثات: الوصول إلى 100 ألف ريال شهرياً مع اقتصاديات سليمة؛ لا يتم التضحية بالهامش للوصول إلى الرقم.</w:t>
      </w:r>
      <w:r>
        <w:rPr>
          <w:rFonts w:ascii="Noto Sans Arabic" w:hAnsi="Noto Sans Arabic" w:eastAsia="Noto Sans Arabic" w:cs="Noto Sans Arabic"/>
          <w:b w:val="0"/>
          <w:color w:val="5A6369"/>
          <w:sz w:val="16"/>
          <w:rtl w:val="1"/>
        </w:rPr>
        <w:t xml:space="preserve">  — خطة النمو</w:t>
      </w:r>
    </w:p>
    <w:p>
      <w:pPr>
        <w:pStyle w:val="Heading2"/>
        <w:keepNext/>
        <w:widowControl/>
        <w:bidi w:val="1"/>
        <w:jc w:val="right"/>
      </w:pPr>
      <w:r>
        <w:rPr>
          <w:rFonts w:ascii="Noto Sans Arabic" w:hAnsi="Noto Sans Arabic" w:eastAsia="Noto Sans Arabic" w:cs="Noto Sans Arabic"/>
          <w:b/>
          <w:color w:val="0B6B63"/>
          <w:sz w:val="28"/>
          <w:rtl w:val="1"/>
        </w:rPr>
        <w:t>3-12 شهراً / خيار الاستحواذ</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AD7141"/>
          <w:sz w:val="18"/>
          <w:rtl w:val="1"/>
        </w:rPr>
        <w:t xml:space="preserve">[توقع] </w:t>
      </w:r>
      <w:r>
        <w:rPr>
          <w:rFonts w:ascii="Noto Sans Arabic" w:hAnsi="Noto Sans Arabic" w:eastAsia="Noto Sans Arabic" w:cs="Noto Sans Arabic"/>
          <w:b w:val="0"/>
          <w:color w:val="182B3A"/>
          <w:sz w:val="20"/>
          <w:rtl w:val="1"/>
        </w:rPr>
        <w:t>0-90 يوم: إعادة تشغيل وتحسين المنتجات والمبيعات. 3-6 أشهر: رفع التكرار ومتوسط الطلب. 6-12 شهراً: تطوير المنتجات والقنوات. بعد 12 شهراً: توسع خليجي/مؤسسي عند ثبوت الأرقام.</w:t>
      </w:r>
      <w:r>
        <w:rPr>
          <w:rFonts w:ascii="Noto Sans Arabic" w:hAnsi="Noto Sans Arabic" w:eastAsia="Noto Sans Arabic" w:cs="Noto Sans Arabic"/>
          <w:b w:val="0"/>
          <w:color w:val="5A6369"/>
          <w:sz w:val="16"/>
          <w:rtl w:val="1"/>
        </w:rPr>
        <w:t xml:space="preserve">  — ملف الاستحواذ</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إذا استمر مسار البيع: أول 90 يوماً يجب أن ينتج Due Diligence pack نظيفاً: P&amp;L، تسوية الطلبات/البنك، مخزون، أصول رقمية، موردون، التزامات، وحقوق العلامة.</w:t>
      </w:r>
    </w:p>
    <w:p>
      <w:pPr>
        <w:pStyle w:val="Heading1"/>
        <w:keepNext/>
        <w:widowControl/>
        <w:bidi w:val="1"/>
        <w:jc w:val="right"/>
      </w:pPr>
      <w:r>
        <w:rPr>
          <w:rFonts w:ascii="Noto Sans Arabic" w:hAnsi="Noto Sans Arabic" w:eastAsia="Noto Sans Arabic" w:cs="Noto Sans Arabic"/>
          <w:b/>
          <w:color w:val="182B3A"/>
          <w:sz w:val="36"/>
          <w:rtl w:val="1"/>
        </w:rPr>
        <w:t>16. الملفات والروابط ومصادر البيانات المهمة</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rPr>
          <w:tblHeader w:val="true"/>
          <w:cantSplit/>
        </w:trPr>
        <w:tc>
          <w:tcPr>
            <w:tcW w:type="dxa" w:w="1191"/>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4"/>
                <w:rtl w:val="1"/>
              </w:rPr>
              <w:t>الأولوية</w:t>
            </w:r>
          </w:p>
        </w:tc>
        <w:tc>
          <w:tcPr>
            <w:tcW w:type="dxa" w:w="3402"/>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4"/>
                <w:rtl w:val="1"/>
              </w:rPr>
              <w:t>المصدر</w:t>
            </w:r>
          </w:p>
        </w:tc>
        <w:tc>
          <w:tcPr>
            <w:tcW w:type="dxa" w:w="3969"/>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4"/>
                <w:rtl w:val="1"/>
              </w:rPr>
              <w:t>ما يثبته/استخدامه</w:t>
            </w:r>
          </w:p>
        </w:tc>
        <w:tc>
          <w:tcPr>
            <w:tcW w:type="dxa" w:w="1984"/>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4"/>
                <w:rtl w:val="1"/>
              </w:rPr>
              <w:t>الحالة</w:t>
            </w:r>
          </w:p>
        </w:tc>
      </w:tr>
      <w:tr>
        <w:trPr>
          <w:cantSplit/>
        </w:trPr>
        <w:tc>
          <w:tcPr>
            <w:tcW w:type="dxa" w:w="119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P0</w:t>
            </w:r>
          </w:p>
        </w:tc>
        <w:tc>
          <w:tcPr>
            <w:tcW w:type="dxa" w:w="340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FANJAN_OUD_DATA_VAULT_v1.0.xlsx</w:t>
            </w:r>
          </w:p>
        </w:tc>
        <w:tc>
          <w:tcPr>
            <w:tcW w:type="dxa" w:w="3969"/>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العملاء والطلبات والبنود وواتساب والتقييمات</w:t>
            </w:r>
          </w:p>
        </w:tc>
        <w:tc>
          <w:tcPr>
            <w:tcW w:type="dxa" w:w="198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أساس تاريخي؛ يحتاج تحديث 2023-الآن</w:t>
            </w:r>
          </w:p>
        </w:tc>
      </w:tr>
      <w:tr>
        <w:trPr>
          <w:cantSplit/>
        </w:trPr>
        <w:tc>
          <w:tcPr>
            <w:tcW w:type="dxa" w:w="119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P0</w:t>
            </w:r>
          </w:p>
        </w:tc>
        <w:tc>
          <w:tcPr>
            <w:tcW w:type="dxa" w:w="340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FANJAN_OUD_KNOWLEDGE_DECISION_OS_v1.0.xlsx</w:t>
            </w:r>
          </w:p>
        </w:tc>
        <w:tc>
          <w:tcPr>
            <w:tcW w:type="dxa" w:w="3969"/>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ملخص القرار، الأصول، التحدي، السجل اليومي</w:t>
            </w:r>
          </w:p>
        </w:tc>
        <w:tc>
          <w:tcPr>
            <w:tcW w:type="dxa" w:w="198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محدث هيكلياً؛ التنفيذ ضعيف</w:t>
            </w:r>
          </w:p>
        </w:tc>
      </w:tr>
      <w:tr>
        <w:trPr>
          <w:cantSplit/>
        </w:trPr>
        <w:tc>
          <w:tcPr>
            <w:tcW w:type="dxa" w:w="119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P0</w:t>
            </w:r>
          </w:p>
        </w:tc>
        <w:tc>
          <w:tcPr>
            <w:tcW w:type="dxa" w:w="340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FANJAN_OUD_SUCCESS_REPLICATION_OS_v1.0.xlsx</w:t>
            </w:r>
          </w:p>
        </w:tc>
        <w:tc>
          <w:tcPr>
            <w:tcW w:type="dxa" w:w="3969"/>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الذروة، C52، خطة التجارب، خريطة الأدلة</w:t>
            </w:r>
          </w:p>
        </w:tc>
        <w:tc>
          <w:tcPr>
            <w:tcW w:type="dxa" w:w="198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أفضل ملف لاستخراج ما يمكن تكراره</w:t>
            </w:r>
          </w:p>
        </w:tc>
      </w:tr>
      <w:tr>
        <w:trPr>
          <w:cantSplit/>
        </w:trPr>
        <w:tc>
          <w:tcPr>
            <w:tcW w:type="dxa" w:w="119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P1</w:t>
            </w:r>
          </w:p>
        </w:tc>
        <w:tc>
          <w:tcPr>
            <w:tcW w:type="dxa" w:w="340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FANJAN_OUD_CONTACTS_MASTER_v1.0.xlsx</w:t>
            </w:r>
          </w:p>
        </w:tc>
        <w:tc>
          <w:tcPr>
            <w:tcW w:type="dxa" w:w="3969"/>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جهات اتصال موحدة ومصدرها</w:t>
            </w:r>
          </w:p>
        </w:tc>
        <w:tc>
          <w:tcPr>
            <w:tcW w:type="dxa" w:w="198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الموافقة التسويقية غير مثبتة</w:t>
            </w:r>
          </w:p>
        </w:tc>
      </w:tr>
      <w:tr>
        <w:trPr>
          <w:cantSplit/>
        </w:trPr>
        <w:tc>
          <w:tcPr>
            <w:tcW w:type="dxa" w:w="119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P1</w:t>
            </w:r>
          </w:p>
        </w:tc>
        <w:tc>
          <w:tcPr>
            <w:tcW w:type="dxa" w:w="340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FANJAN_OUD_DRIVE_INVENTORY_2026-08-21.xlsx</w:t>
            </w:r>
          </w:p>
        </w:tc>
        <w:tc>
          <w:tcPr>
            <w:tcW w:type="dxa" w:w="3969"/>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جرد 4,704 أصل</w:t>
            </w:r>
          </w:p>
        </w:tc>
        <w:tc>
          <w:tcPr>
            <w:tcW w:type="dxa" w:w="198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لم يُحلل المحتوى كاملاً</w:t>
            </w:r>
          </w:p>
        </w:tc>
      </w:tr>
      <w:tr>
        <w:trPr>
          <w:cantSplit/>
        </w:trPr>
        <w:tc>
          <w:tcPr>
            <w:tcW w:type="dxa" w:w="119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P0</w:t>
            </w:r>
          </w:p>
        </w:tc>
        <w:tc>
          <w:tcPr>
            <w:tcW w:type="dxa" w:w="340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مراجعة ما قبل إطلاق الحملات - فنجان عود.docx</w:t>
            </w:r>
          </w:p>
        </w:tc>
        <w:tc>
          <w:tcPr>
            <w:tcW w:type="dxa" w:w="3969"/>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بوابة القياس وخطة الاختبار</w:t>
            </w:r>
          </w:p>
        </w:tc>
        <w:tc>
          <w:tcPr>
            <w:tcW w:type="dxa" w:w="198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قرار إطلاق محدود</w:t>
            </w:r>
          </w:p>
        </w:tc>
      </w:tr>
      <w:tr>
        <w:trPr>
          <w:cantSplit/>
        </w:trPr>
        <w:tc>
          <w:tcPr>
            <w:tcW w:type="dxa" w:w="119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P1</w:t>
            </w:r>
          </w:p>
        </w:tc>
        <w:tc>
          <w:tcPr>
            <w:tcW w:type="dxa" w:w="340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التدقيق التسويقي والاستراتيجي لمتجر فنجان عود.docx</w:t>
            </w:r>
          </w:p>
        </w:tc>
        <w:tc>
          <w:tcPr>
            <w:tcW w:type="dxa" w:w="3969"/>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الثقة/التموضع/رحلة التحويل</w:t>
            </w:r>
          </w:p>
        </w:tc>
        <w:tc>
          <w:tcPr>
            <w:tcW w:type="dxa" w:w="198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مراجعة 22-08-2026</w:t>
            </w:r>
          </w:p>
        </w:tc>
      </w:tr>
      <w:tr>
        <w:trPr>
          <w:cantSplit/>
        </w:trPr>
        <w:tc>
          <w:tcPr>
            <w:tcW w:type="dxa" w:w="119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P1</w:t>
            </w:r>
          </w:p>
        </w:tc>
        <w:tc>
          <w:tcPr>
            <w:tcW w:type="dxa" w:w="340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Funjan_Oud_Acquisition_Premium_Redesign.pdf</w:t>
            </w:r>
          </w:p>
        </w:tc>
        <w:tc>
          <w:tcPr>
            <w:tcW w:type="dxa" w:w="3969"/>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هيكل الاستحواذ والأصول والانتقال</w:t>
            </w:r>
          </w:p>
        </w:tc>
        <w:tc>
          <w:tcPr>
            <w:tcW w:type="dxa" w:w="198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عرض صفقة؛ لا مشتري موثق</w:t>
            </w:r>
          </w:p>
        </w:tc>
      </w:tr>
      <w:tr>
        <w:trPr>
          <w:cantSplit/>
        </w:trPr>
        <w:tc>
          <w:tcPr>
            <w:tcW w:type="dxa" w:w="119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P1</w:t>
            </w:r>
          </w:p>
        </w:tc>
        <w:tc>
          <w:tcPr>
            <w:tcW w:type="dxa" w:w="340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دراسة جدوى فنجان عود.docx</w:t>
            </w:r>
          </w:p>
        </w:tc>
        <w:tc>
          <w:tcPr>
            <w:tcW w:type="dxa" w:w="3969"/>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تاريخ التراجع ونموذج التوسع</w:t>
            </w:r>
          </w:p>
        </w:tc>
        <w:tc>
          <w:tcPr>
            <w:tcW w:type="dxa" w:w="198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بها افتراضات/مصادر خارجية تحتاج تحقق</w:t>
            </w:r>
          </w:p>
        </w:tc>
      </w:tr>
      <w:tr>
        <w:trPr>
          <w:cantSplit/>
        </w:trPr>
        <w:tc>
          <w:tcPr>
            <w:tcW w:type="dxa" w:w="119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P2</w:t>
            </w:r>
          </w:p>
        </w:tc>
        <w:tc>
          <w:tcPr>
            <w:tcW w:type="dxa" w:w="340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عرض فنجان عود.pdf</w:t>
            </w:r>
          </w:p>
        </w:tc>
        <w:tc>
          <w:tcPr>
            <w:tcW w:type="dxa" w:w="3969"/>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الرؤية، الادعاءات، أرقام تاريخية، استثمار وديون</w:t>
            </w:r>
          </w:p>
        </w:tc>
        <w:tc>
          <w:tcPr>
            <w:tcW w:type="dxa" w:w="198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قديم/متعارض؛ يستخدم للتاريخ فقط</w:t>
            </w:r>
          </w:p>
        </w:tc>
      </w:tr>
      <w:tr>
        <w:trPr>
          <w:cantSplit/>
        </w:trPr>
        <w:tc>
          <w:tcPr>
            <w:tcW w:type="dxa" w:w="119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P0 Pending</w:t>
            </w:r>
          </w:p>
        </w:tc>
        <w:tc>
          <w:tcPr>
            <w:tcW w:type="dxa" w:w="340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Snap Ads Transactions 2021-10-23—2022-01-23.pdf</w:t>
            </w:r>
          </w:p>
        </w:tc>
        <w:tc>
          <w:tcPr>
            <w:tcW w:type="dxa" w:w="3969"/>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إنفاق/توقيت سناب محتمل</w:t>
            </w:r>
          </w:p>
        </w:tc>
        <w:tc>
          <w:tcPr>
            <w:tcW w:type="dxa" w:w="198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لم يُحلل بعمق</w:t>
            </w:r>
          </w:p>
        </w:tc>
      </w:tr>
      <w:tr>
        <w:trPr>
          <w:cantSplit/>
        </w:trPr>
        <w:tc>
          <w:tcPr>
            <w:tcW w:type="dxa" w:w="119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P0 Pending</w:t>
            </w:r>
          </w:p>
        </w:tc>
        <w:tc>
          <w:tcPr>
            <w:tcW w:type="dxa" w:w="340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الجدول الشهري لحملات فنجان العود</w:t>
            </w:r>
          </w:p>
        </w:tc>
        <w:tc>
          <w:tcPr>
            <w:tcW w:type="dxa" w:w="3969"/>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ما شُغّل في أشهر الذروة</w:t>
            </w:r>
          </w:p>
        </w:tc>
        <w:tc>
          <w:tcPr>
            <w:tcW w:type="dxa" w:w="198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لم يُحلل بعمق</w:t>
            </w:r>
          </w:p>
        </w:tc>
      </w:tr>
      <w:tr>
        <w:trPr>
          <w:cantSplit/>
        </w:trPr>
        <w:tc>
          <w:tcPr>
            <w:tcW w:type="dxa" w:w="1191"/>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P1 Pending</w:t>
            </w:r>
          </w:p>
        </w:tc>
        <w:tc>
          <w:tcPr>
            <w:tcW w:type="dxa" w:w="3402"/>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cupoud.com Performance on Search 2021</w:t>
            </w:r>
          </w:p>
        </w:tc>
        <w:tc>
          <w:tcPr>
            <w:tcW w:type="dxa" w:w="3969"/>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أداء SEO تاريخي</w:t>
            </w:r>
          </w:p>
        </w:tc>
        <w:tc>
          <w:tcPr>
            <w:tcW w:type="dxa" w:w="198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4"/>
                <w:rtl w:val="1"/>
              </w:rPr>
              <w:t>يحتاج ربط بالطلبات</w:t>
            </w:r>
          </w:p>
        </w:tc>
      </w:tr>
      <w:tr>
        <w:trPr>
          <w:cantSplit/>
        </w:trPr>
        <w:tc>
          <w:tcPr>
            <w:tcW w:type="dxa" w:w="1191"/>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P1</w:t>
            </w:r>
          </w:p>
        </w:tc>
        <w:tc>
          <w:tcPr>
            <w:tcW w:type="dxa" w:w="3402"/>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جدول صناعة المحتوى.xlsx (Drive)</w:t>
            </w:r>
          </w:p>
        </w:tc>
        <w:tc>
          <w:tcPr>
            <w:tcW w:type="dxa" w:w="3969"/>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تشغيل/تقويم المحتوى</w:t>
            </w:r>
          </w:p>
        </w:tc>
        <w:tc>
          <w:tcPr>
            <w:tcW w:type="dxa" w:w="198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4"/>
                <w:rtl w:val="1"/>
              </w:rPr>
              <w:t>موجود؛ يحتاج نتائج</w:t>
            </w:r>
          </w:p>
        </w:tc>
      </w:tr>
    </w:tbl>
    <w:p>
      <w:pPr>
        <w:spacing w:after="0"/>
        <w:widowControl/>
        <w:bidi w:val="1"/>
        <w:jc w:val="right"/>
      </w:pPr>
    </w:p>
    <w:p>
      <w:pPr>
        <w:pStyle w:val="Heading2"/>
        <w:keepNext/>
        <w:widowControl/>
        <w:bidi w:val="1"/>
        <w:jc w:val="right"/>
      </w:pPr>
      <w:r>
        <w:rPr>
          <w:rFonts w:ascii="Noto Sans Arabic" w:hAnsi="Noto Sans Arabic" w:eastAsia="Noto Sans Arabic" w:cs="Noto Sans Arabic"/>
          <w:b/>
          <w:color w:val="0B6B63"/>
          <w:sz w:val="28"/>
          <w:rtl w:val="1"/>
        </w:rPr>
        <w:t>روابط تشغيلية مهمة</w:t>
      </w:r>
    </w:p>
    <w:p>
      <w:pPr>
        <w:widowControl/>
        <w:bidi w:val="1"/>
        <w:jc w:val="right"/>
      </w:pPr>
      <w:r>
        <w:rPr>
          <w:rFonts w:ascii="Noto Sans Arabic" w:hAnsi="Noto Sans Arabic" w:eastAsia="Noto Sans Arabic" w:cs="Noto Sans Arabic"/>
          <w:b/>
          <w:color w:val="182B3A"/>
          <w:sz w:val="20"/>
          <w:rtl w:val="1"/>
        </w:rPr>
        <w:t xml:space="preserve">المتجر: </w:t>
      </w:r>
      <w:hyperlink r:id="rId11">
        <w:r>
          <w:rPr>
            <w:color w:val="1A5F5A"/>
            <w:u w:val="single"/>
            <w:rtl w:val="1"/>
            <w:rFonts w:ascii="Noto Sans Arabic" w:hAnsi="Noto Sans Arabic" w:cs="Noto Sans Arabic"/>
            <w:sz w:val="20"/>
            <w:szCs w:val="20"/>
          </w:rPr>
          <w:t>cupoud.com</w:t>
        </w:r>
      </w:hyperlink>
    </w:p>
    <w:p>
      <w:pPr>
        <w:widowControl/>
        <w:bidi w:val="1"/>
        <w:jc w:val="right"/>
      </w:pPr>
      <w:r>
        <w:rPr>
          <w:rFonts w:ascii="Noto Sans Arabic" w:hAnsi="Noto Sans Arabic" w:eastAsia="Noto Sans Arabic" w:cs="Noto Sans Arabic"/>
          <w:b/>
          <w:color w:val="182B3A"/>
          <w:sz w:val="20"/>
          <w:rtl w:val="1"/>
        </w:rPr>
        <w:t xml:space="preserve">جدول صناعة المحتوى على Drive: </w:t>
      </w:r>
      <w:hyperlink r:id="rId12">
        <w:r>
          <w:rPr>
            <w:color w:val="1A5F5A"/>
            <w:u w:val="single"/>
            <w:rtl w:val="1"/>
            <w:rFonts w:ascii="Noto Sans Arabic" w:hAnsi="Noto Sans Arabic" w:cs="Noto Sans Arabic"/>
            <w:sz w:val="20"/>
            <w:szCs w:val="20"/>
          </w:rPr>
          <w:t>فتح الملف</w:t>
        </w:r>
      </w:hyperlink>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حسابات البريد المرتبطة تاريخياً بالنواة: cup.oud@gmail.com، cup.oud2@gmail.com، finjnoudhest@gmail.com. لا تُغيّر الاتصالات/الصلاحيات دون جرد ملكية وأمان.</w:t>
      </w:r>
      <w:r>
        <w:rPr>
          <w:rFonts w:ascii="Noto Sans Arabic" w:hAnsi="Noto Sans Arabic" w:eastAsia="Noto Sans Arabic" w:cs="Noto Sans Arabic"/>
          <w:b w:val="0"/>
          <w:color w:val="5A6369"/>
          <w:sz w:val="16"/>
          <w:rtl w:val="1"/>
        </w:rPr>
        <w:t xml:space="preserve">  — Email Hub / محادثات المشروع</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A03232"/>
          <w:sz w:val="18"/>
          <w:rtl w:val="1"/>
        </w:rPr>
        <w:t xml:space="preserve">[غير محسوم] </w:t>
      </w:r>
      <w:r>
        <w:rPr>
          <w:rFonts w:ascii="Noto Sans Arabic" w:hAnsi="Noto Sans Arabic" w:eastAsia="Noto Sans Arabic" w:cs="Noto Sans Arabic"/>
          <w:b w:val="0"/>
          <w:color w:val="182B3A"/>
          <w:sz w:val="20"/>
          <w:rtl w:val="1"/>
        </w:rPr>
        <w:t>مراجعة البريد الحالية كانت جزئية من الحساب المتصل في هذه الجلسة، وليست تدقيقاً كاملاً لكل صناديق بريد فنجان عود الثلاثة.</w:t>
      </w:r>
      <w:r>
        <w:rPr>
          <w:rFonts w:ascii="Noto Sans Arabic" w:hAnsi="Noto Sans Arabic" w:eastAsia="Noto Sans Arabic" w:cs="Noto Sans Arabic"/>
          <w:b w:val="0"/>
          <w:color w:val="5A6369"/>
          <w:sz w:val="16"/>
          <w:rtl w:val="1"/>
        </w:rPr>
        <w:t xml:space="preserve">  — حدود الوصول الحالية</w:t>
      </w:r>
    </w:p>
    <w:p>
      <w:pPr>
        <w:pStyle w:val="Heading1"/>
        <w:keepNext/>
        <w:widowControl/>
        <w:bidi w:val="1"/>
        <w:jc w:val="right"/>
      </w:pPr>
      <w:r>
        <w:rPr>
          <w:rFonts w:ascii="Noto Sans Arabic" w:hAnsi="Noto Sans Arabic" w:eastAsia="Noto Sans Arabic" w:cs="Noto Sans Arabic"/>
          <w:b/>
          <w:color w:val="182B3A"/>
          <w:sz w:val="36"/>
          <w:rtl w:val="1"/>
        </w:rPr>
        <w:t>أهم 10 معلومات قبل اتخاذ أي قرار</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1. أقوى رقم موثوق قابل للتحليل حالياً: 11,354 طلباً بقيمة 2.32 مليون ريال تقريباً حتى مارس 2023؛ ليس P&amp;L محاسبياً.</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2. البيانات الحالية ناقصة من 2023 إلى سبتمبر 2026؛ أي تقييم أو حملة دون تحديثها مخاطرة قرار.</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3. 1,321 عميل متكرر فقط من 8,279 مشترياً معروفاً (≈15.96%)؛ توجد فرصة احتفاظ لكن النمو التاريخي كان مدفوعاً بالاكتساب أيضاً.</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4. ستة أشهر فقط صنعت 61.5% من قيمة الفترة؛ النجاح كان موجة لها تركيبة خاصة وليس خط أساس دائم.</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5. C52 ظهر في 5,205 طلبات ذروة، لكنه ليس تلقائياً المنتج الذي يجب إعلانه اليوم قبل مطابقة SKU والهامش والمخزون.</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6. قريب من نصف طلبات الذروة كان COD؛ التحويل السهل قد يخفي تكلفة إلغاء/عدم استلام غير مقاسة.</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7. الرياض وجدة ثم المدينة ومكة هي كتلة الطلب الأساسية تاريخياً؛ هذه أفضل بيئة لاختبارات جغرافية أولى.</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8. الأصول كبيرة (8,858 جهة، 6,759 واتساب، 4,163 بريد، 4,704 أصول Drive) لكن الموافقة والملكية والحداثة هي القيود.</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9. التحدي ونظام القرار موجودان، لكن سجل التنفيذ حتى 1 سبتمبر لا يثبت انطلاقاً فعلياً؛ التنفيذ هو الاختناق الآن.</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10. استراتيجية المشروع غير محسومة بين إعادة الإحياء/النمو والاستحواذ الكامل؛ يجب تحديد هدف الـ90 يوماً لأنه يغيّر الأولويات والـKPIs.</w:t>
      </w:r>
    </w:p>
    <w:p>
      <w:pPr>
        <w:pStyle w:val="Heading1"/>
        <w:keepNext/>
        <w:widowControl/>
        <w:bidi w:val="1"/>
        <w:jc w:val="right"/>
      </w:pPr>
      <w:r>
        <w:rPr>
          <w:rFonts w:ascii="Noto Sans Arabic" w:hAnsi="Noto Sans Arabic" w:eastAsia="Noto Sans Arabic" w:cs="Noto Sans Arabic"/>
          <w:b/>
          <w:color w:val="182B3A"/>
          <w:sz w:val="36"/>
          <w:rtl w:val="1"/>
        </w:rPr>
        <w:t>أهم 5 فرص</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1. إعادة تنشيط شرائح العملاء المتكررين ومرتفعَي القيمة بطريقة مرخصة ومجزأة.</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2. إعادة بناء عرض بطل حديث مستفيد من نمط C52 مع هامش واضح وصفحة إثبات قوية.</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3. اختبارات جغرافية في الرياض/جدة/المدينة/مكة لخفض CAC وتحسين الخدمة والشحن.</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4. هندسة باقات هدية/بيت/مناسبة لرفع AOV بدل الاعتماد على الخصم فقط.</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5. تدوير قاعدة المعرفة الحالية إلى Operating System قابل للبيع/التطبيق على متاجر وشركات خدمية أخرى.</w:t>
      </w:r>
    </w:p>
    <w:p>
      <w:pPr>
        <w:pStyle w:val="Heading1"/>
        <w:keepNext/>
        <w:widowControl/>
        <w:bidi w:val="1"/>
        <w:jc w:val="right"/>
      </w:pPr>
      <w:r>
        <w:rPr>
          <w:rFonts w:ascii="Noto Sans Arabic" w:hAnsi="Noto Sans Arabic" w:eastAsia="Noto Sans Arabic" w:cs="Noto Sans Arabic"/>
          <w:b/>
          <w:color w:val="182B3A"/>
          <w:sz w:val="36"/>
          <w:rtl w:val="1"/>
        </w:rPr>
        <w:t>أهم 5 مخاطر</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1. اتخاذ قرار 2026 على بيانات تتوقف عند 2023.</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2. توسيع الإعلان قبل معرفة هامش المساهمة الحقيقي وقياس Purchase الصحيح.</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3. تحويل قاعدة واتساب/البريد إلى حملات بلا إثبات موافقة.</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4. استمرار بناء ملفات وخطط دون تنفيذ يومي ونتائج تجارب.</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5. دخول صفقة بيع/استحواذ قبل تسوية الإيراد الحقيقي، المخزون، الالتزامات، والملكية الرقمية.</w:t>
      </w:r>
    </w:p>
    <w:p>
      <w:pPr>
        <w:pStyle w:val="Heading1"/>
        <w:keepNext/>
        <w:widowControl/>
        <w:bidi w:val="1"/>
        <w:jc w:val="right"/>
      </w:pPr>
      <w:r>
        <w:rPr>
          <w:rFonts w:ascii="Noto Sans Arabic" w:hAnsi="Noto Sans Arabic" w:eastAsia="Noto Sans Arabic" w:cs="Noto Sans Arabic"/>
          <w:b/>
          <w:color w:val="182B3A"/>
          <w:sz w:val="36"/>
          <w:rtl w:val="1"/>
        </w:rPr>
        <w:t>أهم 5 أسئلة بلا إجابة</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1. ما أرقام الطلبات والإيراد المحاسبي وصافي الربح والإلغاء والمرتجعات من أبريل 2023 إلى 1 سبتمبر 2026، شهراً بشهر؟</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2. ما تكلفة وهامش المساهمة الفعلي لكل من C52/بديله، بكج 96، وأفضل 10 SKUs حالياً بعد الشحن والدفع والهالك والإعلانات؟</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3. ما هو SKU/العرض الحالي المطابق فعلاً لـC52 التاريخي، وهل المخزون والجودة والمورد ما زالوا متطابقين؟</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4. ما القنوات والحسابات المملوكة فعلياً لفنجان عود ومن يملك صلاحيات Admin، وما حالة الموافقة التسويقية لكل عميل؟</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val="0"/>
          <w:color w:val="182B3A"/>
          <w:sz w:val="20"/>
          <w:rtl w:val="1"/>
        </w:rPr>
        <w:t>5. هل هدف الـ90 يوماً هو إنعاش وربحية المشروع أم تجهيزه للبيع الكامل؟ وما الحد الأدنى المقبول للصفقة إن كان البيع هو المسار؟</w:t>
      </w:r>
    </w:p>
    <w:p>
      <w:pPr>
        <w:pStyle w:val="Heading1"/>
        <w:keepNext/>
        <w:widowControl/>
        <w:bidi w:val="1"/>
        <w:jc w:val="right"/>
      </w:pPr>
      <w:r>
        <w:rPr>
          <w:rFonts w:ascii="Noto Sans Arabic" w:hAnsi="Noto Sans Arabic" w:eastAsia="Noto Sans Arabic" w:cs="Noto Sans Arabic"/>
          <w:b/>
          <w:color w:val="182B3A"/>
          <w:sz w:val="36"/>
          <w:rtl w:val="1"/>
        </w:rPr>
        <w:t>17. قابلية تحويل المعرفة إلى نظام قابل للتكرار</w:t>
      </w:r>
    </w:p>
    <w:tbl>
      <w:tblPr>
        <w:tblW w:type="auto" w:w="0"/>
        <w:jc w:val="center"/>
        <w:tblLayout w:type="autofit"/>
        <w:tblLook w:firstColumn="1" w:firstRow="1" w:lastColumn="0" w:lastRow="0" w:noHBand="0" w:noVBand="1" w:val="04A0"/>
      </w:tblPr>
      <w:tblGrid>
        <w:gridCol w:w="10312"/>
      </w:tblGrid>
      <w:tr>
        <w:trPr>
          <w:cantSplit/>
        </w:trPr>
        <w:tc>
          <w:tcPr>
            <w:tcW w:type="dxa" w:w="10312"/>
            <w:shd w:fill="EAF4F2"/>
            <w:tcBorders>
              <w:top w:val="single" w:sz="6" w:color="0B6B63"/>
              <w:left w:val="single" w:sz="6" w:color="0B6B63"/>
              <w:bottom w:val="single" w:sz="6" w:color="0B6B63"/>
              <w:right w:val="single" w:sz="6" w:color="0B6B63"/>
            </w:tcBorders>
            <w:tcMar>
              <w:top w:w="140" w:type="dxa"/>
              <w:start w:w="160" w:type="dxa"/>
              <w:bottom w:w="140" w:type="dxa"/>
              <w:end w:w="160" w:type="dxa"/>
            </w:tcMar>
          </w:tcPr>
          <w:p>
            <w:pPr>
              <w:widowControl/>
              <w:bidi w:val="1"/>
              <w:jc w:val="right"/>
            </w:pPr>
            <w:r>
              <w:rPr>
                <w:rFonts w:ascii="Noto Sans Arabic" w:hAnsi="Noto Sans Arabic" w:eastAsia="Noto Sans Arabic" w:cs="Noto Sans Arabic"/>
                <w:b/>
                <w:color w:val="0B6B63"/>
                <w:sz w:val="21"/>
                <w:rtl w:val="1"/>
              </w:rPr>
              <w:t>فنجان عود يصلح كـ "حالة مختبر" لبناء نظام نمو وقرار: نأخذ بيانات فوضوية + أصول متفرقة + أداء متراجع، ونحوّلها إلى Baseline → فرضية → تجربة → قرار → SOP → نقل تشغيل. هذا قابل للتطبيق على المتاجر وعلى الشركات الخدمية مع تغيير الوحدات فقط.</w:t>
            </w:r>
          </w:p>
        </w:tc>
      </w:tr>
    </w:tbl>
    <w:p>
      <w:pPr>
        <w:spacing w:after="0"/>
        <w:widowControl/>
        <w:bidi w:val="1"/>
        <w:jc w:val="right"/>
      </w:pPr>
    </w:p>
    <w:p>
      <w:pPr>
        <w:pStyle w:val="Heading2"/>
        <w:keepNext/>
        <w:widowControl/>
        <w:bidi w:val="1"/>
        <w:jc w:val="right"/>
      </w:pPr>
      <w:r>
        <w:rPr>
          <w:rFonts w:ascii="Noto Sans Arabic" w:hAnsi="Noto Sans Arabic" w:eastAsia="Noto Sans Arabic" w:cs="Noto Sans Arabic"/>
          <w:b/>
          <w:color w:val="0B6B63"/>
          <w:sz w:val="28"/>
          <w:rtl w:val="1"/>
        </w:rPr>
        <w:t>البنية المقترحة للنظام القابل للتكرار</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rPr>
          <w:tblHeader w:val="true"/>
          <w:cantSplit/>
        </w:trPr>
        <w:tc>
          <w:tcPr>
            <w:tcW w:type="dxa" w:w="1814"/>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الطبقة</w:t>
            </w:r>
          </w:p>
        </w:tc>
        <w:tc>
          <w:tcPr>
            <w:tcW w:type="dxa" w:w="2665"/>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في المتجر</w:t>
            </w:r>
          </w:p>
        </w:tc>
        <w:tc>
          <w:tcPr>
            <w:tcW w:type="dxa" w:w="2835"/>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في الشركة الخدمية</w:t>
            </w:r>
          </w:p>
        </w:tc>
        <w:tc>
          <w:tcPr>
            <w:tcW w:type="dxa" w:w="3175"/>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المخرج القياسي</w:t>
            </w:r>
          </w:p>
        </w:tc>
      </w:tr>
      <w:tr>
        <w:trPr>
          <w:cantSplit/>
        </w:trPr>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1. خريطة المصادر</w:t>
            </w:r>
          </w:p>
        </w:tc>
        <w:tc>
          <w:tcPr>
            <w:tcW w:type="dxa" w:w="266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سلة/طلبات/Ads/GA4/مخزون/واتساب</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CRM/Leads/عروض/مشاريع/فواتير/Calendar</w:t>
            </w:r>
          </w:p>
        </w:tc>
        <w:tc>
          <w:tcPr>
            <w:tcW w:type="dxa" w:w="317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Source Registry + جودة وحداثة</w:t>
            </w:r>
          </w:p>
        </w:tc>
      </w:tr>
      <w:tr>
        <w:trPr>
          <w:cantSplit/>
        </w:trPr>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2. الكيانات الموحدة</w:t>
            </w:r>
          </w:p>
        </w:tc>
        <w:tc>
          <w:tcPr>
            <w:tcW w:type="dxa" w:w="266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عميل/SKU/طلب/عرض/قناة</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عميل/فرصة/خدمة/عرض سعر/مشروع</w:t>
            </w:r>
          </w:p>
        </w:tc>
        <w:tc>
          <w:tcPr>
            <w:tcW w:type="dxa" w:w="317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Master Entities بدون تكرار</w:t>
            </w:r>
          </w:p>
        </w:tc>
      </w:tr>
      <w:tr>
        <w:trPr>
          <w:cantSplit/>
        </w:trPr>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3. خط الأساس</w:t>
            </w:r>
          </w:p>
        </w:tc>
        <w:tc>
          <w:tcPr>
            <w:tcW w:type="dxa" w:w="266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Revenue/AOV/CAC/CVR/Repeat/Margin</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Leads/Close Rate/ACV/CAC/Utilization/Margin</w:t>
            </w:r>
          </w:p>
        </w:tc>
        <w:tc>
          <w:tcPr>
            <w:tcW w:type="dxa" w:w="317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Baseline بتاريخ واضح</w:t>
            </w:r>
          </w:p>
        </w:tc>
      </w:tr>
      <w:tr>
        <w:trPr>
          <w:cantSplit/>
        </w:trPr>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4. التشخيص</w:t>
            </w:r>
          </w:p>
        </w:tc>
        <w:tc>
          <w:tcPr>
            <w:tcW w:type="dxa" w:w="266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أكبر تسرب في الزيارة→السلة→الدفع</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أكبر تسرب في lead→qualification→proposal→close</w:t>
            </w:r>
          </w:p>
        </w:tc>
        <w:tc>
          <w:tcPr>
            <w:tcW w:type="dxa" w:w="317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اختناق واحد بالأدلة</w:t>
            </w:r>
          </w:p>
        </w:tc>
      </w:tr>
      <w:tr>
        <w:trPr>
          <w:cantSplit/>
        </w:trPr>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5. محرك التجارب</w:t>
            </w:r>
          </w:p>
        </w:tc>
        <w:tc>
          <w:tcPr>
            <w:tcW w:type="dxa" w:w="266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منتج/عرض/جمهور/صفحة/قناة</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باقة/رسالة/قطاع/قناة/عرض سعر</w:t>
            </w:r>
          </w:p>
        </w:tc>
        <w:tc>
          <w:tcPr>
            <w:tcW w:type="dxa" w:w="317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Hypothesis + One Change + KPI</w:t>
            </w:r>
          </w:p>
        </w:tc>
      </w:tr>
      <w:tr>
        <w:trPr>
          <w:cantSplit/>
        </w:trPr>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6. سجل القرار</w:t>
            </w:r>
          </w:p>
        </w:tc>
        <w:tc>
          <w:tcPr>
            <w:tcW w:type="dxa" w:w="266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وسع/أصلح/أوقف</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تابع/أغلق/عدّل/أوقف</w:t>
            </w:r>
          </w:p>
        </w:tc>
        <w:tc>
          <w:tcPr>
            <w:tcW w:type="dxa" w:w="317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Decision Log + سبب + مالك + موعد</w:t>
            </w:r>
          </w:p>
        </w:tc>
      </w:tr>
      <w:tr>
        <w:trPr>
          <w:cantSplit/>
        </w:trPr>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7. التشغيل القياسي</w:t>
            </w:r>
          </w:p>
        </w:tc>
        <w:tc>
          <w:tcPr>
            <w:tcW w:type="dxa" w:w="266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محتوى/خدمة/شحن/استعادة</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تنقيب/متابعة/تسليم/تحصيل</w:t>
            </w:r>
          </w:p>
        </w:tc>
        <w:tc>
          <w:tcPr>
            <w:tcW w:type="dxa" w:w="317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SOP + SLA + Checklist</w:t>
            </w:r>
          </w:p>
        </w:tc>
      </w:tr>
      <w:tr>
        <w:trPr>
          <w:cantSplit/>
        </w:trPr>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8. حلقة التعلم</w:t>
            </w:r>
          </w:p>
        </w:tc>
        <w:tc>
          <w:tcPr>
            <w:tcW w:type="dxa" w:w="266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لغة العملاء→صفحة→إعلان→نتيجة</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اعتراضات→عرض→Pitch→نتيجة</w:t>
            </w:r>
          </w:p>
        </w:tc>
        <w:tc>
          <w:tcPr>
            <w:tcW w:type="dxa" w:w="317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Knowledge Loop قابل لإعادة الاستخدام</w:t>
            </w:r>
          </w:p>
        </w:tc>
      </w:tr>
      <w:tr>
        <w:trPr>
          <w:cantSplit/>
        </w:trPr>
        <w:tc>
          <w:tcPr>
            <w:tcW w:type="dxa" w:w="1814"/>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9. نقل الاستقلالية</w:t>
            </w:r>
          </w:p>
        </w:tc>
        <w:tc>
          <w:tcPr>
            <w:tcW w:type="dxa" w:w="266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المؤسس→الموظف</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الشريك/المستشار→الفريق</w:t>
            </w:r>
          </w:p>
        </w:tc>
        <w:tc>
          <w:tcPr>
            <w:tcW w:type="dxa" w:w="317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مراحل إشراف وبوابات جودة</w:t>
            </w:r>
          </w:p>
        </w:tc>
      </w:tr>
      <w:tr>
        <w:trPr>
          <w:cantSplit/>
        </w:trPr>
        <w:tc>
          <w:tcPr>
            <w:tcW w:type="dxa" w:w="1814"/>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10. الأتمتة</w:t>
            </w:r>
          </w:p>
        </w:tc>
        <w:tc>
          <w:tcPr>
            <w:tcW w:type="dxa" w:w="266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بعد إثبات الخطوة يدوياً</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بعد إثبات workflow</w:t>
            </w:r>
          </w:p>
        </w:tc>
        <w:tc>
          <w:tcPr>
            <w:tcW w:type="dxa" w:w="317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Automation فقط للمكرر المثبت</w:t>
            </w:r>
          </w:p>
        </w:tc>
      </w:tr>
    </w:tbl>
    <w:p>
      <w:pPr>
        <w:spacing w:after="0"/>
        <w:widowControl/>
        <w:bidi w:val="1"/>
        <w:jc w:val="right"/>
      </w:pPr>
    </w:p>
    <w:p>
      <w:pPr>
        <w:pStyle w:val="Heading2"/>
        <w:keepNext/>
        <w:widowControl/>
        <w:bidi w:val="1"/>
        <w:jc w:val="right"/>
      </w:pPr>
      <w:r>
        <w:rPr>
          <w:rFonts w:ascii="Noto Sans Arabic" w:hAnsi="Noto Sans Arabic" w:eastAsia="Noto Sans Arabic" w:cs="Noto Sans Arabic"/>
          <w:b/>
          <w:color w:val="0B6B63"/>
          <w:sz w:val="28"/>
          <w:rtl w:val="1"/>
        </w:rPr>
        <w:t>قواعد التشغيل العامة التي يجب تثبيتها في أي شركة</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لا KPI بلا مصدر وتاريخ ونطاق.</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لا حملة/مبادرة قبل Baseline واضح وحدث تحويل يمكن التحقق منه.</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كل تجربة تغيّر متغيراً واحداً قدر الإمكان، ولها حد نجاح/إيقاف مسبق.</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القرار اليومي يجب أن يذكر: الدليل، القرار، المسؤول، الموعد، المقياس، الخطوة التالية.</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العميل/الرقم/الإيميل أصل علاقة، وليس إذناً تلقائياً للتسويق.</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لا أتمتة لخطوة لم تُثبت يدوياً أنها مفيدة وقابلة للتكرار.</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الأفكار الجديدة تدخل Backlog؛ لا تقاطع التجربة الجارية إلا لخطر حقيقي.</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كل 7 أيام: راجع Actual مقابل Baseline؛ وسّع الفائز، أصلح الاختناق، واقتل ما لا يعمل.</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كل 30 يوماً: حوّل التعلم المتكرر إلى SOP/Template وليس محادثة محفوظة في رأس المؤسس.</w:t>
      </w:r>
    </w:p>
    <w:p>
      <w:pPr>
        <w:pStyle w:val="Heading2"/>
        <w:keepNext/>
        <w:widowControl/>
        <w:bidi w:val="1"/>
        <w:jc w:val="right"/>
      </w:pPr>
      <w:r>
        <w:rPr>
          <w:rFonts w:ascii="Noto Sans Arabic" w:hAnsi="Noto Sans Arabic" w:eastAsia="Noto Sans Arabic" w:cs="Noto Sans Arabic"/>
          <w:b/>
          <w:color w:val="0B6B63"/>
          <w:sz w:val="28"/>
          <w:rtl w:val="1"/>
        </w:rPr>
        <w:t>درجة قابلية النسخ الحالية - تقييم تحليلي</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cantSplit/>
        </w:trPr>
        <w:tc>
          <w:tcPr>
            <w:tcW w:type="dxa" w:w="2835"/>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7"/>
                <w:rtl w:val="1"/>
              </w:rPr>
              <w:t>البعد</w:t>
            </w:r>
          </w:p>
        </w:tc>
        <w:tc>
          <w:tcPr>
            <w:tcW w:type="dxa" w:w="1928"/>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7"/>
                <w:rtl w:val="1"/>
              </w:rPr>
              <w:t>التقييم التحليلي</w:t>
            </w:r>
          </w:p>
        </w:tc>
        <w:tc>
          <w:tcPr>
            <w:tcW w:type="dxa" w:w="4535"/>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7"/>
                <w:rtl w:val="1"/>
              </w:rPr>
              <w:t>السبب</w:t>
            </w:r>
          </w:p>
        </w:tc>
      </w:tr>
      <w:tr>
        <w:trPr>
          <w:cantSplit/>
        </w:trPr>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توفر البيانات التاريخية</w:t>
            </w:r>
          </w:p>
        </w:tc>
        <w:tc>
          <w:tcPr>
            <w:tcW w:type="dxa" w:w="192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8/10</w:t>
            </w:r>
          </w:p>
        </w:tc>
        <w:tc>
          <w:tcPr>
            <w:tcW w:type="dxa" w:w="45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كمية جيدة ودمج قوي حتى 2023</w:t>
            </w:r>
          </w:p>
        </w:tc>
      </w:tr>
      <w:tr>
        <w:trPr>
          <w:cantSplit/>
        </w:trPr>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حداثة البيانات</w:t>
            </w:r>
          </w:p>
        </w:tc>
        <w:tc>
          <w:tcPr>
            <w:tcW w:type="dxa" w:w="192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3/10</w:t>
            </w:r>
          </w:p>
        </w:tc>
        <w:tc>
          <w:tcPr>
            <w:tcW w:type="dxa" w:w="45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فجوة كبيرة بعد مارس 2023</w:t>
            </w:r>
          </w:p>
        </w:tc>
      </w:tr>
      <w:tr>
        <w:trPr>
          <w:cantSplit/>
        </w:trPr>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نظام المعرفة/القرار</w:t>
            </w:r>
          </w:p>
        </w:tc>
        <w:tc>
          <w:tcPr>
            <w:tcW w:type="dxa" w:w="192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8/10</w:t>
            </w:r>
          </w:p>
        </w:tc>
        <w:tc>
          <w:tcPr>
            <w:tcW w:type="dxa" w:w="45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سجلات وخرائط مصادر وتجارب واضحة</w:t>
            </w:r>
          </w:p>
        </w:tc>
      </w:tr>
      <w:tr>
        <w:trPr>
          <w:cantSplit/>
        </w:trPr>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القياس التجاري الحالي</w:t>
            </w:r>
          </w:p>
        </w:tc>
        <w:tc>
          <w:tcPr>
            <w:tcW w:type="dxa" w:w="192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4/10</w:t>
            </w:r>
          </w:p>
        </w:tc>
        <w:tc>
          <w:tcPr>
            <w:tcW w:type="dxa" w:w="45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GA4/Ads/هامش/استلام غير مثبتين كمجموعة واحدة</w:t>
            </w:r>
          </w:p>
        </w:tc>
      </w:tr>
      <w:tr>
        <w:trPr>
          <w:cantSplit/>
        </w:trPr>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التنفيذ والانضباط</w:t>
            </w:r>
          </w:p>
        </w:tc>
        <w:tc>
          <w:tcPr>
            <w:tcW w:type="dxa" w:w="192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2/10</w:t>
            </w:r>
          </w:p>
        </w:tc>
        <w:tc>
          <w:tcPr>
            <w:tcW w:type="dxa" w:w="45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7"/>
                <w:rtl w:val="1"/>
              </w:rPr>
              <w:t>السجل اليومي لا يثبت بدء التحدي</w:t>
            </w:r>
          </w:p>
        </w:tc>
      </w:tr>
      <w:tr>
        <w:trPr>
          <w:cantSplit/>
        </w:trPr>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إمكانية التحويل إلى منتج قابل للتكرار</w:t>
            </w:r>
          </w:p>
        </w:tc>
        <w:tc>
          <w:tcPr>
            <w:tcW w:type="dxa" w:w="192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9/10 محتملة</w:t>
            </w:r>
          </w:p>
        </w:tc>
        <w:tc>
          <w:tcPr>
            <w:tcW w:type="dxa" w:w="45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7"/>
                <w:rtl w:val="1"/>
              </w:rPr>
              <w:t>الهيكل عام وقابل لتبديل SKU بخدمة/صفقة</w:t>
            </w:r>
          </w:p>
        </w:tc>
      </w:tr>
    </w:tbl>
    <w:p>
      <w:pPr>
        <w:spacing w:after="0"/>
        <w:widowControl/>
        <w:bidi w:val="1"/>
        <w:jc w:val="right"/>
      </w:pPr>
    </w:p>
    <w:p>
      <w:pPr>
        <w:pStyle w:val="SourceNote"/>
        <w:widowControl/>
        <w:bidi w:val="1"/>
        <w:jc w:val="right"/>
      </w:pPr>
      <w:r>
        <w:rPr>
          <w:rFonts w:ascii="Noto Sans Arabic" w:hAnsi="Noto Sans Arabic" w:eastAsia="Noto Sans Arabic" w:cs="Noto Sans Arabic"/>
          <w:b w:val="0"/>
          <w:color w:val="5A6369"/>
          <w:sz w:val="16"/>
          <w:rtl w:val="1"/>
        </w:rPr>
        <w:t>المصدر: هذا التقييم رأي تحليلي في 01-09-2026 وليس نتيجة تدقيق خارجي.</w:t>
      </w:r>
    </w:p>
    <w:p>
      <w:pPr>
        <w:pStyle w:val="Heading1"/>
        <w:keepNext/>
        <w:widowControl/>
        <w:bidi w:val="1"/>
        <w:jc w:val="right"/>
      </w:pPr>
      <w:r>
        <w:rPr>
          <w:rFonts w:ascii="Noto Sans Arabic" w:hAnsi="Noto Sans Arabic" w:eastAsia="Noto Sans Arabic" w:cs="Noto Sans Arabic"/>
          <w:b/>
          <w:color w:val="182B3A"/>
          <w:sz w:val="36"/>
          <w:rtl w:val="1"/>
        </w:rPr>
        <w:t>الوضع الحالي، الأولوية الحالية، وأفضل خطوة تالية</w:t>
      </w:r>
    </w:p>
    <w:p>
      <w:pPr>
        <w:pStyle w:val="Heading2"/>
        <w:keepNext/>
        <w:widowControl/>
        <w:bidi w:val="1"/>
        <w:jc w:val="right"/>
      </w:pPr>
      <w:r>
        <w:rPr>
          <w:rFonts w:ascii="Noto Sans Arabic" w:hAnsi="Noto Sans Arabic" w:eastAsia="Noto Sans Arabic" w:cs="Noto Sans Arabic"/>
          <w:b/>
          <w:color w:val="0B6B63"/>
          <w:sz w:val="28"/>
          <w:rtl w:val="1"/>
        </w:rPr>
        <w:t>الوضع الحالي</w:t>
      </w:r>
    </w:p>
    <w:p>
      <w:pPr>
        <w:widowControl/>
        <w:bidi w:val="1"/>
        <w:jc w:val="right"/>
      </w:pPr>
      <w:r>
        <w:rPr>
          <w:rFonts w:ascii="Noto Sans Arabic" w:hAnsi="Noto Sans Arabic" w:eastAsia="Noto Sans Arabic" w:cs="Noto Sans Arabic"/>
          <w:b w:val="0"/>
          <w:sz w:val="20"/>
          <w:rtl w:val="1"/>
        </w:rPr>
        <w:t>فنجان عود يملك أصولاً وتجربة تاريخية كافية لإثبات أن السوق اشترى منه فعلاً، لكن المشروع اليوم لا يملك "صورة مالية وتشغيلية حديثة واحدة" يعتمد عليها القرار. توجد منظومة معرفة جيدة، إلا أن سجل التنفيذ لا يثبت تشغيلها فعلياً حتى 1 سبتمبر. بالتالي المشروع في مرحلة إعادة تأسيس نظام القياس والتنفيذ، لا في مرحلة توسع.</w:t>
      </w:r>
    </w:p>
    <w:p>
      <w:pPr>
        <w:pStyle w:val="Heading2"/>
        <w:keepNext/>
        <w:widowControl/>
        <w:bidi w:val="1"/>
        <w:jc w:val="right"/>
      </w:pPr>
      <w:r>
        <w:rPr>
          <w:rFonts w:ascii="Noto Sans Arabic" w:hAnsi="Noto Sans Arabic" w:eastAsia="Noto Sans Arabic" w:cs="Noto Sans Arabic"/>
          <w:b/>
          <w:color w:val="0B6B63"/>
          <w:sz w:val="28"/>
          <w:rtl w:val="1"/>
        </w:rPr>
        <w:t>الأولوية الحالية</w:t>
      </w:r>
    </w:p>
    <w:tbl>
      <w:tblPr>
        <w:tblW w:type="auto" w:w="0"/>
        <w:jc w:val="center"/>
        <w:tblLayout w:type="autofit"/>
        <w:tblLook w:firstColumn="1" w:firstRow="1" w:lastColumn="0" w:lastRow="0" w:noHBand="0" w:noVBand="1" w:val="04A0"/>
      </w:tblPr>
      <w:tblGrid>
        <w:gridCol w:w="10312"/>
      </w:tblGrid>
      <w:tr>
        <w:trPr>
          <w:cantSplit/>
        </w:trPr>
        <w:tc>
          <w:tcPr>
            <w:tcW w:type="dxa" w:w="10312"/>
            <w:shd w:fill="EAF4F2"/>
            <w:tcBorders>
              <w:top w:val="single" w:sz="6" w:color="0B6B63"/>
              <w:left w:val="single" w:sz="6" w:color="0B6B63"/>
              <w:bottom w:val="single" w:sz="6" w:color="0B6B63"/>
              <w:right w:val="single" w:sz="6" w:color="0B6B63"/>
            </w:tcBorders>
            <w:tcMar>
              <w:top w:w="140" w:type="dxa"/>
              <w:start w:w="160" w:type="dxa"/>
              <w:bottom w:w="140" w:type="dxa"/>
              <w:end w:w="160" w:type="dxa"/>
            </w:tcMar>
          </w:tcPr>
          <w:p>
            <w:pPr>
              <w:widowControl/>
              <w:bidi w:val="1"/>
              <w:jc w:val="right"/>
            </w:pPr>
            <w:r>
              <w:rPr>
                <w:rFonts w:ascii="Noto Sans Arabic" w:hAnsi="Noto Sans Arabic" w:eastAsia="Noto Sans Arabic" w:cs="Noto Sans Arabic"/>
                <w:b/>
                <w:color w:val="0B6B63"/>
                <w:sz w:val="21"/>
                <w:rtl w:val="1"/>
              </w:rPr>
              <w:t>تثبيت الحقيقة الحالية خلال 48 ساعة: بيانات سلة 2023-الآن + تكاليف/هوامش المنتج + مخزون + قياس التحويل + صلاحيات القنوات. لا محتوى ولا إعلان إضافي يسبق هذه البوابة إلا ما يلزم للاختبار.</w:t>
            </w:r>
          </w:p>
        </w:tc>
      </w:tr>
    </w:tbl>
    <w:p>
      <w:pPr>
        <w:spacing w:after="0"/>
        <w:widowControl/>
        <w:bidi w:val="1"/>
        <w:jc w:val="right"/>
      </w:pPr>
    </w:p>
    <w:p>
      <w:pPr>
        <w:pStyle w:val="Heading2"/>
        <w:keepNext/>
        <w:widowControl/>
        <w:bidi w:val="1"/>
        <w:jc w:val="right"/>
      </w:pPr>
      <w:r>
        <w:rPr>
          <w:rFonts w:ascii="Noto Sans Arabic" w:hAnsi="Noto Sans Arabic" w:eastAsia="Noto Sans Arabic" w:cs="Noto Sans Arabic"/>
          <w:b/>
          <w:color w:val="0B6B63"/>
          <w:sz w:val="28"/>
          <w:rtl w:val="1"/>
        </w:rPr>
        <w:t>أفضل خطوة تالية</w:t>
      </w:r>
    </w:p>
    <w:p>
      <w:pPr>
        <w:widowControl/>
        <w:bidi w:val="1"/>
        <w:jc w:val="right"/>
      </w:pPr>
      <w:r>
        <w:rPr>
          <w:rFonts w:ascii="Noto Sans Arabic" w:hAnsi="Noto Sans Arabic" w:eastAsia="Noto Sans Arabic" w:cs="Noto Sans Arabic"/>
          <w:b w:val="0"/>
          <w:sz w:val="20"/>
          <w:rtl w:val="1"/>
        </w:rPr>
        <w:t>نفّذ "Sprint إثبات واحد" وليس مشروعاً جديداً: صدّر آخر 30 و90 يوماً من سلة، اربط 10 أفضل SKUs بالتكلفة والهامش والمخزون، تحقق من Purchase في GA4 بالريال ورقم الطلب، اختر منتج بطل ومنافساً واحداً، ثم شغّل اختبار 1,500 ريال لمدة تكفي لقراءة القمع. بعده يصدر قرار واحد: Scale / Fix / Hold / Kill. وفي نفس الوقت يُحسم هدف الـ90 يوماً: نمو وربحية أم تجهيز للاستحواذ؛ لأن الاثنين يحتاجان نفس البيانات لكن يختلفان في ترتيب الأولويات.</w:t>
      </w:r>
    </w:p>
    <w:p>
      <w:pPr>
        <w:pStyle w:val="Heading1"/>
        <w:keepNext/>
        <w:widowControl/>
        <w:bidi w:val="1"/>
        <w:jc w:val="right"/>
      </w:pPr>
      <w:r>
        <w:rPr>
          <w:rFonts w:ascii="Noto Sans Arabic" w:hAnsi="Noto Sans Arabic" w:eastAsia="Noto Sans Arabic" w:cs="Noto Sans Arabic"/>
          <w:b/>
          <w:color w:val="182B3A"/>
          <w:sz w:val="36"/>
          <w:rtl w:val="1"/>
        </w:rPr>
        <w:t>ملحق: سجل التعارضات التي يجب حسمها</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rPr>
          <w:tblHeader w:val="true"/>
          <w:cantSplit/>
        </w:trPr>
        <w:tc>
          <w:tcPr>
            <w:tcW w:type="dxa" w:w="2098"/>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الموضوع</w:t>
            </w:r>
          </w:p>
        </w:tc>
        <w:tc>
          <w:tcPr>
            <w:tcW w:type="dxa" w:w="3175"/>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المصدر A</w:t>
            </w:r>
          </w:p>
        </w:tc>
        <w:tc>
          <w:tcPr>
            <w:tcW w:type="dxa" w:w="3175"/>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المصدر B</w:t>
            </w:r>
          </w:p>
        </w:tc>
        <w:tc>
          <w:tcPr>
            <w:tcW w:type="dxa" w:w="2835"/>
            <w:shd w:fill="18303C"/>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color w:val="FFFFFF"/>
                <w:sz w:val="15"/>
                <w:rtl w:val="1"/>
              </w:rPr>
              <w:t>الحسم المطلوب</w:t>
            </w:r>
          </w:p>
        </w:tc>
      </w:tr>
      <w:tr>
        <w:trPr>
          <w:cantSplit/>
        </w:trPr>
        <w:tc>
          <w:tcPr>
            <w:tcW w:type="dxa" w:w="209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إجمالي المبيعات/قيمة الطلبات</w:t>
            </w:r>
          </w:p>
        </w:tc>
        <w:tc>
          <w:tcPr>
            <w:tcW w:type="dxa" w:w="317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2.32م قيمة طلبات منظمة حتى 03-2023</w:t>
            </w:r>
          </w:p>
        </w:tc>
        <w:tc>
          <w:tcPr>
            <w:tcW w:type="dxa" w:w="317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≈3.3م مبيعات تاريخية في عرض الاستحواذ</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تسوية سلة + بنك + محاسبة</w:t>
            </w:r>
          </w:p>
        </w:tc>
      </w:tr>
      <w:tr>
        <w:trPr>
          <w:cantSplit/>
        </w:trPr>
        <w:tc>
          <w:tcPr>
            <w:tcW w:type="dxa" w:w="209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إجمالي الطلبات</w:t>
            </w:r>
          </w:p>
        </w:tc>
        <w:tc>
          <w:tcPr>
            <w:tcW w:type="dxa" w:w="317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11,354 منظمة</w:t>
            </w:r>
          </w:p>
        </w:tc>
        <w:tc>
          <w:tcPr>
            <w:tcW w:type="dxa" w:w="317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13,000+ استحواذ / &gt;20,000 في عرض أقدم</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تعريف هل الرقم طلبات أم بنود/منتجات وفترة التغطية</w:t>
            </w:r>
          </w:p>
        </w:tc>
      </w:tr>
      <w:tr>
        <w:trPr>
          <w:cantSplit/>
        </w:trPr>
        <w:tc>
          <w:tcPr>
            <w:tcW w:type="dxa" w:w="209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عدد العملاء</w:t>
            </w:r>
          </w:p>
        </w:tc>
        <w:tc>
          <w:tcPr>
            <w:tcW w:type="dxa" w:w="317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8,279 مشتري / 8,858 جهة موحدة</w:t>
            </w:r>
          </w:p>
        </w:tc>
        <w:tc>
          <w:tcPr>
            <w:tcW w:type="dxa" w:w="317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7,900+ أو 983 في ملفات أقدم</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توحيد تعريف العميل ونطاق كل ملف</w:t>
            </w:r>
          </w:p>
        </w:tc>
      </w:tr>
      <w:tr>
        <w:trPr>
          <w:cantSplit/>
        </w:trPr>
        <w:tc>
          <w:tcPr>
            <w:tcW w:type="dxa" w:w="209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الجمهور العمري</w:t>
            </w:r>
          </w:p>
        </w:tc>
        <w:tc>
          <w:tcPr>
            <w:tcW w:type="dxa" w:w="317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18-45 في الموقع</w:t>
            </w:r>
          </w:p>
        </w:tc>
        <w:tc>
          <w:tcPr>
            <w:tcW w:type="dxa" w:w="317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25-50 في Persona قديمة / الشباب غير مستهدفين</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اعتماد سلوك فعلي آخر 90 يوماً</w:t>
            </w:r>
          </w:p>
        </w:tc>
      </w:tr>
      <w:tr>
        <w:trPr>
          <w:cantSplit/>
        </w:trPr>
        <w:tc>
          <w:tcPr>
            <w:tcW w:type="dxa" w:w="209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هيكل الملكية/التمويل</w:t>
            </w:r>
          </w:p>
        </w:tc>
        <w:tc>
          <w:tcPr>
            <w:tcW w:type="dxa" w:w="317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استحواذ كامل 100% في 2026</w:t>
            </w:r>
          </w:p>
        </w:tc>
        <w:tc>
          <w:tcPr>
            <w:tcW w:type="dxa" w:w="317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250 ألف مقابل 20% بتقييم 1.25م في عرض قديم</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اختيار استراتيجية حالية واحدة</w:t>
            </w:r>
          </w:p>
        </w:tc>
      </w:tr>
      <w:tr>
        <w:trPr>
          <w:cantSplit/>
        </w:trPr>
        <w:tc>
          <w:tcPr>
            <w:tcW w:type="dxa" w:w="2098"/>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ميزانية الاختبار</w:t>
            </w:r>
          </w:p>
        </w:tc>
        <w:tc>
          <w:tcPr>
            <w:tcW w:type="dxa" w:w="317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1,050+300+150</w:t>
            </w:r>
          </w:p>
        </w:tc>
        <w:tc>
          <w:tcPr>
            <w:tcW w:type="dxa" w:w="317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نسخة موسمية 700+350+300+150</w:t>
            </w:r>
          </w:p>
        </w:tc>
        <w:tc>
          <w:tcPr>
            <w:tcW w:type="dxa" w:w="2835"/>
            <w:tcMar>
              <w:top w:w="80" w:type="dxa"/>
              <w:start w:w="100" w:type="dxa"/>
              <w:bottom w:w="80" w:type="dxa"/>
              <w:end w:w="100" w:type="dxa"/>
            </w:tcMar>
            <w:vAlign w:val="center"/>
          </w:tcPr>
          <w:p>
            <w:pPr>
              <w:widowControl/>
              <w:bidi w:val="1"/>
              <w:jc w:val="right"/>
            </w:pPr>
            <w:r>
              <w:rPr>
                <w:rFonts w:ascii="Noto Sans Arabic" w:hAnsi="Noto Sans Arabic" w:eastAsia="Noto Sans Arabic" w:cs="Noto Sans Arabic"/>
                <w:b w:val="0"/>
                <w:color w:val="182B3A"/>
                <w:sz w:val="15"/>
                <w:rtl w:val="1"/>
              </w:rPr>
              <w:t>اعتماد التجربة الحالية فقط</w:t>
            </w:r>
          </w:p>
        </w:tc>
      </w:tr>
      <w:tr>
        <w:trPr>
          <w:cantSplit/>
        </w:trPr>
        <w:tc>
          <w:tcPr>
            <w:tcW w:type="dxa" w:w="2098"/>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سعر/عملة الموقع</w:t>
            </w:r>
          </w:p>
        </w:tc>
        <w:tc>
          <w:tcPr>
            <w:tcW w:type="dxa" w:w="317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الدولار ظاهر في الفحص الخارجي</w:t>
            </w:r>
          </w:p>
        </w:tc>
        <w:tc>
          <w:tcPr>
            <w:tcW w:type="dxa" w:w="317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يفترض SAR للعميل السعودي حسب إعدادات/جغرافيا</w:t>
            </w:r>
          </w:p>
        </w:tc>
        <w:tc>
          <w:tcPr>
            <w:tcW w:type="dxa" w:w="2835"/>
            <w:tcMar>
              <w:top w:w="80" w:type="dxa"/>
              <w:start w:w="100" w:type="dxa"/>
              <w:bottom w:w="80" w:type="dxa"/>
              <w:end w:w="100" w:type="dxa"/>
            </w:tcMar>
            <w:vAlign w:val="center"/>
            <w:shd w:fill="F6F3EC"/>
          </w:tcPr>
          <w:p>
            <w:pPr>
              <w:widowControl/>
              <w:bidi w:val="1"/>
              <w:jc w:val="right"/>
            </w:pPr>
            <w:r>
              <w:rPr>
                <w:rFonts w:ascii="Noto Sans Arabic" w:hAnsi="Noto Sans Arabic" w:eastAsia="Noto Sans Arabic" w:cs="Noto Sans Arabic"/>
                <w:b w:val="0"/>
                <w:color w:val="182B3A"/>
                <w:sz w:val="15"/>
                <w:rtl w:val="1"/>
              </w:rPr>
              <w:t>اختبار جوال سعودي حقيقي + Checkout</w:t>
            </w:r>
          </w:p>
        </w:tc>
      </w:tr>
    </w:tbl>
    <w:p>
      <w:pPr>
        <w:spacing w:after="0"/>
        <w:widowControl/>
        <w:bidi w:val="1"/>
        <w:jc w:val="right"/>
      </w:pPr>
    </w:p>
    <w:p>
      <w:pPr>
        <w:pStyle w:val="Heading1"/>
        <w:keepNext/>
        <w:widowControl/>
        <w:bidi w:val="1"/>
        <w:jc w:val="right"/>
      </w:pPr>
      <w:r>
        <w:rPr>
          <w:rFonts w:ascii="Noto Sans Arabic" w:hAnsi="Noto Sans Arabic" w:eastAsia="Noto Sans Arabic" w:cs="Noto Sans Arabic"/>
          <w:b/>
          <w:color w:val="182B3A"/>
          <w:sz w:val="36"/>
          <w:rtl w:val="1"/>
        </w:rPr>
        <w:t>حدود هذا الإصدار</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تمت مراجعة ملفات File Library ذات الصلة، سياق المحادثات المتاح، بحث Drive، وبريد الحساب المتصل في الجلسة. لم تتمكن هذه الجولة من فتح محتوى كل واحد من 4,704 أصل Drive أو كل صناديق بريد فنجان عود كصناديق مستقلة.</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0B6B63"/>
          <w:sz w:val="18"/>
          <w:rtl w:val="1"/>
        </w:rPr>
        <w:t xml:space="preserve">[حقيقة] </w:t>
      </w:r>
      <w:r>
        <w:rPr>
          <w:rFonts w:ascii="Noto Sans Arabic" w:hAnsi="Noto Sans Arabic" w:eastAsia="Noto Sans Arabic" w:cs="Noto Sans Arabic"/>
          <w:b w:val="0"/>
          <w:color w:val="182B3A"/>
          <w:sz w:val="20"/>
          <w:rtl w:val="1"/>
        </w:rPr>
        <w:t>لم يتم اختراع أي رقم مالي مفقود. أي رقم سوق خارجي غير متحقق أو نسبة ضريبية/سوقية خارجية من دراسة الجدوى لم تُستخدم كأساس قرار في هذا الملف.</w:t>
      </w:r>
    </w:p>
    <w:p>
      <w:pPr>
        <w:widowControl/>
        <w:bidi w:val="1"/>
        <w:ind w:left="0" w:right="255" w:hanging="125"/>
        <w:jc w:val="right"/>
      </w:pPr>
      <w:r>
        <w:rPr>
          <w:rFonts w:ascii="Noto Sans Arabic" w:hAnsi="Noto Sans Arabic" w:eastAsia="Noto Sans Arabic" w:cs="Noto Sans Arabic"/>
          <w:b/>
          <w:color w:val="0B6B63"/>
          <w:sz w:val="21"/>
          <w:rtl w:val="1"/>
        </w:rPr>
        <w:t xml:space="preserve">• </w:t>
      </w:r>
      <w:r>
        <w:rPr>
          <w:rFonts w:ascii="Noto Sans Arabic" w:hAnsi="Noto Sans Arabic" w:eastAsia="Noto Sans Arabic" w:cs="Noto Sans Arabic"/>
          <w:b/>
          <w:color w:val="182B3A"/>
          <w:sz w:val="18"/>
          <w:rtl w:val="1"/>
        </w:rPr>
        <w:t xml:space="preserve">[رأي/توصية] </w:t>
      </w:r>
      <w:r>
        <w:rPr>
          <w:rFonts w:ascii="Noto Sans Arabic" w:hAnsi="Noto Sans Arabic" w:eastAsia="Noto Sans Arabic" w:cs="Noto Sans Arabic"/>
          <w:b w:val="0"/>
          <w:color w:val="182B3A"/>
          <w:sz w:val="20"/>
          <w:rtl w:val="1"/>
        </w:rPr>
        <w:t>الملف مصمم ليكون حيّاً: كل معلومة متغيرة يجب تحديث تاريخها ومصدرها عند دخول تصدير سلة أو تكلفة أو نتيجة تجربة جديدة.</w:t>
      </w:r>
    </w:p>
    <w:sectPr w:rsidR="00FC693F" w:rsidRPr="0006063C" w:rsidSect="00034616">
      <w:headerReference w:type="default" r:id="rId9"/>
      <w:footerReference w:type="default" r:id="rId10"/>
      <w:pgSz w:w="12240" w:h="15840"/>
      <w:pgMar w:top="907"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right"/>
    </w:pPr>
    <w:r>
      <w:rPr>
        <w:rFonts w:ascii="Noto Sans Arabic" w:hAnsi="Noto Sans Arabic" w:eastAsia="Noto Sans Arabic" w:cs="Noto Sans Arabic"/>
        <w:b w:val="0"/>
        <w:color w:val="5A6369"/>
        <w:sz w:val="16"/>
        <w:rtl w:val="1"/>
      </w:rPr>
      <w:t>نسخة قرار - الحقائق أولاً، والافتراضات معلّمة بوضوح</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Noto Sans Arabic" w:hAnsi="Noto Sans Arabic" w:eastAsia="Noto Sans Arabic" w:cs="Noto Sans Arabic"/>
        <w:b w:val="0"/>
        <w:color w:val="5A6369"/>
        <w:sz w:val="16"/>
        <w:rtl w:val="1"/>
      </w:rPr>
      <w:t>فنجان عود | ملف المعرفة التنفيذي الموحد | 1 سبتمبر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pPr>
    <w:rPr>
      <w:rFonts w:ascii="Noto Sans Arabic" w:hAnsi="Noto Sans Arabic"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Noto Sans Arabic" w:hAnsi="Noto Sans Arabic" w:cs="Noto Sans Arabic"/>
      <w:b/>
      <w:bCs/>
      <w:color w:val="182B3A"/>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Arabic" w:hAnsi="Noto Sans Arabic" w:cs="Noto Sans Arabic"/>
      <w:b/>
      <w:bCs/>
      <w:color w:val="0B6B63"/>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Arabic" w:hAnsi="Noto Sans Arabic" w:cs="Noto Sans Arabic"/>
      <w:b/>
      <w:bCs/>
      <w:color w:val="AD714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Noto Sans Arabic" w:hAnsi="Noto Sans Arabic" w:cs="Noto Sans Arabic"/>
      <w:b/>
      <w:color w:val="182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40"/>
    </w:pPr>
    <w:rPr>
      <w:rFonts w:ascii="Noto Sans Arabic" w:hAnsi="Noto Sans Arabic" w:cs="Noto Sans Arabic"/>
      <w:color w:val="5A6369"/>
      <w:sz w:val="16"/>
    </w:rPr>
  </w:style>
  <w:style w:type="paragraph" w:customStyle="1" w:styleId="Callout">
    <w:name w:val="Callout"/>
    <w:rPr>
      <w:rFonts w:ascii="Noto Sans Arabic" w:hAnsi="Noto Sans Arabic" w:cs="Noto Sans Arabic"/>
      <w:b/>
      <w:color w:val="0B6B6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upoud.com" TargetMode="External"/><Relationship Id="rId12" Type="http://schemas.openxmlformats.org/officeDocument/2006/relationships/hyperlink" Target="https://docs.google.com/spreadsheets/d/1o89n2vb68AGe0lHqR6WsxewOlgivj7_2/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فنجان عود - ملف المعرفة التنفيذي الموحد</dc:title>
  <dc:subject>قاعدة معرفة موحدة للقرار والنمو والتكرار</dc:subject>
  <dc:creator>OpenAI - إعداد تحليلي بناءً على مصادر المشروع</dc:creator>
  <cp:keywords/>
  <dc:description>Generated from provided/project-accessible sources; sensitive customer-level data omitted from narrative.</dc:description>
  <cp:lastModifiedBy/>
  <cp:revision>1</cp:revision>
  <dcterms:created xsi:type="dcterms:W3CDTF">2013-12-23T23:15:00Z</dcterms:created>
  <dcterms:modified xsi:type="dcterms:W3CDTF">2013-12-23T23:15:00Z</dcterms:modified>
  <cp:category/>
</cp:coreProperties>
</file>