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  <w:rtl/>
        </w:rPr>
        <w:t xml:space="preserve">البرومبتات وخوارزمية SRS في مشروع «أثر»</w:t>
      </w:r>
    </w:p>
    <w:p>
      <w:pPr>
        <w:pBdr>
          <w:bottom w:val="single" w:color="1F4E79" w:sz="12" w:space="8"/>
        </w:pBdr>
        <w:bidi/>
        <w:spacing w:after="240"/>
        <w:jc w:val="right"/>
      </w:pPr>
      <w:r>
        <w:rPr>
          <w:rFonts w:ascii="Arial" w:cs="Arial" w:eastAsia="Arial" w:hAnsi="Arial"/>
          <w:i/>
          <w:iCs/>
          <w:color w:val="5A5A5A"/>
          <w:sz w:val="22"/>
          <w:szCs w:val="22"/>
          <w:rtl/>
        </w:rPr>
        <w:t xml:space="preserve">مراجعة قبل المناقشة</w:t>
      </w:r>
    </w:p>
    <w:p>
      <w:pPr>
        <w:pStyle w:val="Heading1"/>
        <w:pBdr>
          <w:bottom w:val="single" w:color="C8C8C8" w:sz="8" w:space="6"/>
        </w:pBdr>
        <w:bidi/>
        <w:spacing w:after="170" w:before="34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أولاً: البرومبتات (اثنان، لا واحد)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F4E79"/>
          <w:sz w:val="25"/>
          <w:szCs w:val="25"/>
          <w:rtl/>
        </w:rPr>
        <w:t xml:space="preserve">١) برومبت التسميع — </w:t>
      </w:r>
      <w:r>
        <w:rPr>
          <w:rFonts w:ascii="Consolas" w:cs="Consolas" w:eastAsia="Consolas" w:hAnsi="Consolas"/>
          <w:b/>
          <w:bCs/>
          <w:color w:val="1F4E79"/>
          <w:sz w:val="20"/>
          <w:szCs w:val="20"/>
          <w:rtl w:val="false"/>
        </w:rPr>
        <w:t xml:space="preserve">app/Clients/Gemini/GeminiClient.php:17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يُرسَل كـ </w:t>
      </w:r>
      <w:r>
        <w:rPr>
          <w:rFonts w:ascii="Consolas" w:cs="Consolas" w:eastAsia="Consolas" w:hAnsi="Consolas"/>
          <w:color w:val="1F4E79"/>
          <w:sz w:val="19"/>
          <w:szCs w:val="19"/>
          <w:rtl w:val="false"/>
        </w:rPr>
        <w:t xml:space="preserve">systemInstruction</w:t>
      </w:r>
      <w:r>
        <w:rPr>
          <w:rFonts w:ascii="Arial" w:cs="Arial" w:eastAsia="Arial" w:hAnsi="Arial"/>
          <w:sz w:val="22"/>
          <w:szCs w:val="22"/>
          <w:rtl/>
        </w:rPr>
        <w:t xml:space="preserve">، ووظيفته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الملاحظات فقط لا الدرجة</w:t>
      </w:r>
      <w:r>
        <w:rPr>
          <w:rFonts w:ascii="Arial" w:cs="Arial" w:eastAsia="Arial" w:hAnsi="Arial"/>
          <w:sz w:val="22"/>
          <w:szCs w:val="22"/>
          <w:rtl/>
        </w:rPr>
        <w:t xml:space="preserve">:</w:t>
      </w:r>
    </w:p>
    <w:p>
      <w:pPr>
        <w:pBdr>
          <w:right w:val="single" w:color="C9A227" w:sz="18" w:space="8"/>
        </w:pBdr>
        <w:shd w:fill="FAF7F0" w:color="auto" w:val="clear"/>
        <w:bidi/>
        <w:spacing w:after="90" w:line="300"/>
        <w:ind w:left="220" w:right="2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تُقيّم حفظ الحديث. استخدم النص المرجعي والنص المستخرَج فقط. لا تخترع الحديث ولا تصحّحه.</w:t>
      </w:r>
    </w:p>
    <w:p>
      <w:pPr>
        <w:pBdr>
          <w:right w:val="single" w:color="C9A227" w:sz="18" w:space="8"/>
        </w:pBdr>
        <w:shd w:fill="FAF7F0" w:color="auto" w:val="clear"/>
        <w:bidi/>
        <w:spacing w:after="90" w:line="300"/>
        <w:ind w:left="220" w:right="2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النص آتٍ من التحويل الصوتي، فيحمل تشويهات ليست أخطاء حفظ.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لا تعدّها أخطاءً أبداً:</w:t>
      </w:r>
    </w:p>
    <w:p>
      <w:pPr>
        <w:pStyle w:val="ListParagraph"/>
        <w:numPr>
          <w:ilvl w:val="0"/>
          <w:numId w:val="2"/>
        </w:numPr>
        <w:pBdr>
          <w:right w:val="single" w:color="C9A227" w:sz="18" w:space="8"/>
        </w:pBdr>
        <w:shd w:fill="FAF7F0" w:color="auto" w:val="clear"/>
        <w:bidi/>
        <w:spacing w:after="60" w:line="290"/>
        <w:ind w:left="220" w:right="6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التاء المربوطة مكتوبة هاءً: «امراه» بدل «امرأة» — لا يميّزهما النطق</w:t>
      </w:r>
    </w:p>
    <w:p>
      <w:pPr>
        <w:pStyle w:val="ListParagraph"/>
        <w:numPr>
          <w:ilvl w:val="0"/>
          <w:numId w:val="2"/>
        </w:numPr>
        <w:pBdr>
          <w:right w:val="single" w:color="C9A227" w:sz="18" w:space="8"/>
        </w:pBdr>
        <w:shd w:fill="FAF7F0" w:color="auto" w:val="clear"/>
        <w:bidi/>
        <w:spacing w:after="60" w:line="290"/>
        <w:ind w:left="220" w:right="6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التشكيل الناقص أو المختلف</w:t>
      </w:r>
    </w:p>
    <w:p>
      <w:pPr>
        <w:pStyle w:val="ListParagraph"/>
        <w:numPr>
          <w:ilvl w:val="0"/>
          <w:numId w:val="2"/>
        </w:numPr>
        <w:pBdr>
          <w:right w:val="single" w:color="C9A227" w:sz="18" w:space="8"/>
        </w:pBdr>
        <w:shd w:fill="FAF7F0" w:color="auto" w:val="clear"/>
        <w:bidi/>
        <w:spacing w:after="60" w:line="290"/>
        <w:ind w:left="220" w:right="6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اختلاف الهمزة والألف: «الى» بدل «إلى»</w:t>
      </w:r>
    </w:p>
    <w:p>
      <w:pPr>
        <w:pBdr>
          <w:right w:val="single" w:color="C9A227" w:sz="18" w:space="8"/>
        </w:pBdr>
        <w:shd w:fill="FAF7F0" w:color="auto" w:val="clear"/>
        <w:bidi/>
        <w:spacing w:after="200" w:line="300"/>
        <w:ind w:left="220" w:right="2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بلّغ فقط عن أخطاء الاستذكار الحقيقية: كلمة ناقصة أو زائدة أو مستبدَلة أو مقطع مقلوب الترتيب.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ويُرسَل معه في </w:t>
      </w:r>
      <w:r>
        <w:rPr>
          <w:rFonts w:ascii="Consolas" w:cs="Consolas" w:eastAsia="Consolas" w:hAnsi="Consolas"/>
          <w:color w:val="1F4E79"/>
          <w:sz w:val="19"/>
          <w:szCs w:val="19"/>
          <w:rtl w:val="false"/>
        </w:rPr>
        <w:t xml:space="preserve">contents</w:t>
      </w:r>
      <w:r>
        <w:rPr>
          <w:rFonts w:ascii="Arial" w:cs="Arial" w:eastAsia="Arial" w:hAnsi="Arial"/>
          <w:sz w:val="22"/>
          <w:szCs w:val="22"/>
          <w:rtl/>
        </w:rPr>
        <w:t xml:space="preserve">: النص المرجعي، العنوان، الراوي، المصدر، نوع الجلسة،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مستوى SRS الحالي</w:t>
      </w:r>
      <w:r>
        <w:rPr>
          <w:rFonts w:ascii="Arial" w:cs="Arial" w:eastAsia="Arial" w:hAnsi="Arial"/>
          <w:sz w:val="22"/>
          <w:szCs w:val="22"/>
          <w:rtl/>
        </w:rPr>
        <w:t xml:space="preserve">، النص المستخرَج، و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تقرير المقارنة الحتمية كاملاً بصيغة JSON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bidi/>
        <w:spacing w:after="20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النقطة المهمة: </w:t>
      </w:r>
      <w:r>
        <w:rPr>
          <w:rFonts w:ascii="Arial" w:cs="Arial" w:eastAsia="Arial" w:hAnsi="Arial"/>
          <w:sz w:val="22"/>
          <w:szCs w:val="22"/>
          <w:rtl/>
        </w:rPr>
        <w:t xml:space="preserve">مستوى SRS يُعطى لـ</w:t>
      </w:r>
      <w:r>
        <w:rPr>
          <w:rFonts w:ascii="Consolas" w:cs="Consolas" w:eastAsia="Consolas" w:hAnsi="Consolas"/>
          <w:color w:val="1F4E79"/>
          <w:sz w:val="19"/>
          <w:szCs w:val="19"/>
          <w:rtl w:val="false"/>
        </w:rPr>
        <w:t xml:space="preserve">Gemini</w:t>
      </w:r>
      <w:r>
        <w:rPr>
          <w:rFonts w:ascii="Arial" w:cs="Arial" w:eastAsia="Arial" w:hAnsi="Arial"/>
          <w:sz w:val="22"/>
          <w:szCs w:val="22"/>
          <w:rtl/>
        </w:rPr>
        <w:t xml:space="preserve"> ليضبط نبرة الملاحظة فقط (مبتدئ أم متقدم)، لا ليقرر الجدولة. والمقارنة الحتمية تُعطى له كي يشرحها بالعربية، لا كي يعيد حسابها.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F4E79"/>
          <w:sz w:val="25"/>
          <w:szCs w:val="25"/>
          <w:rtl/>
        </w:rPr>
        <w:t xml:space="preserve">٢) برومبت تصحيح السبر — </w:t>
      </w:r>
      <w:r>
        <w:rPr>
          <w:rFonts w:ascii="Consolas" w:cs="Consolas" w:eastAsia="Consolas" w:hAnsi="Consolas"/>
          <w:b/>
          <w:bCs/>
          <w:color w:val="1F4E79"/>
          <w:sz w:val="20"/>
          <w:szCs w:val="20"/>
          <w:rtl w:val="false"/>
        </w:rPr>
        <w:t xml:space="preserve">app/Clients/Gemini/GeminiExamAnswerGrader.php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هذا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حَكَم فعلي، درجته معتمدة</w:t>
      </w:r>
      <w:r>
        <w:rPr>
          <w:rFonts w:ascii="Arial" w:cs="Arial" w:eastAsia="Arial" w:hAnsi="Arial"/>
          <w:sz w:val="22"/>
          <w:szCs w:val="22"/>
          <w:rtl/>
        </w:rPr>
        <w:t xml:space="preserve">. جوهره:</w:t>
      </w:r>
    </w:p>
    <w:p>
      <w:pPr>
        <w:pBdr>
          <w:right w:val="single" w:color="C9A227" w:sz="18" w:space="8"/>
        </w:pBdr>
        <w:shd w:fill="FAF7F0" w:color="auto" w:val="clear"/>
        <w:bidi/>
        <w:spacing w:after="90" w:line="300"/>
        <w:ind w:left="220" w:right="2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تصحّح إجابة مكتوبة واحدة. لديك الإجابة المرجعية من قاعدة البيانات وإجابة المتعلّم.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المرجع دائماً هو الصواب ولا يجوز عدّه خطأً.</w:t>
      </w:r>
    </w:p>
    <w:p>
      <w:pPr>
        <w:pBdr>
          <w:right w:val="single" w:color="C9A227" w:sz="18" w:space="8"/>
        </w:pBdr>
        <w:shd w:fill="FAF7F0" w:color="auto" w:val="clear"/>
        <w:bidi/>
        <w:spacing w:after="90" w:line="300"/>
        <w:ind w:left="220" w:right="2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قرّر إن كانت إجابة المتعلّم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تعني</w:t>
      </w:r>
      <w:r>
        <w:rPr>
          <w:rFonts w:ascii="Arial" w:cs="Arial" w:eastAsia="Arial" w:hAnsi="Arial"/>
          <w:sz w:val="22"/>
          <w:szCs w:val="22"/>
          <w:rtl/>
        </w:rPr>
        <w:t xml:space="preserve"> الشيء نفسه، لا إن كانت مكتوبة بالطريقة نفسها.</w:t>
      </w:r>
    </w:p>
    <w:p>
      <w:pPr>
        <w:pBdr>
          <w:right w:val="single" w:color="C9A227" w:sz="18" w:space="8"/>
        </w:pBdr>
        <w:shd w:fill="FAF7F0" w:color="auto" w:val="clear"/>
        <w:bidi/>
        <w:spacing w:after="90" w:line="300"/>
        <w:ind w:left="220" w:right="2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للسؤال المعلوماتي</w:t>
      </w:r>
      <w:r>
        <w:rPr>
          <w:rFonts w:ascii="Arial" w:cs="Arial" w:eastAsia="Arial" w:hAnsi="Arial"/>
          <w:sz w:val="22"/>
          <w:szCs w:val="22"/>
          <w:rtl/>
        </w:rPr>
        <w:t xml:space="preserve"> (الراوي أو التخريج) اقبل: اختلاف الإعراب («أبي ذر» = «أبو ذر»)، الاسم الأقصر («عمر» = «عمر بن الخطاب») أو الأطول («تميم بن أوس الداري» = «تميم الداري»)، الكنية والنسب، الهمزة والألف، التاء المربوطة هاءً، ألقاب التعظيم، وذكر أحد المخرِّجين حين يذكر المرجع عدة.</w:t>
      </w:r>
    </w:p>
    <w:p>
      <w:pPr>
        <w:pBdr>
          <w:right w:val="single" w:color="C9A227" w:sz="18" w:space="8"/>
        </w:pBdr>
        <w:shd w:fill="FAF7F0" w:color="auto" w:val="clear"/>
        <w:bidi/>
        <w:spacing w:after="90" w:line="300"/>
        <w:ind w:left="220" w:right="2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وكن حازماً في الاتجاه المقابل</w:t>
      </w:r>
      <w:r>
        <w:rPr>
          <w:rFonts w:ascii="Arial" w:cs="Arial" w:eastAsia="Arial" w:hAnsi="Arial"/>
          <w:sz w:val="22"/>
          <w:szCs w:val="22"/>
          <w:rtl/>
        </w:rPr>
        <w:t xml:space="preserve"> — قبول إجابة خاطئة سيّئٌ كرفض صحيحة: «أبو هريرة» ليس «أبو ذر»، و«عمر بن عبد العزيز» ليس «عمر بن الخطاب»، و«عمرو» ليس «عمر». والإجابة الفارغة أو «لا أعرف» أو كلمة عامة خاطئة.</w:t>
      </w:r>
    </w:p>
    <w:p>
      <w:pPr>
        <w:pBdr>
          <w:right w:val="single" w:color="C9A227" w:sz="18" w:space="8"/>
        </w:pBdr>
        <w:shd w:fill="FAF7F0" w:color="auto" w:val="clear"/>
        <w:bidi/>
        <w:spacing w:after="200" w:line="300"/>
        <w:ind w:left="220" w:right="2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لسؤال الاستذكار</w:t>
      </w:r>
      <w:r>
        <w:rPr>
          <w:rFonts w:ascii="Arial" w:cs="Arial" w:eastAsia="Arial" w:hAnsi="Arial"/>
          <w:sz w:val="22"/>
          <w:szCs w:val="22"/>
          <w:rtl/>
        </w:rPr>
        <w:t xml:space="preserve"> (أكمل / اتلُ) يجب أن تُطابق الصياغة المرجعية،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وتُخصَم الدرجة بمقدار الناقص لا يُرسَّب الجواب كله</w:t>
      </w:r>
      <w:r>
        <w:rPr>
          <w:rFonts w:ascii="Arial" w:cs="Arial" w:eastAsia="Arial" w:hAnsi="Arial"/>
          <w:sz w:val="22"/>
          <w:szCs w:val="22"/>
          <w:rtl/>
        </w:rPr>
        <w:t xml:space="preserve">. واختلاف الإملاء ليس خطأً أبداً — الإجابة قد تكون مُملاة صوتياً.</w:t>
      </w:r>
    </w:p>
    <w:p>
      <w:pPr>
        <w:bidi/>
        <w:spacing w:after="22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الآلية التقنية المشتركة: </w:t>
      </w:r>
      <w:r>
        <w:rPr>
          <w:rFonts w:ascii="Arial" w:cs="Arial" w:eastAsia="Arial" w:hAnsi="Arial"/>
          <w:sz w:val="22"/>
          <w:szCs w:val="22"/>
          <w:rtl/>
        </w:rPr>
        <w:t xml:space="preserve">كلاهما يمرّ عبر </w:t>
      </w:r>
      <w:r>
        <w:rPr>
          <w:rFonts w:ascii="Consolas" w:cs="Consolas" w:eastAsia="Consolas" w:hAnsi="Consolas"/>
          <w:color w:val="1F4E79"/>
          <w:sz w:val="19"/>
          <w:szCs w:val="19"/>
          <w:rtl w:val="false"/>
        </w:rPr>
        <w:t xml:space="preserve">GeminiTransport</w:t>
      </w:r>
      <w:r>
        <w:rPr>
          <w:rFonts w:ascii="Arial" w:cs="Arial" w:eastAsia="Arial" w:hAnsi="Arial"/>
          <w:sz w:val="22"/>
          <w:szCs w:val="22"/>
          <w:rtl/>
        </w:rPr>
        <w:t xml:space="preserve"> الذي يفرض </w:t>
      </w:r>
      <w:r>
        <w:rPr>
          <w:rFonts w:ascii="Consolas" w:cs="Consolas" w:eastAsia="Consolas" w:hAnsi="Consolas"/>
          <w:color w:val="1F4E79"/>
          <w:sz w:val="19"/>
          <w:szCs w:val="19"/>
          <w:rtl w:val="false"/>
        </w:rPr>
        <w:t xml:space="preserve">responseSchema</w:t>
      </w:r>
      <w:r>
        <w:rPr>
          <w:rFonts w:ascii="Arial" w:cs="Arial" w:eastAsia="Arial" w:hAnsi="Arial"/>
          <w:sz w:val="22"/>
          <w:szCs w:val="22"/>
          <w:rtl/>
        </w:rPr>
        <w:t xml:space="preserve"> — أي أن الرد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JSON منظّم بعقد محدَّد سلفاً</w:t>
      </w:r>
      <w:r>
        <w:rPr>
          <w:rFonts w:ascii="Arial" w:cs="Arial" w:eastAsia="Arial" w:hAnsi="Arial"/>
          <w:sz w:val="22"/>
          <w:szCs w:val="22"/>
          <w:rtl/>
        </w:rPr>
        <w:t xml:space="preserve">، لا نصّاً حراً يُحلَّل بالتخمين. وإن فشل النداء (مفتاح ناقص، مهلة، 503) يرجع </w:t>
      </w:r>
      <w:r>
        <w:rPr>
          <w:rFonts w:ascii="Consolas" w:cs="Consolas" w:eastAsia="Consolas" w:hAnsi="Consolas"/>
          <w:color w:val="1F4E79"/>
          <w:sz w:val="19"/>
          <w:szCs w:val="19"/>
          <w:rtl w:val="false"/>
        </w:rPr>
        <w:t xml:space="preserve">available = false</w:t>
      </w:r>
      <w:r>
        <w:rPr>
          <w:rFonts w:ascii="Arial" w:cs="Arial" w:eastAsia="Arial" w:hAnsi="Arial"/>
          <w:sz w:val="22"/>
          <w:szCs w:val="22"/>
          <w:rtl/>
        </w:rPr>
        <w:t xml:space="preserve"> ويتولّى المقارِن الحتمي، فلا يتعطّل النظام.</w:t>
      </w:r>
    </w:p>
    <w:p>
      <w:pPr>
        <w:pStyle w:val="Heading1"/>
        <w:pBdr>
          <w:bottom w:val="single" w:color="C8C8C8" w:sz="8" w:space="6"/>
        </w:pBdr>
        <w:bidi/>
        <w:spacing w:after="170" w:before="34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ثانياً: كيف تُطبَّق SRS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في </w:t>
      </w:r>
      <w:r>
        <w:rPr>
          <w:rFonts w:ascii="Consolas" w:cs="Consolas" w:eastAsia="Consolas" w:hAnsi="Consolas"/>
          <w:color w:val="1F4E79"/>
          <w:sz w:val="19"/>
          <w:szCs w:val="19"/>
          <w:rtl w:val="false"/>
        </w:rPr>
        <w:t xml:space="preserve">app/Services/SpacedRepetitionService.php</w:t>
      </w:r>
      <w:r>
        <w:rPr>
          <w:rFonts w:ascii="Arial" w:cs="Arial" w:eastAsia="Arial" w:hAnsi="Arial"/>
          <w:sz w:val="22"/>
          <w:szCs w:val="22"/>
          <w:rtl/>
        </w:rPr>
        <w:t xml:space="preserve"> —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كود حتمي خالص، لا ذكاء اصطناعي فيه ولا استدعاء شبكة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keepNext/>
        <w:bidi/>
        <w:spacing w:after="9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المدخل درجة واحدة (</w:t>
      </w:r>
      <w:r>
        <w:rPr>
          <w:rFonts w:ascii="Consolas" w:cs="Consolas" w:eastAsia="Consolas" w:hAnsi="Consolas"/>
          <w:color w:val="1F4E79"/>
          <w:sz w:val="19"/>
          <w:szCs w:val="19"/>
          <w:rtl w:val="false"/>
        </w:rPr>
        <w:t xml:space="preserve">final_score</w:t>
      </w:r>
      <w:r>
        <w:rPr>
          <w:rFonts w:ascii="Arial" w:cs="Arial" w:eastAsia="Arial" w:hAnsi="Arial"/>
          <w:sz w:val="22"/>
          <w:szCs w:val="22"/>
          <w:rtl/>
        </w:rPr>
        <w:t xml:space="preserve">)، وهي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درجة المقارنة الحتمية</w:t>
      </w:r>
      <w:r>
        <w:rPr>
          <w:rFonts w:ascii="Arial" w:cs="Arial" w:eastAsia="Arial" w:hAnsi="Arial"/>
          <w:sz w:val="22"/>
          <w:szCs w:val="22"/>
          <w:rtl/>
        </w:rPr>
        <w:t xml:space="preserve"> لا درجة Gemini (</w:t>
      </w:r>
      <w:r>
        <w:rPr>
          <w:rFonts w:ascii="Consolas" w:cs="Consolas" w:eastAsia="Consolas" w:hAnsi="Consolas"/>
          <w:color w:val="1F4E79"/>
          <w:sz w:val="19"/>
          <w:szCs w:val="19"/>
          <w:rtl w:val="false"/>
        </w:rPr>
        <w:t xml:space="preserve">EvaluateMemorizationAttempt.php:79</w:t>
      </w:r>
      <w:r>
        <w:rPr>
          <w:rFonts w:ascii="Arial" w:cs="Arial" w:eastAsia="Arial" w:hAnsi="Arial"/>
          <w:sz w:val="22"/>
          <w:szCs w:val="22"/>
          <w:rtl/>
        </w:rPr>
        <w:t xml:space="preserve">):</w:t>
      </w:r>
    </w:p>
    <w:p>
      <w:pPr>
        <w:shd w:fill="F2F4F7" w:color="auto" w:val="clear"/>
        <w:bidi w:val="false"/>
        <w:spacing w:after="0" w:line="260"/>
        <w:ind w:left="200" w:right="20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// MVP: the deterministic comparison is the final score authority.</w:t>
      </w:r>
    </w:p>
    <w:p>
      <w:pPr>
        <w:shd w:fill="F2F4F7" w:color="auto" w:val="clear"/>
        <w:bidi w:val="false"/>
        <w:spacing w:after="160" w:line="260"/>
        <w:ind w:left="200" w:right="20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$finalScore = $deterministicScore;</w:t>
      </w:r>
    </w:p>
    <w:p>
      <w:pPr>
        <w:keepNext/>
        <w:bidi/>
        <w:spacing w:after="14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العتبات: </w:t>
      </w:r>
      <w:r>
        <w:rPr>
          <w:rFonts w:ascii="Arial" w:cs="Arial" w:eastAsia="Arial" w:hAnsi="Arial"/>
          <w:sz w:val="22"/>
          <w:szCs w:val="22"/>
          <w:rtl/>
        </w:rPr>
        <w:t xml:space="preserve">ناجح ≥ ٩٠، مقبول ≥ ٧٥.</w:t>
      </w:r>
    </w:p>
    <w:tbl>
      <w:tblPr>
        <w:bidiVisual/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0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الدرجة</w:t>
            </w:r>
          </w:p>
        </w:tc>
        <w:tc>
          <w:tcPr>
            <w:tcW w:type="dxa" w:w="24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المستوى</w:t>
            </w:r>
          </w:p>
        </w:tc>
        <w:tc>
          <w:tcPr>
            <w:tcW w:type="dxa" w:w="48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الحالة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≥ ٩٠</w:t>
            </w:r>
          </w:p>
        </w:tc>
        <w:tc>
          <w:tcPr>
            <w:tcW w:type="dxa" w:w="24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 w:line="3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يرتفع +١</w:t>
            </w:r>
          </w:p>
        </w:tc>
        <w:tc>
          <w:tcPr>
            <w:tcW w:type="dxa" w:w="4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مراجعة — وإن كان عند ٤ أصلاً: محفوظ، و next_review_at = NULL</w:t>
            </w:r>
          </w:p>
        </w:tc>
      </w:tr>
      <w:tr>
        <w:tc>
          <w:tcPr>
            <w:tcW w:type="dxa" w:w="240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٧٥ – ٨٩</w:t>
            </w:r>
          </w:p>
        </w:tc>
        <w:tc>
          <w:tcPr>
            <w:tcW w:type="dxa" w:w="240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 w:line="3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يبقى كما هو</w:t>
            </w:r>
          </w:p>
        </w:tc>
        <w:tc>
          <w:tcPr>
            <w:tcW w:type="dxa" w:w="480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مراجعة إن كان المستوى ≥ ١، وإلا قيد الحفظ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&lt; ٧٥</w:t>
            </w:r>
          </w:p>
        </w:tc>
        <w:tc>
          <w:tcPr>
            <w:tcW w:type="dxa" w:w="24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 w:line="3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ينزل −١ (بحد أدنى صفر)</w:t>
            </w:r>
          </w:p>
        </w:tc>
        <w:tc>
          <w:tcPr>
            <w:tcW w:type="dxa" w:w="4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يعود إلى العمل النشط</w:t>
            </w:r>
          </w:p>
        </w:tc>
      </w:tr>
    </w:tbl>
    <w:p>
      <w:pPr>
        <w:bidi/>
        <w:spacing w:after="160" w:line="300"/>
        <w:jc w:val="right"/>
      </w:pPr>
    </w:p>
    <w:p>
      <w:pPr>
        <w:keepNext/>
        <w:bidi/>
        <w:spacing w:after="9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الفواصل</w:t>
      </w:r>
      <w:r>
        <w:rPr>
          <w:rFonts w:ascii="Arial" w:cs="Arial" w:eastAsia="Arial" w:hAnsi="Arial"/>
          <w:sz w:val="22"/>
          <w:szCs w:val="22"/>
          <w:rtl/>
        </w:rPr>
        <w:t xml:space="preserve"> حسب المستوى الجديد (</w:t>
      </w:r>
      <w:r>
        <w:rPr>
          <w:rFonts w:ascii="Consolas" w:cs="Consolas" w:eastAsia="Consolas" w:hAnsi="Consolas"/>
          <w:color w:val="1F4E79"/>
          <w:sz w:val="19"/>
          <w:szCs w:val="19"/>
          <w:rtl w:val="false"/>
        </w:rPr>
        <w:t xml:space="preserve">config/athar.php</w:t>
      </w:r>
      <w:r>
        <w:rPr>
          <w:rFonts w:ascii="Arial" w:cs="Arial" w:eastAsia="Arial" w:hAnsi="Arial"/>
          <w:sz w:val="22"/>
          <w:szCs w:val="22"/>
          <w:rtl/>
        </w:rPr>
        <w:t xml:space="preserve">): ٠ ← يوم واحد، ١ ← ٣ أيام، ٢ ← ٧، ٣ ← ١٤، ٤ ← ٣٠.</w:t>
      </w:r>
    </w:p>
    <w:p>
      <w:pPr>
        <w:shd w:fill="F2F4F7" w:color="auto" w:val="clear"/>
        <w:bidi w:val="false"/>
        <w:spacing w:after="160" w:line="260"/>
        <w:ind w:left="200" w:right="20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$nextReviewAt = $attemptedAt-&gt;copy()-&gt;addDays($intervals[$newLevel]);</w:t>
      </w:r>
    </w:p>
    <w:p>
      <w:pPr>
        <w:bidi/>
        <w:spacing w:after="2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ويُكتب الناتج في </w:t>
      </w:r>
      <w:r>
        <w:rPr>
          <w:rFonts w:ascii="Consolas" w:cs="Consolas" w:eastAsia="Consolas" w:hAnsi="Consolas"/>
          <w:color w:val="1F4E79"/>
          <w:sz w:val="19"/>
          <w:szCs w:val="19"/>
          <w:rtl w:val="false"/>
        </w:rPr>
        <w:t xml:space="preserve">user_hadith_progress</w:t>
      </w:r>
      <w:r>
        <w:rPr>
          <w:rFonts w:ascii="Arial" w:cs="Arial" w:eastAsia="Arial" w:hAnsi="Arial"/>
          <w:sz w:val="22"/>
          <w:szCs w:val="22"/>
          <w:rtl/>
        </w:rPr>
        <w:t xml:space="preserve">، و</w:t>
      </w:r>
      <w:r>
        <w:rPr>
          <w:rFonts w:ascii="Consolas" w:cs="Consolas" w:eastAsia="Consolas" w:hAnsi="Consolas"/>
          <w:color w:val="1F4E79"/>
          <w:sz w:val="19"/>
          <w:szCs w:val="19"/>
          <w:rtl w:val="false"/>
        </w:rPr>
        <w:t xml:space="preserve">next_review_at</w:t>
      </w:r>
      <w:r>
        <w:rPr>
          <w:rFonts w:ascii="Arial" w:cs="Arial" w:eastAsia="Arial" w:hAnsi="Arial"/>
          <w:sz w:val="22"/>
          <w:szCs w:val="22"/>
          <w:rtl/>
        </w:rPr>
        <w:t xml:space="preserve"> هو ما تقرأه جلسة اليوم.</w:t>
      </w:r>
    </w:p>
    <w:p>
      <w:pPr>
        <w:pStyle w:val="Heading1"/>
        <w:pBdr>
          <w:bottom w:val="single" w:color="C8C8C8" w:sz="8" w:space="6"/>
        </w:pBdr>
        <w:bidi/>
        <w:spacing w:after="170" w:before="34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لماذا هذا الفصل — الجواب الذي تحتاجينه أمام اللجنة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«لماذا لا تدعون الذكاء الاصطناعي يضع الدرجة ويجدول المراجعة؟»</w:t>
      </w:r>
    </w:p>
    <w:p>
      <w:pPr>
        <w:pBdr>
          <w:right w:val="single" w:color="C9A227" w:sz="18" w:space="8"/>
        </w:pBdr>
        <w:shd w:fill="FAF7F0" w:color="auto" w:val="clear"/>
        <w:bidi/>
        <w:spacing w:after="90" w:line="300"/>
        <w:ind w:left="220" w:right="2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لأن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درجة المتعلّم وجدول مراجعته يجب ألا يتغيّرا بتغيّر نموذج لغوي</w:t>
      </w:r>
      <w:r>
        <w:rPr>
          <w:rFonts w:ascii="Arial" w:cs="Arial" w:eastAsia="Arial" w:hAnsi="Arial"/>
          <w:sz w:val="22"/>
          <w:szCs w:val="22"/>
          <w:rtl/>
        </w:rPr>
        <w:t xml:space="preserve">. النموذج غير حتمي: النص نفسه قد يُعطى ٩٢ اليوم و٨٨ غداً، فينقلب مسار الجدولة كله. لذلك في التسميع: المقارنة الحتمية (Levenshtein على مستوى الكلمة) هي الدرجة المعتمدة، و</w:t>
      </w:r>
      <w:r>
        <w:rPr>
          <w:rFonts w:ascii="Consolas" w:cs="Consolas" w:eastAsia="Consolas" w:hAnsi="Consolas"/>
          <w:color w:val="1F4E79"/>
          <w:sz w:val="19"/>
          <w:szCs w:val="19"/>
          <w:rtl w:val="false"/>
        </w:rPr>
        <w:t xml:space="preserve">ai_score</w:t>
      </w:r>
      <w:r>
        <w:rPr>
          <w:rFonts w:ascii="Arial" w:cs="Arial" w:eastAsia="Arial" w:hAnsi="Arial"/>
          <w:sz w:val="22"/>
          <w:szCs w:val="22"/>
          <w:rtl/>
        </w:rPr>
        <w:t xml:space="preserve"> مخزَّن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للتشخيص فقط</w:t>
      </w:r>
      <w:r>
        <w:rPr>
          <w:rFonts w:ascii="Arial" w:cs="Arial" w:eastAsia="Arial" w:hAnsi="Arial"/>
          <w:sz w:val="22"/>
          <w:szCs w:val="22"/>
          <w:rtl/>
        </w:rPr>
        <w:t xml:space="preserve"> في عمود منفصل، ودور Gemini شرحُ الخطأ بالعربية لا الحكم عليه. وSRS بدوره دالة حتمية على درجة حتمية — قابلة لإعادة الإنتاج والاختبار بلا شبكة.</w:t>
      </w:r>
    </w:p>
    <w:p>
      <w:pPr>
        <w:pBdr>
          <w:right w:val="single" w:color="C9A227" w:sz="18" w:space="8"/>
        </w:pBdr>
        <w:shd w:fill="FAF7F0" w:color="auto" w:val="clear"/>
        <w:bidi/>
        <w:spacing w:after="200" w:line="300"/>
        <w:ind w:left="220" w:right="2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أما في السبر فالوضع مختلف عمداً: الإجابة كلمة أو اسم، والمقارنة الحرفية ترفض «أبي ذر» مقابل «أبو ذر الغفاري» وهي صحيحة. فهنا Gemini هو الحَكَم،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ومع ذلك يبقى المقارِن الحتمي احتياطياً</w:t>
      </w:r>
      <w:r>
        <w:rPr>
          <w:rFonts w:ascii="Arial" w:cs="Arial" w:eastAsia="Arial" w:hAnsi="Arial"/>
          <w:sz w:val="22"/>
          <w:szCs w:val="22"/>
          <w:rtl/>
        </w:rPr>
        <w:t xml:space="preserve"> يعمل تلقائياً عند انقطاعه.</w:t>
      </w:r>
    </w:p>
    <w:p>
      <w:pPr>
        <w:bidi/>
        <w:spacing w:after="0" w:line="300"/>
        <w:jc w:val="right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«وهل هذا مُختبَر؟»</w:t>
      </w:r>
      <w:r>
        <w:rPr>
          <w:rFonts w:ascii="Arial" w:cs="Arial" w:eastAsia="Arial" w:hAnsi="Arial"/>
          <w:sz w:val="22"/>
          <w:szCs w:val="22"/>
          <w:rtl/>
        </w:rPr>
        <w:t xml:space="preserve"> — نعم: كل اختبارات SRS تعمل بلا شبكة إطلاقاً، واختبارات Gemini تستخدم </w:t>
      </w:r>
      <w:r>
        <w:rPr>
          <w:rFonts w:ascii="Consolas" w:cs="Consolas" w:eastAsia="Consolas" w:hAnsi="Consolas"/>
          <w:color w:val="1F4E79"/>
          <w:sz w:val="19"/>
          <w:szCs w:val="19"/>
          <w:rtl w:val="false"/>
        </w:rPr>
        <w:t xml:space="preserve">Http::fake()</w:t>
      </w:r>
      <w:r>
        <w:rPr>
          <w:rFonts w:ascii="Arial" w:cs="Arial" w:eastAsia="Arial" w:hAnsi="Arial"/>
          <w:sz w:val="22"/>
          <w:szCs w:val="22"/>
          <w:rtl/>
        </w:rPr>
        <w:t xml:space="preserve"> لتغطية المسار الناجح ومسارات الفشل (مهلة، ٤٢٩، ٥٠٣، JSON غير صالح).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31" w:hanging="288"/>
      </w:pPr>
    </w:lvl>
    <w:lvl w:ilvl="1" w15:tentative="1">
      <w:start w:val="1"/>
      <w:numFmt w:val="bullet"/>
      <w:lvlText w:val="–"/>
      <w:lvlJc w:val="right"/>
      <w:pPr>
        <w:ind w:right="863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البرومبتات وخوارزمية SRS</dc:title>
  <dc:creator>Athar</dc:creator>
  <cp:lastModifiedBy>Un-named</cp:lastModifiedBy>
  <cp:revision>1</cp:revision>
  <dcterms:created xsi:type="dcterms:W3CDTF">2026-09-05T08:53:47.282Z</dcterms:created>
  <dcterms:modified xsi:type="dcterms:W3CDTF">2026-09-05T08:53:47.283Z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