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0A94" w14:textId="11ECA2B5" w:rsidR="000C1816" w:rsidRPr="000C1816" w:rsidRDefault="000C1816" w:rsidP="000C1816">
      <w:pPr>
        <w:rPr>
          <w:b/>
          <w:bCs/>
        </w:rPr>
      </w:pPr>
      <w:r w:rsidRPr="000C1816">
        <w:rPr>
          <w:b/>
          <w:bCs/>
        </w:rPr>
        <w:t>Data Analytics Workflow for Electric Arc Furnace Steel Production</w:t>
      </w:r>
    </w:p>
    <w:p w14:paraId="02F992D5" w14:textId="77777777" w:rsidR="000C1816" w:rsidRPr="000C1816" w:rsidRDefault="000C1816" w:rsidP="000C1816">
      <w:pPr>
        <w:rPr>
          <w:b/>
          <w:bCs/>
        </w:rPr>
      </w:pPr>
      <w:r w:rsidRPr="000C1816">
        <w:rPr>
          <w:b/>
          <w:bCs/>
        </w:rPr>
        <w:t>Overview</w:t>
      </w:r>
    </w:p>
    <w:p w14:paraId="3B82984C" w14:textId="0440BB53" w:rsidR="000C1816" w:rsidRPr="000C1816" w:rsidRDefault="000C1816" w:rsidP="000C1816">
      <w:r w:rsidRPr="000C1816">
        <w:t>This capstone project developed a reproducible data analytics workflow to analyze energy efficiency, charge composition, and process behavior in Electric Arc Furnace (EAF) steel production. The workflow uses an internal operational dataset from a Direct Reduced Iron (DRI)</w:t>
      </w:r>
      <w:r>
        <w:t xml:space="preserve"> and Electric Arc Furnace </w:t>
      </w:r>
      <w:r w:rsidRPr="000C1816">
        <w:t>based steelmaking facility and applies systematic data cleaning, feature engineering, and exploratory data analysis (EDA). The primary objective was to identify key drivers of electrical energy consumption per ton of liquid steel, with a particular focus on DRI carbon contribution, silica (SIO2) as a quality indicator, and operational confounding factors. The analysis was implemented in Python following reproducible data science principles to ensure transparency, traceability, and repeatability (Danchev, 2022).</w:t>
      </w:r>
    </w:p>
    <w:p w14:paraId="15B07CFE" w14:textId="77777777" w:rsidR="000C1816" w:rsidRPr="000C1816" w:rsidRDefault="000C1816" w:rsidP="000C1816">
      <w:pPr>
        <w:rPr>
          <w:b/>
          <w:bCs/>
        </w:rPr>
      </w:pPr>
      <w:r w:rsidRPr="000C1816">
        <w:rPr>
          <w:b/>
          <w:bCs/>
        </w:rPr>
        <w:t>Dataset Description</w:t>
      </w:r>
    </w:p>
    <w:p w14:paraId="2EB7DB5D" w14:textId="77777777" w:rsidR="000C1816" w:rsidRPr="000C1816" w:rsidRDefault="000C1816" w:rsidP="000C1816">
      <w:r w:rsidRPr="000C1816">
        <w:t>The dataset represents internal operational records from an Electric Arc Furnace steel production process that uses Direct Reduced Iron as a primary metallic charge. Each observation corresponds to a single production heat, resulting in approximately 19,517 heats spanning January 2023 through December 2025. After cleaning, the dataset contains 28 core variables covering energy consumption, metallic charge composition, consumables, process timing, and product output. Key variables include electrical energy consumption, power</w:t>
      </w:r>
      <w:r w:rsidRPr="000C1816">
        <w:noBreakHyphen/>
        <w:t>on time, oxygen usage, total and per</w:t>
      </w:r>
      <w:r w:rsidRPr="000C1816">
        <w:noBreakHyphen/>
        <w:t>ton carbon inputs, DRI carbon percentage, DRI silica (SIO2) percentage, flux additions, final tapping temperature, and tapped steel weight. A supplementary internal dataset provides daily DRI chemical analysis (carbon, silica, metallization), which is matched to production heats using a two</w:t>
      </w:r>
      <w:r w:rsidRPr="000C1816">
        <w:noBreakHyphen/>
        <w:t>day lag to reflect plant material flow. As is typical for industrial process data, the dataset contains missing values in consumable measurements and DRI chemistry records, requiring explicit and documented data quality handling (Tomažič et al., 2022).</w:t>
      </w:r>
    </w:p>
    <w:p w14:paraId="3D6987AD" w14:textId="77777777" w:rsidR="000C1816" w:rsidRPr="000C1816" w:rsidRDefault="000C1816" w:rsidP="000C1816">
      <w:pPr>
        <w:rPr>
          <w:b/>
          <w:bCs/>
        </w:rPr>
      </w:pPr>
      <w:r w:rsidRPr="000C1816">
        <w:rPr>
          <w:b/>
          <w:bCs/>
        </w:rPr>
        <w:t>Workflow Description</w:t>
      </w:r>
    </w:p>
    <w:p w14:paraId="1486D9C8" w14:textId="77777777" w:rsidR="000C1816" w:rsidRPr="000C1816" w:rsidRDefault="000C1816" w:rsidP="000C1816">
      <w:pPr>
        <w:rPr>
          <w:b/>
          <w:bCs/>
        </w:rPr>
      </w:pPr>
      <w:r w:rsidRPr="000C1816">
        <w:rPr>
          <w:b/>
          <w:bCs/>
        </w:rPr>
        <w:t>Ingestion</w:t>
      </w:r>
    </w:p>
    <w:p w14:paraId="145D90A5" w14:textId="77777777" w:rsidR="000C1816" w:rsidRPr="000C1816" w:rsidRDefault="000C1816" w:rsidP="000C1816">
      <w:r w:rsidRPr="000C1816">
        <w:t>Raw data were ingested from internal CSV files using the pandas library. These included a primary heat</w:t>
      </w:r>
      <w:r w:rsidRPr="000C1816">
        <w:noBreakHyphen/>
        <w:t>level production dataset and a separate DRI chemical analysis dataset. Date and time fields were explicitly parsed to ensure correct temporal alignment. DRI chemical composition was matched to each heat using a two</w:t>
      </w:r>
      <w:r w:rsidRPr="000C1816">
        <w:noBreakHyphen/>
        <w:t>day backward lag (heat stop date minus two days), reflecting the operational delay between DRI analysis and furnace charging. A left</w:t>
      </w:r>
      <w:r w:rsidRPr="000C1816">
        <w:noBreakHyphen/>
        <w:t>join strategy was used to preserve all production heats and explicitly flag heats without corresponding DRI analysis.</w:t>
      </w:r>
    </w:p>
    <w:p w14:paraId="6482CC40" w14:textId="77777777" w:rsidR="000C1816" w:rsidRPr="000C1816" w:rsidRDefault="000C1816" w:rsidP="000C1816">
      <w:pPr>
        <w:rPr>
          <w:b/>
          <w:bCs/>
        </w:rPr>
      </w:pPr>
      <w:r w:rsidRPr="000C1816">
        <w:rPr>
          <w:b/>
          <w:bCs/>
        </w:rPr>
        <w:lastRenderedPageBreak/>
        <w:t>Cleaning</w:t>
      </w:r>
    </w:p>
    <w:p w14:paraId="08E2A9F1" w14:textId="77777777" w:rsidR="000C1816" w:rsidRPr="000C1816" w:rsidRDefault="000C1816" w:rsidP="000C1816">
      <w:r w:rsidRPr="000C1816">
        <w:t>Data cleaning addressed unit inconsistencies, missing values, validation errors, and outliers. Column names were standardized, and numeric fields were coerced with error handling. Mixed units in tapped weight were corrected by converting kilogram</w:t>
      </w:r>
      <w:r w:rsidRPr="000C1816">
        <w:noBreakHyphen/>
        <w:t>level entries to tons based on physical feasibility. Missing values in critical variables (energy, charge, tapped weight) resulted in record exclusion, while missing consumable values were conservatively imputed as zero under the assumption that unrecorded additions reflected non</w:t>
      </w:r>
      <w:r w:rsidRPr="000C1816">
        <w:noBreakHyphen/>
        <w:t>use rather than measurement error. Multiple validation checks were applied, including charge balance consistency, yield feasibility, physical range limits, and non</w:t>
      </w:r>
      <w:r w:rsidRPr="000C1816">
        <w:noBreakHyphen/>
        <w:t>negativity. Outliers were detected using the interquartile range (IQR) method, with removal applied only to critical variables to avoid excessive loss of valid but extreme operating conditions. All cleaning decisions were documented to support reproducibility (Danchev, 2022).</w:t>
      </w:r>
    </w:p>
    <w:p w14:paraId="7A9E2B3C" w14:textId="77777777" w:rsidR="000C1816" w:rsidRPr="000C1816" w:rsidRDefault="000C1816" w:rsidP="000C1816">
      <w:pPr>
        <w:rPr>
          <w:b/>
          <w:bCs/>
        </w:rPr>
      </w:pPr>
      <w:r w:rsidRPr="000C1816">
        <w:rPr>
          <w:b/>
          <w:bCs/>
        </w:rPr>
        <w:t>Exploratory Analysis</w:t>
      </w:r>
    </w:p>
    <w:p w14:paraId="20ED8ED7" w14:textId="546530FD" w:rsidR="000C1816" w:rsidRPr="000C1816" w:rsidRDefault="000C1816" w:rsidP="000C1816">
      <w:r w:rsidRPr="000C1816">
        <w:t>Exploratory analysis followed a structured, multi</w:t>
      </w:r>
      <w:r w:rsidRPr="000C1816">
        <w:noBreakHyphen/>
        <w:t>phase approach. Univariate analysis characterized distributions and variability of key variables. Bivariate analysis examined correlations between energy per ton and major inputs. Stratified and partial correlation analyses were conducted to identify confounding, particularly in the oxygen</w:t>
      </w:r>
      <w:r w:rsidR="00CE7C81">
        <w:t>/</w:t>
      </w:r>
      <w:r w:rsidRPr="000C1816">
        <w:t>energy relationship. Feature</w:t>
      </w:r>
      <w:r w:rsidR="00CE7C81">
        <w:t xml:space="preserve"> </w:t>
      </w:r>
      <w:r w:rsidRPr="000C1816">
        <w:t>specific deep dives analyzed DRI carbon contribution, silica as a quality indicator, and flux usage. Categorical analysis compared energy consumption across steel families, shifts, and scrap hardness categories. Time</w:t>
      </w:r>
      <w:r w:rsidR="00CE7C81">
        <w:t xml:space="preserve"> </w:t>
      </w:r>
      <w:r w:rsidRPr="000C1816">
        <w:t>based analysis evaluated daily, monthly, and heat</w:t>
      </w:r>
      <w:r w:rsidRPr="000C1816">
        <w:noBreakHyphen/>
        <w:t>sequence patterns. This approach reflects best practice for industrial analytics, where simple correlations often mask underlying process interactions (Tomažič et al., 2022).</w:t>
      </w:r>
    </w:p>
    <w:p w14:paraId="548D9343" w14:textId="77777777" w:rsidR="000C1816" w:rsidRPr="000C1816" w:rsidRDefault="000C1816" w:rsidP="000C1816">
      <w:pPr>
        <w:rPr>
          <w:b/>
          <w:bCs/>
        </w:rPr>
      </w:pPr>
      <w:r w:rsidRPr="000C1816">
        <w:rPr>
          <w:b/>
          <w:bCs/>
        </w:rPr>
        <w:t>Visualizations</w:t>
      </w:r>
    </w:p>
    <w:p w14:paraId="56576447" w14:textId="01D54711" w:rsidR="000C1816" w:rsidRPr="000C1816" w:rsidRDefault="000C1816" w:rsidP="000C1816">
      <w:r w:rsidRPr="000C1816">
        <w:t>Visualizations were created using Matplotlib and Seaborn and saved as reproducible outputs. Key figures include correlation heatmaps, stratified scatter plots, partial correlation plots, DRI carbon and silica visualizations, categorical boxplots, time</w:t>
      </w:r>
      <w:r w:rsidR="00CE7C81">
        <w:t xml:space="preserve"> </w:t>
      </w:r>
      <w:r w:rsidRPr="000C1816">
        <w:t>series trend plots, and outlier diagnostics. Each visualization was designed to answer a specific analytical question and included labeled axes, legends, and sample sizes to support interpretability.</w:t>
      </w:r>
    </w:p>
    <w:p w14:paraId="71AEEA0E" w14:textId="77777777" w:rsidR="000C1816" w:rsidRPr="000C1816" w:rsidRDefault="000C1816" w:rsidP="000C1816">
      <w:pPr>
        <w:rPr>
          <w:b/>
          <w:bCs/>
        </w:rPr>
      </w:pPr>
      <w:r w:rsidRPr="000C1816">
        <w:rPr>
          <w:b/>
          <w:bCs/>
        </w:rPr>
        <w:t>Summary</w:t>
      </w:r>
    </w:p>
    <w:p w14:paraId="5E561B5D" w14:textId="0FF270FA" w:rsidR="000C1816" w:rsidRPr="000C1816" w:rsidRDefault="000C1816" w:rsidP="000C1816">
      <w:r w:rsidRPr="000C1816">
        <w:t>The workflow produced a cleaned and feature</w:t>
      </w:r>
      <w:r w:rsidR="00CE7C81">
        <w:t xml:space="preserve"> </w:t>
      </w:r>
      <w:r w:rsidRPr="000C1816">
        <w:t>engineered dataset with over 35 derived variables, including per</w:t>
      </w:r>
      <w:r w:rsidRPr="000C1816">
        <w:noBreakHyphen/>
        <w:t>ton normalizations, carbon source decomposition, DRI quality indicators, scrap hardness indices, and temporal features. Results highlight the dominant role of power</w:t>
      </w:r>
      <w:r w:rsidRPr="000C1816">
        <w:noBreakHyphen/>
        <w:t xml:space="preserve">on time in energy consumption, the substantial contribution of DRI carbon to </w:t>
      </w:r>
      <w:r w:rsidRPr="000C1816">
        <w:lastRenderedPageBreak/>
        <w:t>total furnace carbon, the negative impact of high DRI silica on energy efficiency, and the importance of controlling for confounding in industrial data analysis.</w:t>
      </w:r>
    </w:p>
    <w:p w14:paraId="2864976D" w14:textId="77777777" w:rsidR="000C1816" w:rsidRPr="000C1816" w:rsidRDefault="000C1816" w:rsidP="000C1816">
      <w:r w:rsidRPr="000C1816">
        <w:pict w14:anchorId="54352E66">
          <v:rect id="_x0000_i1082" style="width:0;height:1.5pt" o:hralign="center" o:hrstd="t" o:hr="t" fillcolor="#a0a0a0" stroked="f"/>
        </w:pict>
      </w:r>
    </w:p>
    <w:p w14:paraId="361205DE" w14:textId="77777777" w:rsidR="000C1816" w:rsidRPr="000C1816" w:rsidRDefault="000C1816" w:rsidP="000C1816">
      <w:pPr>
        <w:rPr>
          <w:b/>
          <w:bCs/>
        </w:rPr>
      </w:pPr>
      <w:r w:rsidRPr="000C1816">
        <w:rPr>
          <w:b/>
          <w:bCs/>
        </w:rPr>
        <w:t>Key Decisions and Assumptions</w:t>
      </w:r>
    </w:p>
    <w:p w14:paraId="6C77E43F" w14:textId="2DDF1C92" w:rsidR="000C1816" w:rsidRPr="000C1816" w:rsidRDefault="000C1816" w:rsidP="000C1816">
      <w:r w:rsidRPr="000C1816">
        <w:t xml:space="preserve">Several methodological choices were </w:t>
      </w:r>
      <w:r w:rsidR="00CE7C81">
        <w:t>critical</w:t>
      </w:r>
      <w:r w:rsidRPr="000C1816">
        <w:t xml:space="preserve"> to the analysis. First, a two</w:t>
      </w:r>
      <w:r w:rsidRPr="000C1816">
        <w:noBreakHyphen/>
        <w:t>day lag was used to match DRI chemistry to heats based on plant material flow; while operationally justified, this assumption is plant</w:t>
      </w:r>
      <w:r w:rsidR="00CE7C81">
        <w:t xml:space="preserve"> </w:t>
      </w:r>
      <w:r w:rsidRPr="000C1816">
        <w:t>specific and must be validated if reused elsewhere. Second, missing consumable values were imputed as zero to avoid artificially inflating usage, acknowledging that this may underestimate variability if missingness is not random. Third, outlier removal was limited to critical variables using the 1.5×IQR rule, as aggressive outlier exclusion can bias industrial datasets by removing valid extreme conditions (Tomažič et al., 2022). Fourth, per</w:t>
      </w:r>
      <w:r w:rsidRPr="000C1816">
        <w:noBreakHyphen/>
        <w:t>ton normalization used tapped steel weight rather than charge weight to align metrics with product</w:t>
      </w:r>
      <w:r w:rsidR="00CE7C81">
        <w:t xml:space="preserve"> </w:t>
      </w:r>
      <w:r w:rsidRPr="000C1816">
        <w:t>based efficiency. Fifth, DRI carbon was explicitly included in total carbon calculations; excluding it would underestimate total carbon input by more than half and distort oxygen</w:t>
      </w:r>
      <w:r w:rsidR="00CE7C81">
        <w:t xml:space="preserve"> </w:t>
      </w:r>
      <w:r w:rsidRPr="000C1816">
        <w:t>to</w:t>
      </w:r>
      <w:r w:rsidR="00CE7C81">
        <w:t xml:space="preserve"> </w:t>
      </w:r>
      <w:r w:rsidRPr="000C1816">
        <w:t>carbon relationships. Finally, stratified and partial correlation analyses were used to address confounding, consistent with reproducible and transparent analytical practice (Danchev, 2022).</w:t>
      </w:r>
    </w:p>
    <w:p w14:paraId="0DCFD36C" w14:textId="77777777" w:rsidR="000C1816" w:rsidRPr="000C1816" w:rsidRDefault="000C1816" w:rsidP="000C1816">
      <w:pPr>
        <w:rPr>
          <w:b/>
          <w:bCs/>
        </w:rPr>
      </w:pPr>
      <w:r w:rsidRPr="000C1816">
        <w:rPr>
          <w:b/>
          <w:bCs/>
        </w:rPr>
        <w:t>Results and Interpretation</w:t>
      </w:r>
    </w:p>
    <w:p w14:paraId="78EE92A0" w14:textId="3A90664F" w:rsidR="000C1816" w:rsidRPr="000C1816" w:rsidRDefault="000C1816" w:rsidP="000C1816">
      <w:r w:rsidRPr="000C1816">
        <w:t>Five key findings emerged. First, power</w:t>
      </w:r>
      <w:r w:rsidRPr="000C1816">
        <w:noBreakHyphen/>
        <w:t>on time showed the strongest relationship with energy consumption per ton, confirming that melt duration is the primary energy driver. Second, DRI carbon contributed approximately 55% of total furnace carbon on average, demonstrating that carbon balance analyses must include DRI chemistry. Third, higher DRI silica (SIO2) content correlated with increased energy and flux consumption, validating silica as a practical DRI quality indicator. Fourth, the raw oxygen</w:t>
      </w:r>
      <w:r w:rsidR="00CE7C81">
        <w:t xml:space="preserve"> </w:t>
      </w:r>
      <w:r w:rsidRPr="000C1816">
        <w:t>energy correlation reversed direction after controlling for confounders, highlighting the necessity of stratified analysis. Fifth, time</w:t>
      </w:r>
      <w:r w:rsidRPr="000C1816">
        <w:noBreakHyphen/>
        <w:t>based patterns showed higher energy consumption for first heats of the day, consistent with cold furnace start</w:t>
      </w:r>
      <w:r w:rsidRPr="000C1816">
        <w:noBreakHyphen/>
        <w:t>up effects. These findings align with prior research on data</w:t>
      </w:r>
      <w:r w:rsidRPr="000C1816">
        <w:noBreakHyphen/>
        <w:t>driven EAF energy optimization (Tomažič et al., 2022).</w:t>
      </w:r>
    </w:p>
    <w:p w14:paraId="744F43D5" w14:textId="77777777" w:rsidR="000C1816" w:rsidRPr="000C1816" w:rsidRDefault="000C1816" w:rsidP="000C1816">
      <w:pPr>
        <w:rPr>
          <w:b/>
          <w:bCs/>
        </w:rPr>
      </w:pPr>
      <w:r w:rsidRPr="000C1816">
        <w:rPr>
          <w:b/>
          <w:bCs/>
        </w:rPr>
        <w:t>Responsible Practice (Bias and Data Quality)</w:t>
      </w:r>
    </w:p>
    <w:p w14:paraId="1FEA443B" w14:textId="17096785" w:rsidR="000C1816" w:rsidRPr="000C1816" w:rsidRDefault="000C1816" w:rsidP="000C1816">
      <w:r w:rsidRPr="000C1816">
        <w:t>Several risks could introduce bias. Missing DRI chemistry data were not random and may correspond to atypical operating periods. Outlier removal may exclude legitimate extreme conditions. Per</w:t>
      </w:r>
      <w:r w:rsidRPr="000C1816">
        <w:noBreakHyphen/>
        <w:t>ton normalization can obscure yield losses. Plant</w:t>
      </w:r>
      <w:r w:rsidR="00CE7C81">
        <w:t xml:space="preserve"> </w:t>
      </w:r>
      <w:r w:rsidRPr="000C1816">
        <w:t xml:space="preserve">specific assumptions limit generalizability. Residual confounding from unmeasured variables such as electrode condition or refractory wear remains possible. These risks were mitigated through explicit </w:t>
      </w:r>
      <w:r w:rsidRPr="000C1816">
        <w:lastRenderedPageBreak/>
        <w:t>flagging, sensitivity analysis, conservative assumptions, and transparent documentation, consistent with responsible and reproducible data practice (Danchev, 2022).</w:t>
      </w:r>
    </w:p>
    <w:p w14:paraId="6825CE53" w14:textId="77777777" w:rsidR="000C1816" w:rsidRPr="000C1816" w:rsidRDefault="000C1816" w:rsidP="000C1816">
      <w:pPr>
        <w:rPr>
          <w:b/>
          <w:bCs/>
        </w:rPr>
      </w:pPr>
      <w:r w:rsidRPr="000C1816">
        <w:rPr>
          <w:b/>
          <w:bCs/>
        </w:rPr>
        <w:t>Reproducibility</w:t>
      </w:r>
    </w:p>
    <w:p w14:paraId="0D693EDD" w14:textId="2B175C1F" w:rsidR="000C1816" w:rsidRPr="000C1816" w:rsidRDefault="000C1816" w:rsidP="000C1816">
      <w:r w:rsidRPr="000C1816">
        <w:t>The workflow was designed for full reproducibility. All steps are scripted in Python, avoiding manual data manipulation. Dependencies are specified in a requirements file to enable environment reconstruction. Data are organized into raw, processed, and output directories. Version control with Git records all changes through documented commits and branches. Intermediate datasets and data dictionaries are saved to support auditability. These practices align with established principles of reproducible data science (Danchev, 2022).</w:t>
      </w:r>
    </w:p>
    <w:p w14:paraId="47D19C42" w14:textId="77777777" w:rsidR="000C1816" w:rsidRPr="000C1816" w:rsidRDefault="000C1816" w:rsidP="000C1816">
      <w:pPr>
        <w:rPr>
          <w:b/>
          <w:bCs/>
        </w:rPr>
      </w:pPr>
      <w:r w:rsidRPr="000C1816">
        <w:rPr>
          <w:b/>
          <w:bCs/>
        </w:rPr>
        <w:t>References</w:t>
      </w:r>
    </w:p>
    <w:p w14:paraId="4F645F1A" w14:textId="77777777" w:rsidR="000C1816" w:rsidRPr="000C1816" w:rsidRDefault="000C1816" w:rsidP="000C1816">
      <w:r w:rsidRPr="000C1816">
        <w:t xml:space="preserve">Danchev, V. (2022). </w:t>
      </w:r>
      <w:r w:rsidRPr="000C1816">
        <w:rPr>
          <w:i/>
          <w:iCs/>
        </w:rPr>
        <w:t>Reproducible data science with Python: An open learning resource</w:t>
      </w:r>
      <w:r w:rsidRPr="000C1816">
        <w:t xml:space="preserve">. Journal of Open Source Education, 5(56), 156. </w:t>
      </w:r>
      <w:hyperlink r:id="rId5" w:history="1">
        <w:r w:rsidRPr="000C1816">
          <w:rPr>
            <w:rStyle w:val="Hyperlink"/>
          </w:rPr>
          <w:t>https://doi.org/10.21105/jose.00156</w:t>
        </w:r>
      </w:hyperlink>
    </w:p>
    <w:p w14:paraId="58A13B17" w14:textId="77777777" w:rsidR="000C1816" w:rsidRDefault="000C1816" w:rsidP="000C1816">
      <w:r w:rsidRPr="000C1816">
        <w:t xml:space="preserve">Tomažič, S., Andonovski, G., Škrjanc, I., &amp; Logar, V. (2022). </w:t>
      </w:r>
      <w:r w:rsidRPr="000C1816">
        <w:rPr>
          <w:i/>
          <w:iCs/>
        </w:rPr>
        <w:t>Data</w:t>
      </w:r>
      <w:r w:rsidRPr="000C1816">
        <w:rPr>
          <w:i/>
          <w:iCs/>
        </w:rPr>
        <w:noBreakHyphen/>
        <w:t>driven modelling and optimization of energy consumption in EAF</w:t>
      </w:r>
      <w:r w:rsidRPr="000C1816">
        <w:t xml:space="preserve">. Metals, 12(5), 816. </w:t>
      </w:r>
      <w:hyperlink r:id="rId6" w:history="1">
        <w:r w:rsidRPr="000C1816">
          <w:rPr>
            <w:rStyle w:val="Hyperlink"/>
          </w:rPr>
          <w:t>https://doi.org/10.3390/met12050816</w:t>
        </w:r>
      </w:hyperlink>
    </w:p>
    <w:p w14:paraId="29983EA4" w14:textId="77777777" w:rsidR="00F13321" w:rsidRDefault="00F13321"/>
    <w:sectPr w:rsidR="00F13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B3DD8"/>
    <w:multiLevelType w:val="multilevel"/>
    <w:tmpl w:val="7CBC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633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816"/>
    <w:rsid w:val="000C1816"/>
    <w:rsid w:val="000E5B64"/>
    <w:rsid w:val="002E1687"/>
    <w:rsid w:val="00362000"/>
    <w:rsid w:val="005E2957"/>
    <w:rsid w:val="00824E5D"/>
    <w:rsid w:val="00886926"/>
    <w:rsid w:val="00AE6BDD"/>
    <w:rsid w:val="00CE7C81"/>
    <w:rsid w:val="00F13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66806"/>
  <w15:chartTrackingRefBased/>
  <w15:docId w15:val="{A9990F7C-B65B-40B0-A2AD-0E233CB6C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816"/>
    <w:rPr>
      <w:rFonts w:eastAsiaTheme="majorEastAsia" w:cstheme="majorBidi"/>
      <w:color w:val="272727" w:themeColor="text1" w:themeTint="D8"/>
    </w:rPr>
  </w:style>
  <w:style w:type="paragraph" w:styleId="Title">
    <w:name w:val="Title"/>
    <w:basedOn w:val="Normal"/>
    <w:next w:val="Normal"/>
    <w:link w:val="TitleChar"/>
    <w:uiPriority w:val="10"/>
    <w:qFormat/>
    <w:rsid w:val="000C1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816"/>
    <w:pPr>
      <w:spacing w:before="160"/>
      <w:jc w:val="center"/>
    </w:pPr>
    <w:rPr>
      <w:i/>
      <w:iCs/>
      <w:color w:val="404040" w:themeColor="text1" w:themeTint="BF"/>
    </w:rPr>
  </w:style>
  <w:style w:type="character" w:customStyle="1" w:styleId="QuoteChar">
    <w:name w:val="Quote Char"/>
    <w:basedOn w:val="DefaultParagraphFont"/>
    <w:link w:val="Quote"/>
    <w:uiPriority w:val="29"/>
    <w:rsid w:val="000C1816"/>
    <w:rPr>
      <w:i/>
      <w:iCs/>
      <w:color w:val="404040" w:themeColor="text1" w:themeTint="BF"/>
    </w:rPr>
  </w:style>
  <w:style w:type="paragraph" w:styleId="ListParagraph">
    <w:name w:val="List Paragraph"/>
    <w:basedOn w:val="Normal"/>
    <w:uiPriority w:val="34"/>
    <w:qFormat/>
    <w:rsid w:val="000C1816"/>
    <w:pPr>
      <w:ind w:left="720"/>
      <w:contextualSpacing/>
    </w:pPr>
  </w:style>
  <w:style w:type="character" w:styleId="IntenseEmphasis">
    <w:name w:val="Intense Emphasis"/>
    <w:basedOn w:val="DefaultParagraphFont"/>
    <w:uiPriority w:val="21"/>
    <w:qFormat/>
    <w:rsid w:val="000C1816"/>
    <w:rPr>
      <w:i/>
      <w:iCs/>
      <w:color w:val="0F4761" w:themeColor="accent1" w:themeShade="BF"/>
    </w:rPr>
  </w:style>
  <w:style w:type="paragraph" w:styleId="IntenseQuote">
    <w:name w:val="Intense Quote"/>
    <w:basedOn w:val="Normal"/>
    <w:next w:val="Normal"/>
    <w:link w:val="IntenseQuoteChar"/>
    <w:uiPriority w:val="30"/>
    <w:qFormat/>
    <w:rsid w:val="000C1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816"/>
    <w:rPr>
      <w:i/>
      <w:iCs/>
      <w:color w:val="0F4761" w:themeColor="accent1" w:themeShade="BF"/>
    </w:rPr>
  </w:style>
  <w:style w:type="character" w:styleId="IntenseReference">
    <w:name w:val="Intense Reference"/>
    <w:basedOn w:val="DefaultParagraphFont"/>
    <w:uiPriority w:val="32"/>
    <w:qFormat/>
    <w:rsid w:val="000C1816"/>
    <w:rPr>
      <w:b/>
      <w:bCs/>
      <w:smallCaps/>
      <w:color w:val="0F4761" w:themeColor="accent1" w:themeShade="BF"/>
      <w:spacing w:val="5"/>
    </w:rPr>
  </w:style>
  <w:style w:type="character" w:styleId="Hyperlink">
    <w:name w:val="Hyperlink"/>
    <w:basedOn w:val="DefaultParagraphFont"/>
    <w:uiPriority w:val="99"/>
    <w:unhideWhenUsed/>
    <w:rsid w:val="000C1816"/>
    <w:rPr>
      <w:color w:val="467886" w:themeColor="hyperlink"/>
      <w:u w:val="single"/>
    </w:rPr>
  </w:style>
  <w:style w:type="character" w:styleId="UnresolvedMention">
    <w:name w:val="Unresolved Mention"/>
    <w:basedOn w:val="DefaultParagraphFont"/>
    <w:uiPriority w:val="99"/>
    <w:semiHidden/>
    <w:unhideWhenUsed/>
    <w:rsid w:val="000C18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met12050816" TargetMode="External"/><Relationship Id="rId5" Type="http://schemas.openxmlformats.org/officeDocument/2006/relationships/hyperlink" Target="https://doi.org/10.21105/jose.0015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1213</Words>
  <Characters>7934</Characters>
  <Application>Microsoft Office Word</Application>
  <DocSecurity>0</DocSecurity>
  <Lines>130</Lines>
  <Paragraphs>35</Paragraphs>
  <ScaleCrop>false</ScaleCrop>
  <HeadingPairs>
    <vt:vector size="2" baseType="variant">
      <vt:variant>
        <vt:lpstr>Title</vt:lpstr>
      </vt:variant>
      <vt:variant>
        <vt:i4>1</vt:i4>
      </vt:variant>
    </vt:vector>
  </HeadingPairs>
  <TitlesOfParts>
    <vt:vector size="1" baseType="lpstr">
      <vt:lpstr/>
    </vt:vector>
  </TitlesOfParts>
  <Company>EZDK</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Moataz Mahmoud Soliman Sanad</dc:creator>
  <cp:keywords/>
  <dc:description/>
  <cp:lastModifiedBy>Moataz Mahmoud Soliman Sanad</cp:lastModifiedBy>
  <cp:revision>4</cp:revision>
  <dcterms:created xsi:type="dcterms:W3CDTF">2026-06-14T12:25:00Z</dcterms:created>
  <dcterms:modified xsi:type="dcterms:W3CDTF">2026-06-14T12:46:00Z</dcterms:modified>
</cp:coreProperties>
</file>