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ab78zntl8ur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4143375</wp:posOffset>
            </wp:positionH>
            <wp:positionV relativeFrom="paragraph">
              <wp:posOffset>114300</wp:posOffset>
            </wp:positionV>
            <wp:extent cx="2043113" cy="1241719"/>
            <wp:effectExtent b="0" l="0" r="0" t="0"/>
            <wp:wrapNone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12417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304800</wp:posOffset>
            </wp:positionV>
            <wp:extent cx="2138363" cy="1050747"/>
            <wp:effectExtent b="0" l="0" r="0" t="0"/>
            <wp:wrapNone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10507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8nksx1fpyv3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7j2yiik8c7v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gx0lx4t0ltn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ej75y8jsdtr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rFonts w:ascii="Courier New" w:cs="Courier New" w:eastAsia="Courier New" w:hAnsi="Courier New"/>
          <w:i w:val="1"/>
          <w:sz w:val="35"/>
          <w:szCs w:val="35"/>
          <w:highlight w:val="white"/>
        </w:rPr>
      </w:pPr>
      <w:bookmarkStart w:colFirst="0" w:colLast="0" w:name="_d6did7e8feus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35"/>
          <w:szCs w:val="35"/>
          <w:highlight w:val="white"/>
          <w:rtl w:val="0"/>
        </w:rPr>
        <w:t xml:space="preserve">Institut National des Postes et </w:t>
      </w:r>
    </w:p>
    <w:p w:rsidR="00000000" w:rsidDel="00000000" w:rsidP="00000000" w:rsidRDefault="00000000" w:rsidRPr="00000000" w14:paraId="00000007">
      <w:pPr>
        <w:jc w:val="center"/>
        <w:rPr>
          <w:rFonts w:ascii="Courier New" w:cs="Courier New" w:eastAsia="Courier New" w:hAnsi="Courier New"/>
          <w:i w:val="1"/>
          <w:sz w:val="35"/>
          <w:szCs w:val="3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35"/>
          <w:szCs w:val="35"/>
          <w:highlight w:val="white"/>
          <w:rtl w:val="0"/>
        </w:rPr>
        <w:t xml:space="preserve">Télécommunications</w:t>
      </w:r>
    </w:p>
    <w:p w:rsidR="00000000" w:rsidDel="00000000" w:rsidP="00000000" w:rsidRDefault="00000000" w:rsidRPr="00000000" w14:paraId="00000008">
      <w:pPr>
        <w:jc w:val="center"/>
        <w:rPr>
          <w:rFonts w:ascii="Courier New" w:cs="Courier New" w:eastAsia="Courier New" w:hAnsi="Courier New"/>
          <w:i w:val="1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ourier New" w:cs="Courier New" w:eastAsia="Courier New" w:hAnsi="Courier New"/>
          <w:i w:val="1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ourier New" w:cs="Courier New" w:eastAsia="Courier New" w:hAnsi="Courier New"/>
          <w:i w:val="1"/>
          <w:sz w:val="35"/>
          <w:szCs w:val="3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35"/>
          <w:szCs w:val="35"/>
          <w:highlight w:val="white"/>
          <w:rtl w:val="0"/>
        </w:rPr>
        <w:t xml:space="preserve">Microservices Architecture</w:t>
      </w:r>
    </w:p>
    <w:p w:rsidR="00000000" w:rsidDel="00000000" w:rsidP="00000000" w:rsidRDefault="00000000" w:rsidRPr="00000000" w14:paraId="0000000B">
      <w:pPr>
        <w:jc w:val="center"/>
        <w:rPr>
          <w:rFonts w:ascii="Courier New" w:cs="Courier New" w:eastAsia="Courier New" w:hAnsi="Courier New"/>
          <w:i w:val="1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Courier New" w:cs="Courier New" w:eastAsia="Courier New" w:hAnsi="Courier New"/>
          <w:i w:val="1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ourier New" w:cs="Courier New" w:eastAsia="Courier New" w:hAnsi="Courier New"/>
          <w:i w:val="1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sz w:val="30"/>
          <w:szCs w:val="30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</w:t>
      </w:r>
      <w:r w:rsidDel="00000000" w:rsidR="00000000" w:rsidRPr="00000000">
        <w:rPr>
          <w:rFonts w:ascii="Lexend" w:cs="Lexend" w:eastAsia="Lexend" w:hAnsi="Lexend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   Mini-Projet :  Microservices Architecture</w:t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16"/>
          <w:szCs w:val="1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Courier New" w:cs="Courier New" w:eastAsia="Courier New" w:hAnsi="Courier New"/>
          <w:i w:val="1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i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highlight w:val="white"/>
          <w:rtl w:val="0"/>
        </w:rPr>
        <w:t xml:space="preserve">Réalisé par:   </w:t>
      </w:r>
      <w:r w:rsidDel="00000000" w:rsidR="00000000" w:rsidRPr="00000000">
        <w:rPr>
          <w:i w:val="1"/>
          <w:highlight w:val="white"/>
          <w:rtl w:val="0"/>
        </w:rPr>
        <w:t xml:space="preserve">         </w:t>
      </w:r>
    </w:p>
    <w:p w:rsidR="00000000" w:rsidDel="00000000" w:rsidP="00000000" w:rsidRDefault="00000000" w:rsidRPr="00000000" w14:paraId="00000018">
      <w:pPr>
        <w:rPr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16"/>
          <w:szCs w:val="1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highlight w:val="white"/>
          <w:rtl w:val="0"/>
        </w:rPr>
        <w:t xml:space="preserve">Mme.EL MADANI Sanae                       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16"/>
          <w:szCs w:val="1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highlight w:val="white"/>
          <w:rtl w:val="0"/>
        </w:rPr>
        <w:t xml:space="preserve">Mme.REDOUAN Salma  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i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highlight w:val="white"/>
          <w:rtl w:val="0"/>
        </w:rPr>
        <w:t xml:space="preserve">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highlight w:val="white"/>
          <w:rtl w:val="0"/>
        </w:rPr>
        <w:t xml:space="preserve">Encadré par 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i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highlight w:val="white"/>
          <w:rtl w:val="0"/>
        </w:rPr>
        <w:t xml:space="preserve">                                                                                                               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16"/>
          <w:szCs w:val="1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highlight w:val="white"/>
          <w:rtl w:val="0"/>
        </w:rPr>
        <w:t xml:space="preserve">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6"/>
          <w:szCs w:val="16"/>
          <w:highlight w:val="white"/>
          <w:rtl w:val="0"/>
        </w:rPr>
        <w:t xml:space="preserve">  Professeur .Driss allaki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Times New Roman" w:cs="Times New Roman" w:eastAsia="Times New Roman" w:hAnsi="Times New Roman"/>
          <w:color w:val="980000"/>
          <w:sz w:val="30"/>
          <w:szCs w:val="30"/>
        </w:rPr>
      </w:pPr>
      <w:bookmarkStart w:colFirst="0" w:colLast="0" w:name="_e6hs4ggt7ik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rPr>
          <w:rFonts w:ascii="Times New Roman" w:cs="Times New Roman" w:eastAsia="Times New Roman" w:hAnsi="Times New Roman"/>
          <w:color w:val="980000"/>
          <w:sz w:val="30"/>
          <w:szCs w:val="30"/>
          <w:highlight w:val="white"/>
        </w:rPr>
      </w:pPr>
      <w:bookmarkStart w:colFirst="0" w:colLast="0" w:name="_tx4c7iv6ndcc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980000"/>
          <w:sz w:val="30"/>
          <w:szCs w:val="30"/>
          <w:rtl w:val="0"/>
        </w:rPr>
        <w:t xml:space="preserve">1-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30"/>
          <w:szCs w:val="30"/>
          <w:highlight w:val="white"/>
          <w:rtl w:val="0"/>
        </w:rPr>
        <w:t xml:space="preserve">Hands-on Lab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Nous avons  réalisé les 10 parties du "Hands-on Lab" (projet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mcommerce)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 tout en modernisant bien sur les parties "outdated" moyennant des librairies plus récentes.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1-Les microservices de projet et le fichier de configuration distant: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605463" cy="595312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2-Eureka-service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28829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3-Login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22987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4-List des produits sous format json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5-Interface client :</w:t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2794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Voila le lien vers le projet réalisé: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https://github.com/sanae-elmadani/Microservices-Ecomerce-Project/tree/975aef56621da4bb97e3d743a4242db1a3d84530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Title"/>
        <w:rPr>
          <w:rFonts w:ascii="Times New Roman" w:cs="Times New Roman" w:eastAsia="Times New Roman" w:hAnsi="Times New Roman"/>
          <w:color w:val="980000"/>
          <w:sz w:val="30"/>
          <w:szCs w:val="30"/>
        </w:rPr>
      </w:pPr>
      <w:bookmarkStart w:colFirst="0" w:colLast="0" w:name="_6phndenxuiy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Title"/>
        <w:rPr>
          <w:rFonts w:ascii="Times New Roman" w:cs="Times New Roman" w:eastAsia="Times New Roman" w:hAnsi="Times New Roman"/>
          <w:color w:val="980000"/>
          <w:sz w:val="30"/>
          <w:szCs w:val="30"/>
          <w:highlight w:val="white"/>
        </w:rPr>
      </w:pPr>
      <w:bookmarkStart w:colFirst="0" w:colLast="0" w:name="_rukxo7eixvfg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980000"/>
          <w:sz w:val="30"/>
          <w:szCs w:val="30"/>
          <w:rtl w:val="0"/>
        </w:rPr>
        <w:t xml:space="preserve">2-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30"/>
          <w:szCs w:val="30"/>
          <w:highlight w:val="white"/>
          <w:rtl w:val="0"/>
        </w:rPr>
        <w:t xml:space="preserve"> Implémentation du circuit breaker (côté applicatif) au niveau de l'API Gateway.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1"/>
          <w:szCs w:val="21"/>
          <w:highlight w:val="white"/>
          <w:rtl w:val="0"/>
        </w:rPr>
        <w:t xml:space="preserve">Un circuit breaker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est un solution pour gérer les pannes dans les microservices et est maintenant largement implémenté à la fois en tant que bibliothèque et en tant que modèle intégré dans les modules de service et de client.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27550" cy="269643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7550" cy="2696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Dans notre cas, on va implémenter le circuit breaker au niveau de l’API Gateway pour se faire :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1-Nous avons créé un FallbackController et ApiResponse pour gérer l'indisponibilité du backend du service.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70675" cy="303165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675" cy="303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Ainsi, cela signifie que lorsque le service backend n'est pas disponible, il sera redirigé vers /fallback dès que possible.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Après nous avons  ajouté CircuitBreaker à application.yml comme suit ci-dessous.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27846" cy="3597526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846" cy="3597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3-Finalement nous avons réussi l'implémentation de circuite breaker au niveau de l’API gateway:</w:t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8321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Title"/>
        <w:rPr>
          <w:rFonts w:ascii="Times New Roman" w:cs="Times New Roman" w:eastAsia="Times New Roman" w:hAnsi="Times New Roman"/>
          <w:color w:val="980000"/>
          <w:sz w:val="30"/>
          <w:szCs w:val="30"/>
          <w:highlight w:val="white"/>
        </w:rPr>
      </w:pPr>
      <w:bookmarkStart w:colFirst="0" w:colLast="0" w:name="_ptekcpu0eiia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980000"/>
          <w:sz w:val="30"/>
          <w:szCs w:val="30"/>
          <w:rtl w:val="0"/>
        </w:rPr>
        <w:t xml:space="preserve">3-Déploiement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30"/>
          <w:szCs w:val="30"/>
          <w:highlight w:val="white"/>
          <w:rtl w:val="0"/>
        </w:rPr>
        <w:t xml:space="preserve"> de l'application microservices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30"/>
          <w:szCs w:val="30"/>
          <w:highlight w:val="white"/>
          <w:rtl w:val="0"/>
        </w:rPr>
        <w:t xml:space="preserve">commerce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30"/>
          <w:szCs w:val="30"/>
          <w:highlight w:val="white"/>
          <w:rtl w:val="0"/>
        </w:rPr>
        <w:t xml:space="preserve"> sur Kubernetes :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1-L’ajout de dockerfile plugin</w:t>
      </w:r>
      <w:r w:rsidDel="00000000" w:rsidR="00000000" w:rsidRPr="00000000">
        <w:rPr>
          <w:rFonts w:ascii="Times New Roman" w:cs="Times New Roman" w:eastAsia="Times New Roman" w:hAnsi="Times New Roman"/>
          <w:color w:val="0f0f0f"/>
          <w:sz w:val="21"/>
          <w:szCs w:val="21"/>
          <w:rtl w:val="0"/>
        </w:rPr>
        <w:t xml:space="preserve"> pour chaque microservices mais prenons l’exemple de API Gateway: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622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2-Création de Dockerfile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2479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color w:val="0f0f0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color w:val="0f0f0f"/>
          <w:sz w:val="21"/>
          <w:szCs w:val="21"/>
          <w:rtl w:val="0"/>
        </w:rPr>
        <w:t xml:space="preserve">L’ajout de configurations pour  Service Registry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color w:val="0f0f0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f0f0f"/>
          <w:sz w:val="21"/>
          <w:szCs w:val="21"/>
          <w:rtl w:val="0"/>
        </w:rPr>
        <w:t xml:space="preserve">Pour notre service eureka nous avons ajouté cette configuration: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color w:val="0f0f0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f0f0f"/>
          <w:sz w:val="21"/>
          <w:szCs w:val="21"/>
        </w:rPr>
        <w:drawing>
          <wp:inline distB="114300" distT="114300" distL="114300" distR="114300">
            <wp:extent cx="5731200" cy="2006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0f0f0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f0f0f"/>
          <w:sz w:val="21"/>
          <w:szCs w:val="21"/>
          <w:rtl w:val="0"/>
        </w:rPr>
        <w:t xml:space="preserve">pour les autres microservices nous avons ajouté cette configuration :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color w:val="0f0f0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f0f0f"/>
          <w:sz w:val="21"/>
          <w:szCs w:val="21"/>
        </w:rPr>
        <w:drawing>
          <wp:inline distB="114300" distT="114300" distL="114300" distR="114300">
            <wp:extent cx="5731200" cy="2946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3-Après nous avons tapé  la commande suivante mvn clean package dockerfile :push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pour transférer l’image construite vers Docker Hub: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503735" cy="330041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735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4-Après la construction des images,on doit maintenant créer </w:t>
      </w:r>
      <w:r w:rsidDel="00000000" w:rsidR="00000000" w:rsidRPr="00000000"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  <w:rtl w:val="0"/>
        </w:rPr>
        <w:t xml:space="preserve">les   fichiers de configuration Kubernetes pour chaque microservices: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  <w:rtl w:val="0"/>
        </w:rPr>
        <w:t xml:space="preserve">5-On exécute la commande suivante pour déployer les ressources telles que définies dans kubernetes.yaml: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color w:val="24243b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43b"/>
          <w:sz w:val="21"/>
          <w:szCs w:val="21"/>
          <w:highlight w:val="white"/>
          <w:rtl w:val="0"/>
        </w:rPr>
        <w:t xml:space="preserve">kubectl apply -f kubernetes.yaml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  <w:drawing>
          <wp:inline distB="114300" distT="114300" distL="114300" distR="114300">
            <wp:extent cx="5731200" cy="4749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  <w:drawing>
          <wp:inline distB="114300" distT="114300" distL="114300" distR="114300">
            <wp:extent cx="5731200" cy="4279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  <w:drawing>
          <wp:inline distB="114300" distT="114300" distL="114300" distR="114300">
            <wp:extent cx="5731200" cy="31623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  <w:drawing>
          <wp:inline distB="114300" distT="114300" distL="114300" distR="114300">
            <wp:extent cx="5731200" cy="3263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  <w:drawing>
          <wp:inline distB="114300" distT="114300" distL="114300" distR="114300">
            <wp:extent cx="5731200" cy="2197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  <w:drawing>
          <wp:inline distB="114300" distT="114300" distL="114300" distR="114300">
            <wp:extent cx="5731200" cy="21463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6-Kubernetes Dashboard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  <w:drawing>
          <wp:inline distB="114300" distT="114300" distL="114300" distR="114300">
            <wp:extent cx="5731200" cy="1714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  <w:drawing>
          <wp:inline distB="114300" distT="114300" distL="114300" distR="114300">
            <wp:extent cx="5731200" cy="2489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color w:val="24243b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b w:val="1"/>
          <w:color w:val="24243b"/>
          <w:sz w:val="21"/>
          <w:szCs w:val="21"/>
          <w:highlight w:val="white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  <w:rtl w:val="0"/>
        </w:rPr>
        <w:t xml:space="preserve">Voilà</w:t>
      </w:r>
      <w:r w:rsidDel="00000000" w:rsidR="00000000" w:rsidRPr="00000000"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  <w:rtl w:val="0"/>
        </w:rPr>
        <w:t xml:space="preserve"> nous avons réussi le déploiement des microservices en se servant de Kubernetes</w:t>
      </w:r>
      <w:r w:rsidDel="00000000" w:rsidR="00000000" w:rsidRPr="00000000">
        <w:rPr>
          <w:rFonts w:ascii="Times New Roman" w:cs="Times New Roman" w:eastAsia="Times New Roman" w:hAnsi="Times New Roman"/>
          <w:color w:val="24243b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color w:val="24243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color w:val="980000"/>
          <w:sz w:val="30"/>
          <w:szCs w:val="30"/>
          <w:highlight w:val="white"/>
        </w:rPr>
      </w:pPr>
      <w:r w:rsidDel="00000000" w:rsidR="00000000" w:rsidRPr="00000000">
        <w:rPr>
          <w:color w:val="980000"/>
          <w:sz w:val="30"/>
          <w:szCs w:val="30"/>
          <w:highlight w:val="white"/>
          <w:rtl w:val="0"/>
        </w:rPr>
        <w:t xml:space="preserve">4. Utilisation d’un Service Mesh :</w:t>
      </w:r>
    </w:p>
    <w:p w:rsidR="00000000" w:rsidDel="00000000" w:rsidP="00000000" w:rsidRDefault="00000000" w:rsidRPr="00000000" w14:paraId="000000A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Un service Mesh est une couche de plate-forme au-dessus de la couche d'infrastructure qui permet une communication gérée, observable et sécurisée entre des services individuels . 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Malheureusement  on n’a pas réussi cette étape car il demande des ressources de grande capacité (RAM et Stockage). 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Le lien github vers le  projet après déploiement  :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1"/>
            <w:szCs w:val="21"/>
            <w:highlight w:val="white"/>
            <w:u w:val="single"/>
            <w:rtl w:val="0"/>
          </w:rPr>
          <w:t xml:space="preserve">https://github.com/sanae-elmadani/Microservices-Ecomerce-Project/tree/080b4919e3d828d15625bcd89c7caab64f05169d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  <w:rtl w:val="0"/>
        </w:rPr>
        <w:t xml:space="preserve">Le lien github vers les fichiers de configuration de Kubernets: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1"/>
            <w:szCs w:val="21"/>
            <w:highlight w:val="white"/>
            <w:u w:val="single"/>
            <w:rtl w:val="0"/>
          </w:rPr>
          <w:t xml:space="preserve">https://github.com/sanae-elmadani/Files-configuration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color w:val="2424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Lexend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jc w:val="center"/>
      <w:rPr/>
    </w:pPr>
    <w:r w:rsidDel="00000000" w:rsidR="00000000" w:rsidRPr="00000000">
      <w:rPr>
        <w:rFonts w:ascii="Courier New" w:cs="Courier New" w:eastAsia="Courier New" w:hAnsi="Courier New"/>
        <w:i w:val="1"/>
        <w:sz w:val="20"/>
        <w:szCs w:val="20"/>
        <w:highlight w:val="white"/>
        <w:rtl w:val="0"/>
      </w:rPr>
      <w:t xml:space="preserve"> Mini-projet Microservices Architecture 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shd w:fill="ffffff" w:val="clear"/>
      <w:spacing w:line="240" w:lineRule="auto"/>
      <w:jc w:val="center"/>
      <w:rPr>
        <w:rFonts w:ascii="Courier New" w:cs="Courier New" w:eastAsia="Courier New" w:hAnsi="Courier New"/>
        <w:b w:val="1"/>
        <w:i w:val="1"/>
        <w:sz w:val="20"/>
        <w:szCs w:val="20"/>
      </w:rPr>
    </w:pPr>
    <w:r w:rsidDel="00000000" w:rsidR="00000000" w:rsidRPr="00000000">
      <w:rPr>
        <w:rFonts w:ascii="Courier New" w:cs="Courier New" w:eastAsia="Courier New" w:hAnsi="Courier New"/>
        <w:b w:val="1"/>
        <w:i w:val="1"/>
        <w:sz w:val="20"/>
        <w:szCs w:val="20"/>
        <w:rtl w:val="0"/>
      </w:rPr>
      <w:t xml:space="preserve"> Année Universitaire 2022 - 2023</w:t>
    </w:r>
  </w:p>
  <w:p w:rsidR="00000000" w:rsidDel="00000000" w:rsidP="00000000" w:rsidRDefault="00000000" w:rsidRPr="00000000" w14:paraId="000000B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4.png"/><Relationship Id="rId21" Type="http://schemas.openxmlformats.org/officeDocument/2006/relationships/image" Target="media/image3.png"/><Relationship Id="rId24" Type="http://schemas.openxmlformats.org/officeDocument/2006/relationships/image" Target="media/image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7.png"/><Relationship Id="rId25" Type="http://schemas.openxmlformats.org/officeDocument/2006/relationships/image" Target="media/image1.png"/><Relationship Id="rId28" Type="http://schemas.openxmlformats.org/officeDocument/2006/relationships/image" Target="media/image15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8.png"/><Relationship Id="rId7" Type="http://schemas.openxmlformats.org/officeDocument/2006/relationships/image" Target="media/image23.png"/><Relationship Id="rId8" Type="http://schemas.openxmlformats.org/officeDocument/2006/relationships/image" Target="media/image25.png"/><Relationship Id="rId31" Type="http://schemas.openxmlformats.org/officeDocument/2006/relationships/image" Target="media/image12.png"/><Relationship Id="rId30" Type="http://schemas.openxmlformats.org/officeDocument/2006/relationships/image" Target="media/image16.png"/><Relationship Id="rId11" Type="http://schemas.openxmlformats.org/officeDocument/2006/relationships/image" Target="media/image24.png"/><Relationship Id="rId33" Type="http://schemas.openxmlformats.org/officeDocument/2006/relationships/hyperlink" Target="https://github.com/sanae-elmadani/Files-configuration" TargetMode="External"/><Relationship Id="rId10" Type="http://schemas.openxmlformats.org/officeDocument/2006/relationships/image" Target="media/image4.png"/><Relationship Id="rId32" Type="http://schemas.openxmlformats.org/officeDocument/2006/relationships/hyperlink" Target="https://github.com/sanae-elmadani/Microservices-Ecomerce-Project/tree/080b4919e3d828d15625bcd89c7caab64f05169d" TargetMode="External"/><Relationship Id="rId13" Type="http://schemas.openxmlformats.org/officeDocument/2006/relationships/hyperlink" Target="https://github.com/sanae-elmadani/Microservices-Ecomerce-Project/tree/975aef56621da4bb97e3d743a4242db1a3d84530" TargetMode="External"/><Relationship Id="rId35" Type="http://schemas.openxmlformats.org/officeDocument/2006/relationships/footer" Target="footer1.xml"/><Relationship Id="rId12" Type="http://schemas.openxmlformats.org/officeDocument/2006/relationships/image" Target="media/image5.png"/><Relationship Id="rId34" Type="http://schemas.openxmlformats.org/officeDocument/2006/relationships/header" Target="header1.xml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19.png"/><Relationship Id="rId16" Type="http://schemas.openxmlformats.org/officeDocument/2006/relationships/image" Target="media/image11.png"/><Relationship Id="rId19" Type="http://schemas.openxmlformats.org/officeDocument/2006/relationships/image" Target="media/image8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Lexend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Lexend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