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379F1" w14:textId="77777777" w:rsidR="00785915" w:rsidRDefault="00785915">
      <w:pPr>
        <w:spacing w:before="200"/>
      </w:pPr>
    </w:p>
    <w:p w14:paraId="6B39DE60" w14:textId="77777777" w:rsidR="00785915" w:rsidRDefault="00000000">
      <w:pPr>
        <w:spacing w:after="120"/>
        <w:jc w:val="center"/>
      </w:pPr>
      <w:r>
        <w:rPr>
          <w:b/>
          <w:bCs/>
          <w:color w:val="A85C38"/>
          <w:sz w:val="20"/>
          <w:szCs w:val="20"/>
        </w:rPr>
        <w:t>MÓDULO 1 · SESIÓN 1.1</w:t>
      </w:r>
    </w:p>
    <w:p w14:paraId="26150230" w14:textId="77777777" w:rsidR="00785915" w:rsidRDefault="00000000">
      <w:pPr>
        <w:spacing w:after="80"/>
        <w:jc w:val="center"/>
      </w:pPr>
      <w:r>
        <w:rPr>
          <w:color w:val="50827C"/>
          <w:sz w:val="20"/>
          <w:szCs w:val="20"/>
        </w:rPr>
        <w:t>Guía de Lectura Autónoma 2 de 2</w:t>
      </w:r>
    </w:p>
    <w:p w14:paraId="0F01A1EA" w14:textId="77777777" w:rsidR="00785915" w:rsidRDefault="00785915">
      <w:pPr>
        <w:spacing w:before="80"/>
      </w:pPr>
    </w:p>
    <w:p w14:paraId="4CAD4382" w14:textId="77777777" w:rsidR="00785915" w:rsidRDefault="00000000">
      <w:pPr>
        <w:spacing w:after="160"/>
        <w:jc w:val="center"/>
      </w:pPr>
      <w:r>
        <w:rPr>
          <w:rFonts w:ascii="Georgia" w:eastAsia="Georgia" w:hAnsi="Georgia" w:cs="Georgia"/>
          <w:b/>
          <w:bCs/>
          <w:i/>
          <w:iCs/>
          <w:sz w:val="44"/>
          <w:szCs w:val="44"/>
        </w:rPr>
        <w:t>Manejo de Resistencia al Cambio en Campo</w:t>
      </w:r>
    </w:p>
    <w:p w14:paraId="2E03A03A" w14:textId="77777777" w:rsidR="00785915" w:rsidRDefault="00000000">
      <w:pPr>
        <w:spacing w:after="80"/>
        <w:jc w:val="center"/>
      </w:pPr>
      <w:r>
        <w:rPr>
          <w:color w:val="50827C"/>
        </w:rPr>
        <w:t>Cómo trabajar la resistencia del productor sin confrontar — y sin rendirse</w:t>
      </w:r>
    </w:p>
    <w:p w14:paraId="5C26AE48" w14:textId="77777777" w:rsidR="00785915" w:rsidRDefault="00785915">
      <w:pPr>
        <w:pBdr>
          <w:bottom w:val="single" w:sz="12" w:space="1" w:color="A85C38"/>
        </w:pBdr>
      </w:pPr>
    </w:p>
    <w:p w14:paraId="52F8D87F" w14:textId="77777777" w:rsidR="00785915" w:rsidRDefault="00785915">
      <w:pPr>
        <w:spacing w:before="80"/>
      </w:pPr>
    </w:p>
    <w:p w14:paraId="2F965FE5" w14:textId="77777777" w:rsidR="00785915" w:rsidRDefault="00000000">
      <w:pPr>
        <w:spacing w:after="40"/>
        <w:jc w:val="center"/>
      </w:pPr>
      <w:r>
        <w:rPr>
          <w:color w:val="CDC4B4"/>
          <w:sz w:val="18"/>
          <w:szCs w:val="18"/>
        </w:rPr>
        <w:t>Biodiversal SAS BIC  ×  Cirkular Agro  ·  Proyecto Coffee Biochar  ·  2025</w:t>
      </w:r>
    </w:p>
    <w:p w14:paraId="36E9B347" w14:textId="77777777" w:rsidR="00785915" w:rsidRDefault="00785915">
      <w:pPr>
        <w:spacing w:before="200"/>
      </w:pPr>
    </w:p>
    <w:p w14:paraId="3E8F7187" w14:textId="77777777" w:rsidR="00785915" w:rsidRDefault="00000000">
      <w:pPr>
        <w:spacing w:before="280" w:after="120"/>
      </w:pPr>
      <w:r>
        <w:rPr>
          <w:b/>
          <w:bCs/>
          <w:color w:val="A85C38"/>
          <w:sz w:val="26"/>
          <w:szCs w:val="26"/>
        </w:rPr>
        <w:t>¿Para qué sirve esta guía?</w:t>
      </w:r>
    </w:p>
    <w:p w14:paraId="20030D81" w14:textId="77777777" w:rsidR="00785915" w:rsidRDefault="00785915">
      <w:pPr>
        <w:pBdr>
          <w:bottom w:val="single" w:sz="12" w:space="1" w:color="50827C"/>
        </w:pBdr>
      </w:pPr>
    </w:p>
    <w:p w14:paraId="3029CFF4" w14:textId="77777777" w:rsidR="00785915" w:rsidRDefault="00785915">
      <w:pPr>
        <w:spacing w:before="80"/>
      </w:pPr>
    </w:p>
    <w:p w14:paraId="4F1B7F0F" w14:textId="77777777" w:rsidR="00785915" w:rsidRDefault="00000000">
      <w:pPr>
        <w:spacing w:before="80" w:after="80" w:line="320" w:lineRule="auto"/>
      </w:pPr>
      <w:r>
        <w:t>Esta guía es la segunda de dos lecturas autónomas para la Sesión 1.2. Mientras la primera guía (Educación Práctica de Adultos) te explica cómo aprenden los productores, esta te explica por qué no adoptan — y qué hacer cuando la resistencia aparece en campo.</w:t>
      </w:r>
    </w:p>
    <w:p w14:paraId="6CE63DDC" w14:textId="77777777" w:rsidR="00785915" w:rsidRDefault="00785915">
      <w:pPr>
        <w:spacing w:before="40"/>
      </w:pPr>
    </w:p>
    <w:p w14:paraId="57E011D6" w14:textId="77777777" w:rsidR="00785915" w:rsidRDefault="00000000">
      <w:pPr>
        <w:spacing w:before="80" w:after="80" w:line="320" w:lineRule="auto"/>
      </w:pPr>
      <w:r>
        <w:t>Tiempo de lectura estimado: 35 a 45 minutos.</w:t>
      </w:r>
    </w:p>
    <w:p w14:paraId="4A1934C1" w14:textId="77777777" w:rsidR="00785915" w:rsidRDefault="00785915">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85915" w14:paraId="7AC3EABF" w14:textId="77777777">
        <w:tblPrEx>
          <w:tblCellMar>
            <w:top w:w="0" w:type="dxa"/>
            <w:bottom w:w="0" w:type="dxa"/>
          </w:tblCellMar>
        </w:tblPrEx>
        <w:tc>
          <w:tcPr>
            <w:tcW w:w="9026" w:type="dxa"/>
            <w:shd w:val="clear" w:color="auto" w:fill="F5F0E6"/>
            <w:tcMar>
              <w:top w:w="160" w:type="dxa"/>
              <w:left w:w="240" w:type="dxa"/>
              <w:bottom w:w="160" w:type="dxa"/>
              <w:right w:w="240" w:type="dxa"/>
            </w:tcMar>
          </w:tcPr>
          <w:p w14:paraId="4409AD2D" w14:textId="77777777" w:rsidR="00785915" w:rsidRDefault="00000000">
            <w:pPr>
              <w:spacing w:after="80"/>
            </w:pPr>
            <w:r>
              <w:rPr>
                <w:b/>
                <w:bCs/>
              </w:rPr>
              <w:t>Lo que vas a lograr:</w:t>
            </w:r>
          </w:p>
          <w:p w14:paraId="424561C0" w14:textId="77777777" w:rsidR="00785915" w:rsidRDefault="00000000">
            <w:r>
              <w:rPr>
                <w:sz w:val="21"/>
                <w:szCs w:val="21"/>
              </w:rPr>
              <w:t>Entender las fuentes reales de la resistencia al cambio en comunidades cafeteras, distinguir los tipos de resistencia, y tener un protocolo práctico para trabajarla sin confrontar al productor y sin comprometer la relación de confianza que has construido.</w:t>
            </w:r>
          </w:p>
        </w:tc>
      </w:tr>
    </w:tbl>
    <w:p w14:paraId="4911A616" w14:textId="77777777" w:rsidR="00785915" w:rsidRDefault="00785915">
      <w:pPr>
        <w:spacing w:before="120"/>
      </w:pPr>
    </w:p>
    <w:p w14:paraId="451D67D8" w14:textId="77777777" w:rsidR="00785915" w:rsidRDefault="00000000">
      <w:pPr>
        <w:spacing w:before="280" w:after="120"/>
      </w:pPr>
      <w:r>
        <w:rPr>
          <w:b/>
          <w:bCs/>
          <w:color w:val="A85C38"/>
          <w:sz w:val="26"/>
          <w:szCs w:val="26"/>
        </w:rPr>
        <w:t>Parte 1 · Por qué el productor resiste</w:t>
      </w:r>
    </w:p>
    <w:p w14:paraId="142598BF" w14:textId="77777777" w:rsidR="00785915" w:rsidRDefault="00785915">
      <w:pPr>
        <w:pBdr>
          <w:bottom w:val="single" w:sz="12" w:space="1" w:color="A85C38"/>
        </w:pBdr>
      </w:pPr>
    </w:p>
    <w:p w14:paraId="0161919C" w14:textId="77777777" w:rsidR="00785915" w:rsidRDefault="00785915">
      <w:pPr>
        <w:spacing w:before="80"/>
      </w:pPr>
    </w:p>
    <w:p w14:paraId="171BC652" w14:textId="77777777" w:rsidR="00785915" w:rsidRDefault="00000000">
      <w:pPr>
        <w:spacing w:before="200" w:after="80"/>
      </w:pPr>
      <w:r>
        <w:rPr>
          <w:b/>
          <w:bCs/>
          <w:sz w:val="23"/>
          <w:szCs w:val="23"/>
        </w:rPr>
        <w:t>1.1 La resistencia no es terquedad</w:t>
      </w:r>
    </w:p>
    <w:p w14:paraId="1F93F78E" w14:textId="77777777" w:rsidR="00785915" w:rsidRDefault="00000000">
      <w:pPr>
        <w:spacing w:before="80" w:after="80" w:line="320" w:lineRule="auto"/>
      </w:pPr>
      <w:r>
        <w:t>El primer error que comete un extensionista cuando enfrenta resistencia es interpretarla como terquedad o falta de interés. Esa interpretación es equivocada y peligrosa: lleva a estrategias de persuasión que aumentan la resistencia en lugar de reducirla.</w:t>
      </w:r>
    </w:p>
    <w:p w14:paraId="0A8CD7AC" w14:textId="77777777" w:rsidR="00785915" w:rsidRDefault="00785915">
      <w:pPr>
        <w:spacing w:before="60"/>
      </w:pPr>
    </w:p>
    <w:p w14:paraId="583A8B7B" w14:textId="77777777" w:rsidR="00785915" w:rsidRDefault="00000000">
      <w:pPr>
        <w:spacing w:before="80" w:after="80" w:line="320" w:lineRule="auto"/>
      </w:pPr>
      <w:r>
        <w:t>La resistencia al cambio en el productor cafetero tiene causas racionales y comprensibles. Entenderlas es el primer paso para trabajarlas.</w:t>
      </w:r>
    </w:p>
    <w:p w14:paraId="5905D366" w14:textId="77777777" w:rsidR="00785915" w:rsidRDefault="0078591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85915" w14:paraId="547FAE4D" w14:textId="77777777">
        <w:tblPrEx>
          <w:tblCellMar>
            <w:top w:w="0" w:type="dxa"/>
            <w:bottom w:w="0" w:type="dxa"/>
          </w:tblCellMar>
        </w:tblPrEx>
        <w:tc>
          <w:tcPr>
            <w:tcW w:w="9026" w:type="dxa"/>
            <w:tcBorders>
              <w:top w:val="single" w:sz="6" w:space="0" w:color="50827C"/>
              <w:left w:val="single" w:sz="24" w:space="0" w:color="50827C"/>
            </w:tcBorders>
            <w:shd w:val="clear" w:color="auto" w:fill="F5F0E6"/>
            <w:tcMar>
              <w:top w:w="160" w:type="dxa"/>
              <w:left w:w="240" w:type="dxa"/>
              <w:bottom w:w="160" w:type="dxa"/>
              <w:right w:w="240" w:type="dxa"/>
            </w:tcMar>
          </w:tcPr>
          <w:p w14:paraId="4F8BCCE4" w14:textId="77777777" w:rsidR="00785915" w:rsidRDefault="00000000">
            <w:pPr>
              <w:spacing w:after="80"/>
            </w:pPr>
            <w:r>
              <w:rPr>
                <w:rFonts w:ascii="Georgia" w:eastAsia="Georgia" w:hAnsi="Georgia" w:cs="Georgia"/>
                <w:i/>
                <w:iCs/>
              </w:rPr>
              <w:t>"No es que no quiera cambiar. Es que no me puedo permitir equivocarme."</w:t>
            </w:r>
          </w:p>
          <w:p w14:paraId="414022B1" w14:textId="77777777" w:rsidR="00785915" w:rsidRDefault="00000000">
            <w:r>
              <w:rPr>
                <w:b/>
                <w:bCs/>
                <w:color w:val="50827C"/>
                <w:sz w:val="20"/>
                <w:szCs w:val="20"/>
              </w:rPr>
              <w:lastRenderedPageBreak/>
              <w:t>— Lógica económica del productor cafetero ante una innovación nueva</w:t>
            </w:r>
          </w:p>
        </w:tc>
      </w:tr>
    </w:tbl>
    <w:p w14:paraId="414E9D2F" w14:textId="77777777" w:rsidR="00785915" w:rsidRDefault="00785915">
      <w:pPr>
        <w:spacing w:before="80"/>
      </w:pPr>
    </w:p>
    <w:p w14:paraId="7FF0EC69" w14:textId="77777777" w:rsidR="00785915" w:rsidRDefault="00000000">
      <w:pPr>
        <w:spacing w:before="80" w:after="80" w:line="320" w:lineRule="auto"/>
      </w:pPr>
      <w:r>
        <w:t>Detrás de la resistencia casi siempre hay una o más de estas causas:</w:t>
      </w:r>
    </w:p>
    <w:p w14:paraId="58AA7E44" w14:textId="77777777" w:rsidR="00785915" w:rsidRDefault="0078591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85915" w14:paraId="216EDD5C" w14:textId="77777777">
        <w:tblPrEx>
          <w:tblCellMar>
            <w:top w:w="0" w:type="dxa"/>
            <w:bottom w:w="0" w:type="dxa"/>
          </w:tblCellMar>
        </w:tblPrEx>
        <w:tc>
          <w:tcPr>
            <w:tcW w:w="4513" w:type="dxa"/>
            <w:shd w:val="clear" w:color="auto" w:fill="3E4D58"/>
            <w:tcMar>
              <w:top w:w="100" w:type="dxa"/>
              <w:left w:w="160" w:type="dxa"/>
              <w:bottom w:w="100" w:type="dxa"/>
              <w:right w:w="160" w:type="dxa"/>
            </w:tcMar>
          </w:tcPr>
          <w:p w14:paraId="1FBAD5CA" w14:textId="77777777" w:rsidR="00785915" w:rsidRDefault="00000000">
            <w:r>
              <w:rPr>
                <w:b/>
                <w:bCs/>
                <w:color w:val="FFFFFF"/>
              </w:rPr>
              <w:t>Causa de resistencia</w:t>
            </w:r>
          </w:p>
        </w:tc>
        <w:tc>
          <w:tcPr>
            <w:tcW w:w="4513" w:type="dxa"/>
            <w:shd w:val="clear" w:color="auto" w:fill="3E4D58"/>
            <w:tcMar>
              <w:top w:w="100" w:type="dxa"/>
              <w:left w:w="160" w:type="dxa"/>
              <w:bottom w:w="100" w:type="dxa"/>
              <w:right w:w="160" w:type="dxa"/>
            </w:tcMar>
          </w:tcPr>
          <w:p w14:paraId="5DA86D1D" w14:textId="77777777" w:rsidR="00785915" w:rsidRDefault="00000000">
            <w:r>
              <w:rPr>
                <w:b/>
                <w:bCs/>
                <w:color w:val="FFFFFF"/>
              </w:rPr>
              <w:t>Qué hay detrás</w:t>
            </w:r>
          </w:p>
        </w:tc>
      </w:tr>
      <w:tr w:rsidR="00785915" w14:paraId="43E56524" w14:textId="77777777">
        <w:tblPrEx>
          <w:tblCellMar>
            <w:top w:w="0" w:type="dxa"/>
            <w:bottom w:w="0" w:type="dxa"/>
          </w:tblCellMar>
        </w:tblPrEx>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352ED482" w14:textId="77777777" w:rsidR="00785915" w:rsidRDefault="00000000">
            <w:r>
              <w:rPr>
                <w:sz w:val="21"/>
                <w:szCs w:val="21"/>
              </w:rPr>
              <w:t>Riesgo económico percibido</w:t>
            </w:r>
          </w:p>
        </w:tc>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609B6102" w14:textId="77777777" w:rsidR="00785915" w:rsidRDefault="00000000">
            <w:r>
              <w:rPr>
                <w:sz w:val="21"/>
                <w:szCs w:val="21"/>
              </w:rPr>
              <w:t>El productor calcula (conscientemente o no) el costo de equivocarse. Cambiar el manejo de la zoca implica tiempo, esfuerzo y la posibilidad de que algo salga mal en su finca. Ese costo lo asume él solo.</w:t>
            </w:r>
          </w:p>
        </w:tc>
      </w:tr>
      <w:tr w:rsidR="00785915" w14:paraId="013709B2" w14:textId="77777777">
        <w:tblPrEx>
          <w:tblCellMar>
            <w:top w:w="0" w:type="dxa"/>
            <w:bottom w:w="0" w:type="dxa"/>
          </w:tblCellMar>
        </w:tblPrEx>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5265E0A2" w14:textId="77777777" w:rsidR="00785915" w:rsidRDefault="00000000">
            <w:r>
              <w:rPr>
                <w:sz w:val="21"/>
                <w:szCs w:val="21"/>
              </w:rPr>
              <w:t>Experiencias previas negativas</w:t>
            </w:r>
          </w:p>
        </w:tc>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2967766D" w14:textId="77777777" w:rsidR="00785915" w:rsidRDefault="00000000">
            <w:r>
              <w:rPr>
                <w:sz w:val="21"/>
                <w:szCs w:val="21"/>
              </w:rPr>
              <w:t>Muchos productores han participado en proyectos que prometieron beneficios y no cumplieron. La desconfianza no es irracional: es aprendida.</w:t>
            </w:r>
          </w:p>
        </w:tc>
      </w:tr>
      <w:tr w:rsidR="00785915" w14:paraId="0D28601E" w14:textId="77777777">
        <w:tblPrEx>
          <w:tblCellMar>
            <w:top w:w="0" w:type="dxa"/>
            <w:bottom w:w="0" w:type="dxa"/>
          </w:tblCellMar>
        </w:tblPrEx>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377B99D4" w14:textId="77777777" w:rsidR="00785915" w:rsidRDefault="00000000">
            <w:r>
              <w:rPr>
                <w:sz w:val="21"/>
                <w:szCs w:val="21"/>
              </w:rPr>
              <w:t>Presión social del entorno</w:t>
            </w:r>
          </w:p>
        </w:tc>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1BC91B48" w14:textId="77777777" w:rsidR="00785915" w:rsidRDefault="00000000">
            <w:r>
              <w:rPr>
                <w:sz w:val="21"/>
                <w:szCs w:val="21"/>
              </w:rPr>
              <w:t>Si el vecino no lo hace, si el líder comunitario es escéptico, si el técnico de la cooperativa dice algo diferente, el productor enfrenta presión social para no cambiar.</w:t>
            </w:r>
          </w:p>
        </w:tc>
      </w:tr>
      <w:tr w:rsidR="00785915" w14:paraId="2EDCBF7C" w14:textId="77777777">
        <w:tblPrEx>
          <w:tblCellMar>
            <w:top w:w="0" w:type="dxa"/>
            <w:bottom w:w="0" w:type="dxa"/>
          </w:tblCellMar>
        </w:tblPrEx>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60FC12E6" w14:textId="77777777" w:rsidR="00785915" w:rsidRDefault="00000000">
            <w:r>
              <w:rPr>
                <w:sz w:val="21"/>
                <w:szCs w:val="21"/>
              </w:rPr>
              <w:t>Identidad y orgullo del saber</w:t>
            </w:r>
          </w:p>
        </w:tc>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416DDDA4" w14:textId="77777777" w:rsidR="00785915" w:rsidRDefault="00000000">
            <w:r>
              <w:rPr>
                <w:sz w:val="21"/>
                <w:szCs w:val="21"/>
              </w:rPr>
              <w:t>El productor que ha quemado la zoca durante 30 años ha construido parte de su identidad en torno a ese saber. Cambiar ese hábito puede sentirse como admitir que estuvo equivocado toda su vida.</w:t>
            </w:r>
          </w:p>
        </w:tc>
      </w:tr>
      <w:tr w:rsidR="00785915" w14:paraId="1C434C3A" w14:textId="77777777">
        <w:tblPrEx>
          <w:tblCellMar>
            <w:top w:w="0" w:type="dxa"/>
            <w:bottom w:w="0" w:type="dxa"/>
          </w:tblCellMar>
        </w:tblPrEx>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65AAC8E4" w14:textId="77777777" w:rsidR="00785915" w:rsidRDefault="00000000">
            <w:r>
              <w:rPr>
                <w:sz w:val="21"/>
                <w:szCs w:val="21"/>
              </w:rPr>
              <w:t>Incertidumbre sobre el proceso</w:t>
            </w:r>
          </w:p>
        </w:tc>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63E9D2A7" w14:textId="77777777" w:rsidR="00785915" w:rsidRDefault="00000000">
            <w:r>
              <w:rPr>
                <w:sz w:val="21"/>
                <w:szCs w:val="21"/>
              </w:rPr>
              <w:t>El productor puede no entender completamente qué implica el cambio, cuánto esfuerzo requiere, qué pasa si algo falla. La incertidumbre genera inmovilidad.</w:t>
            </w:r>
          </w:p>
        </w:tc>
      </w:tr>
      <w:tr w:rsidR="00785915" w14:paraId="49FD9B62" w14:textId="77777777">
        <w:tblPrEx>
          <w:tblCellMar>
            <w:top w:w="0" w:type="dxa"/>
            <w:bottom w:w="0" w:type="dxa"/>
          </w:tblCellMar>
        </w:tblPrEx>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5CD014B3" w14:textId="77777777" w:rsidR="00785915" w:rsidRDefault="00000000">
            <w:r>
              <w:rPr>
                <w:sz w:val="21"/>
                <w:szCs w:val="21"/>
              </w:rPr>
              <w:t>Falta de prueba local</w:t>
            </w:r>
          </w:p>
        </w:tc>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35B709BE" w14:textId="77777777" w:rsidR="00785915" w:rsidRDefault="00000000">
            <w:r>
              <w:rPr>
                <w:sz w:val="21"/>
                <w:szCs w:val="21"/>
              </w:rPr>
              <w:t>El productor confía más en lo que ve en fincas cercanas que en datos de investigación lejanos. Sin evidencia local, el argumento más sólido sigue siendo 'así siempre se ha hecho'.</w:t>
            </w:r>
          </w:p>
        </w:tc>
      </w:tr>
    </w:tbl>
    <w:p w14:paraId="213EE4E2" w14:textId="77777777" w:rsidR="00785915" w:rsidRDefault="00785915">
      <w:pPr>
        <w:spacing w:before="120"/>
      </w:pPr>
    </w:p>
    <w:p w14:paraId="04DF6342" w14:textId="77777777" w:rsidR="00785915" w:rsidRDefault="00000000">
      <w:pPr>
        <w:spacing w:before="200" w:after="80"/>
      </w:pPr>
      <w:r>
        <w:rPr>
          <w:b/>
          <w:bCs/>
          <w:sz w:val="23"/>
          <w:szCs w:val="23"/>
        </w:rPr>
        <w:t>1.2 Los tres tipos de resistencia</w:t>
      </w:r>
    </w:p>
    <w:p w14:paraId="08EF9473" w14:textId="77777777" w:rsidR="00785915" w:rsidRDefault="00000000">
      <w:pPr>
        <w:spacing w:before="80" w:after="80" w:line="320" w:lineRule="auto"/>
      </w:pPr>
      <w:r>
        <w:t>No toda resistencia es igual. Antes de actuar, diagnostica qué tipo de resistencia tienes frente a ti:</w:t>
      </w:r>
    </w:p>
    <w:p w14:paraId="6A1EBF77" w14:textId="77777777" w:rsidR="00785915" w:rsidRDefault="0078591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85915" w14:paraId="48FB94EC" w14:textId="77777777">
        <w:tblPrEx>
          <w:tblCellMar>
            <w:top w:w="0" w:type="dxa"/>
            <w:bottom w:w="0" w:type="dxa"/>
          </w:tblCellMar>
        </w:tblPrEx>
        <w:tc>
          <w:tcPr>
            <w:tcW w:w="9026" w:type="dxa"/>
            <w:shd w:val="clear" w:color="auto" w:fill="BDE0D6"/>
            <w:tcMar>
              <w:top w:w="160" w:type="dxa"/>
              <w:left w:w="240" w:type="dxa"/>
              <w:bottom w:w="160" w:type="dxa"/>
              <w:right w:w="240" w:type="dxa"/>
            </w:tcMar>
          </w:tcPr>
          <w:p w14:paraId="38A42135" w14:textId="77777777" w:rsidR="00785915" w:rsidRDefault="00000000">
            <w:pPr>
              <w:spacing w:after="80"/>
            </w:pPr>
            <w:r>
              <w:rPr>
                <w:b/>
                <w:bCs/>
              </w:rPr>
              <w:t>Tipo 1 — Resistencia informacional</w:t>
            </w:r>
          </w:p>
          <w:p w14:paraId="0B9AB417" w14:textId="77777777" w:rsidR="00785915" w:rsidRDefault="00000000">
            <w:r>
              <w:rPr>
                <w:sz w:val="21"/>
                <w:szCs w:val="21"/>
              </w:rPr>
              <w:t>El productor no tiene suficiente información o tiene información incorrecta. Se manifiesta como preguntas, dudas, escepticismo técnico. Es el tipo más fácil de trabajar porque la respuesta es dar más y mejor información, con el lenguaje correcto.</w:t>
            </w:r>
          </w:p>
        </w:tc>
      </w:tr>
    </w:tbl>
    <w:p w14:paraId="768CEEE8" w14:textId="77777777" w:rsidR="00785915" w:rsidRDefault="0078591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85915" w14:paraId="5C43EB13" w14:textId="77777777">
        <w:tblPrEx>
          <w:tblCellMar>
            <w:top w:w="0" w:type="dxa"/>
            <w:bottom w:w="0" w:type="dxa"/>
          </w:tblCellMar>
        </w:tblPrEx>
        <w:tc>
          <w:tcPr>
            <w:tcW w:w="9026" w:type="dxa"/>
            <w:shd w:val="clear" w:color="auto" w:fill="F5F0E6"/>
            <w:tcMar>
              <w:top w:w="160" w:type="dxa"/>
              <w:left w:w="240" w:type="dxa"/>
              <w:bottom w:w="160" w:type="dxa"/>
              <w:right w:w="240" w:type="dxa"/>
            </w:tcMar>
          </w:tcPr>
          <w:p w14:paraId="17B63DEF" w14:textId="77777777" w:rsidR="00785915" w:rsidRDefault="00000000">
            <w:pPr>
              <w:spacing w:after="80"/>
            </w:pPr>
            <w:r>
              <w:rPr>
                <w:b/>
                <w:bCs/>
              </w:rPr>
              <w:t>Tipo 2 — Resistencia relacional</w:t>
            </w:r>
          </w:p>
          <w:p w14:paraId="4572B2D8" w14:textId="77777777" w:rsidR="00785915" w:rsidRDefault="00000000">
            <w:r>
              <w:rPr>
                <w:sz w:val="21"/>
                <w:szCs w:val="21"/>
              </w:rPr>
              <w:t>El productor no confía suficientemente en el extensionista o en el proyecto. Se manifiesta como distancia, respuestas cortas, acuerdos que no se cumplen. No se resuelve con más información — se resuelve con tiempo, consistencia y cumplimiento de compromisos.</w:t>
            </w:r>
          </w:p>
        </w:tc>
      </w:tr>
    </w:tbl>
    <w:p w14:paraId="349E133E" w14:textId="77777777" w:rsidR="00785915" w:rsidRDefault="0078591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85915" w14:paraId="24B0485E" w14:textId="77777777">
        <w:tblPrEx>
          <w:tblCellMar>
            <w:top w:w="0" w:type="dxa"/>
            <w:bottom w:w="0" w:type="dxa"/>
          </w:tblCellMar>
        </w:tblPrEx>
        <w:tc>
          <w:tcPr>
            <w:tcW w:w="9026" w:type="dxa"/>
            <w:shd w:val="clear" w:color="auto" w:fill="F5E8E0"/>
            <w:tcMar>
              <w:top w:w="160" w:type="dxa"/>
              <w:left w:w="240" w:type="dxa"/>
              <w:bottom w:w="160" w:type="dxa"/>
              <w:right w:w="240" w:type="dxa"/>
            </w:tcMar>
          </w:tcPr>
          <w:p w14:paraId="2F54F51C" w14:textId="77777777" w:rsidR="00785915" w:rsidRDefault="00000000">
            <w:pPr>
              <w:spacing w:after="80"/>
            </w:pPr>
            <w:r>
              <w:rPr>
                <w:b/>
                <w:bCs/>
              </w:rPr>
              <w:t>Tipo 3 — Resistencia estructural</w:t>
            </w:r>
          </w:p>
          <w:p w14:paraId="694C06DD" w14:textId="77777777" w:rsidR="00785915" w:rsidRDefault="00000000">
            <w:r>
              <w:rPr>
                <w:sz w:val="21"/>
                <w:szCs w:val="21"/>
              </w:rPr>
              <w:t>El productor quiere cambiar pero hay barreras reales: no tiene tiempo, no tiene mano de obra, el horno está lejos, hay un conflicto con el vecino por el acceso. Se resuelve identificando y eliminando la barrera concreta, no convenciendo al productor.</w:t>
            </w:r>
          </w:p>
        </w:tc>
      </w:tr>
    </w:tbl>
    <w:p w14:paraId="19D51033" w14:textId="77777777" w:rsidR="00785915" w:rsidRDefault="00785915">
      <w:pPr>
        <w:spacing w:before="80"/>
      </w:pPr>
    </w:p>
    <w:p w14:paraId="1DDB2409" w14:textId="77777777" w:rsidR="00785915" w:rsidRDefault="00000000">
      <w:pPr>
        <w:spacing w:before="80" w:after="80" w:line="320" w:lineRule="auto"/>
      </w:pPr>
      <w:r>
        <w:t>El error más común: tratar resistencia relacional con argumentos informativos. El productor que no confía en ti no va a cambiar de opinión porque le des más datos técnicos.</w:t>
      </w:r>
    </w:p>
    <w:p w14:paraId="7B0226E3" w14:textId="77777777" w:rsidR="00785915" w:rsidRDefault="00785915">
      <w:pPr>
        <w:spacing w:before="120"/>
      </w:pPr>
    </w:p>
    <w:p w14:paraId="1C9AC675" w14:textId="77777777" w:rsidR="00785915" w:rsidRDefault="00000000">
      <w:pPr>
        <w:spacing w:before="280" w:after="120"/>
      </w:pPr>
      <w:r>
        <w:rPr>
          <w:b/>
          <w:bCs/>
          <w:color w:val="A85C38"/>
          <w:sz w:val="26"/>
          <w:szCs w:val="26"/>
        </w:rPr>
        <w:t>Parte 2 · El modelo de etapas del cambio</w:t>
      </w:r>
    </w:p>
    <w:p w14:paraId="78BC30DF" w14:textId="77777777" w:rsidR="00785915" w:rsidRDefault="00785915">
      <w:pPr>
        <w:pBdr>
          <w:bottom w:val="single" w:sz="12" w:space="1" w:color="A85C38"/>
        </w:pBdr>
      </w:pPr>
    </w:p>
    <w:p w14:paraId="66ABC7F5" w14:textId="77777777" w:rsidR="00785915" w:rsidRDefault="00785915">
      <w:pPr>
        <w:spacing w:before="80"/>
      </w:pPr>
    </w:p>
    <w:p w14:paraId="6722DFE3" w14:textId="77777777" w:rsidR="00785915" w:rsidRDefault="00000000">
      <w:pPr>
        <w:spacing w:before="200" w:after="80"/>
      </w:pPr>
      <w:r>
        <w:rPr>
          <w:b/>
          <w:bCs/>
          <w:sz w:val="23"/>
          <w:szCs w:val="23"/>
        </w:rPr>
        <w:t>2.1 Prochaska y DiClemente: el cambio como proceso</w:t>
      </w:r>
    </w:p>
    <w:p w14:paraId="3FF3F828" w14:textId="77777777" w:rsidR="00785915" w:rsidRDefault="00000000">
      <w:pPr>
        <w:spacing w:before="80" w:after="80" w:line="320" w:lineRule="auto"/>
      </w:pPr>
      <w:r>
        <w:t>Los psicólogos James Prochaska y Carlo DiClemente desarrollaron en los años 80 un modelo que describe cómo las personas — incluidos los adultos rurales — transitan hacia un cambio de comportamiento. El modelo tiene cinco etapas y es circular, no lineal: el productor puede retroceder y volver a avanzar.</w:t>
      </w:r>
    </w:p>
    <w:p w14:paraId="0D83F791" w14:textId="77777777" w:rsidR="00785915" w:rsidRDefault="0078591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85915" w14:paraId="7C7638EB" w14:textId="77777777">
        <w:tblPrEx>
          <w:tblCellMar>
            <w:top w:w="0" w:type="dxa"/>
            <w:bottom w:w="0" w:type="dxa"/>
          </w:tblCellMar>
        </w:tblPrEx>
        <w:tc>
          <w:tcPr>
            <w:tcW w:w="4513" w:type="dxa"/>
            <w:shd w:val="clear" w:color="auto" w:fill="3E4D58"/>
            <w:tcMar>
              <w:top w:w="100" w:type="dxa"/>
              <w:left w:w="160" w:type="dxa"/>
              <w:bottom w:w="100" w:type="dxa"/>
              <w:right w:w="160" w:type="dxa"/>
            </w:tcMar>
          </w:tcPr>
          <w:p w14:paraId="1ABD31C5" w14:textId="77777777" w:rsidR="00785915" w:rsidRDefault="00000000">
            <w:r>
              <w:rPr>
                <w:b/>
                <w:bCs/>
                <w:color w:val="FFFFFF"/>
              </w:rPr>
              <w:t>Etapa</w:t>
            </w:r>
          </w:p>
        </w:tc>
        <w:tc>
          <w:tcPr>
            <w:tcW w:w="4513" w:type="dxa"/>
            <w:shd w:val="clear" w:color="auto" w:fill="3E4D58"/>
            <w:tcMar>
              <w:top w:w="100" w:type="dxa"/>
              <w:left w:w="160" w:type="dxa"/>
              <w:bottom w:w="100" w:type="dxa"/>
              <w:right w:w="160" w:type="dxa"/>
            </w:tcMar>
          </w:tcPr>
          <w:p w14:paraId="672B1FF7" w14:textId="77777777" w:rsidR="00785915" w:rsidRDefault="00000000">
            <w:r>
              <w:rPr>
                <w:b/>
                <w:bCs/>
                <w:color w:val="FFFFFF"/>
              </w:rPr>
              <w:t>Qué hacer como extensionista</w:t>
            </w:r>
          </w:p>
        </w:tc>
      </w:tr>
      <w:tr w:rsidR="00785915" w14:paraId="6E28A038" w14:textId="77777777">
        <w:tblPrEx>
          <w:tblCellMar>
            <w:top w:w="0" w:type="dxa"/>
            <w:bottom w:w="0" w:type="dxa"/>
          </w:tblCellMar>
        </w:tblPrEx>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5E7288AE" w14:textId="77777777" w:rsidR="00785915" w:rsidRDefault="00000000">
            <w:r>
              <w:rPr>
                <w:sz w:val="21"/>
                <w:szCs w:val="21"/>
              </w:rPr>
              <w:t>1. Precontemplación</w:t>
            </w:r>
          </w:p>
        </w:tc>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6AF2580B" w14:textId="77777777" w:rsidR="00785915" w:rsidRDefault="00000000">
            <w:r>
              <w:rPr>
                <w:sz w:val="21"/>
                <w:szCs w:val="21"/>
              </w:rPr>
              <w:t>El productor ni siquiera está pensando en cambiar. No ve el problema o no cree que le afecte. Tu objetivo: no convencerlo todavía — solo sembrar una pregunta que active su reflexión.</w:t>
            </w:r>
          </w:p>
        </w:tc>
      </w:tr>
      <w:tr w:rsidR="00785915" w14:paraId="59A87FF1" w14:textId="77777777">
        <w:tblPrEx>
          <w:tblCellMar>
            <w:top w:w="0" w:type="dxa"/>
            <w:bottom w:w="0" w:type="dxa"/>
          </w:tblCellMar>
        </w:tblPrEx>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279778B6" w14:textId="77777777" w:rsidR="00785915" w:rsidRDefault="00000000">
            <w:r>
              <w:rPr>
                <w:sz w:val="21"/>
                <w:szCs w:val="21"/>
              </w:rPr>
              <w:t>2. Contemplación</w:t>
            </w:r>
          </w:p>
        </w:tc>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78FE9509" w14:textId="77777777" w:rsidR="00785915" w:rsidRDefault="00000000">
            <w:r>
              <w:rPr>
                <w:sz w:val="21"/>
                <w:szCs w:val="21"/>
              </w:rPr>
              <w:t>El productor está pensando en cambiar pero no ha decidido. Tiene ambivalencia: ve tanto los beneficios como los costos del cambio. Tu objetivo: amplificar los beneficios percibidos y reducir los costos percibidos.</w:t>
            </w:r>
          </w:p>
        </w:tc>
      </w:tr>
      <w:tr w:rsidR="00785915" w14:paraId="44A406C4" w14:textId="77777777">
        <w:tblPrEx>
          <w:tblCellMar>
            <w:top w:w="0" w:type="dxa"/>
            <w:bottom w:w="0" w:type="dxa"/>
          </w:tblCellMar>
        </w:tblPrEx>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30411C30" w14:textId="77777777" w:rsidR="00785915" w:rsidRDefault="00000000">
            <w:r>
              <w:rPr>
                <w:sz w:val="21"/>
                <w:szCs w:val="21"/>
              </w:rPr>
              <w:t>3. Preparación</w:t>
            </w:r>
          </w:p>
        </w:tc>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4CE33CE5" w14:textId="77777777" w:rsidR="00785915" w:rsidRDefault="00000000">
            <w:r>
              <w:rPr>
                <w:sz w:val="21"/>
                <w:szCs w:val="21"/>
              </w:rPr>
              <w:t>El productor ha decidido cambiar y está empezando a planificar cómo. Tu objetivo: ayudarle a dar pasos concretos y pequeños. Un primer ensayo en una parcela pequeña es mejor que un cambio total.</w:t>
            </w:r>
          </w:p>
        </w:tc>
      </w:tr>
      <w:tr w:rsidR="00785915" w14:paraId="76911956" w14:textId="77777777">
        <w:tblPrEx>
          <w:tblCellMar>
            <w:top w:w="0" w:type="dxa"/>
            <w:bottom w:w="0" w:type="dxa"/>
          </w:tblCellMar>
        </w:tblPrEx>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63A4646B" w14:textId="77777777" w:rsidR="00785915" w:rsidRDefault="00000000">
            <w:r>
              <w:rPr>
                <w:sz w:val="21"/>
                <w:szCs w:val="21"/>
              </w:rPr>
              <w:t>4. Acción</w:t>
            </w:r>
          </w:p>
        </w:tc>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34AD4732" w14:textId="77777777" w:rsidR="00785915" w:rsidRDefault="00000000">
            <w:r>
              <w:rPr>
                <w:sz w:val="21"/>
                <w:szCs w:val="21"/>
              </w:rPr>
              <w:t>El productor está ejecutando el cambio. Necesita apoyo técnico constante y reconocimiento de sus avances. Tu objetivo: estar presente, resolver problemas rápido, celebrar los logros.</w:t>
            </w:r>
          </w:p>
        </w:tc>
      </w:tr>
      <w:tr w:rsidR="00785915" w14:paraId="46BD2855" w14:textId="77777777">
        <w:tblPrEx>
          <w:tblCellMar>
            <w:top w:w="0" w:type="dxa"/>
            <w:bottom w:w="0" w:type="dxa"/>
          </w:tblCellMar>
        </w:tblPrEx>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3785DFB8" w14:textId="77777777" w:rsidR="00785915" w:rsidRDefault="00000000">
            <w:r>
              <w:rPr>
                <w:sz w:val="21"/>
                <w:szCs w:val="21"/>
              </w:rPr>
              <w:t>5. Mantenimiento</w:t>
            </w:r>
          </w:p>
        </w:tc>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25E469D7" w14:textId="77777777" w:rsidR="00785915" w:rsidRDefault="00000000">
            <w:r>
              <w:rPr>
                <w:sz w:val="21"/>
                <w:szCs w:val="21"/>
              </w:rPr>
              <w:t>El cambio se ha consolidado. El riesgo es la recaída ante dificultades. Tu objetivo: fortalecer la identidad del productor como 'alguien que hace biochar', conectarlo con otros productores que también lo hacen.</w:t>
            </w:r>
          </w:p>
        </w:tc>
      </w:tr>
    </w:tbl>
    <w:p w14:paraId="61C12CCD" w14:textId="77777777" w:rsidR="00785915" w:rsidRDefault="0078591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85915" w14:paraId="7CA57B50" w14:textId="77777777">
        <w:tblPrEx>
          <w:tblCellMar>
            <w:top w:w="0" w:type="dxa"/>
            <w:bottom w:w="0" w:type="dxa"/>
          </w:tblCellMar>
        </w:tblPrEx>
        <w:tc>
          <w:tcPr>
            <w:tcW w:w="9026" w:type="dxa"/>
            <w:shd w:val="clear" w:color="auto" w:fill="F5F0E6"/>
            <w:tcMar>
              <w:top w:w="160" w:type="dxa"/>
              <w:left w:w="240" w:type="dxa"/>
              <w:bottom w:w="160" w:type="dxa"/>
              <w:right w:w="240" w:type="dxa"/>
            </w:tcMar>
          </w:tcPr>
          <w:p w14:paraId="4AE0B234" w14:textId="77777777" w:rsidR="00785915" w:rsidRDefault="00000000">
            <w:pPr>
              <w:spacing w:after="80"/>
            </w:pPr>
            <w:r>
              <w:rPr>
                <w:b/>
                <w:bCs/>
              </w:rPr>
              <w:lastRenderedPageBreak/>
              <w:t>Implicación práctica:</w:t>
            </w:r>
          </w:p>
          <w:p w14:paraId="292146CA" w14:textId="77777777" w:rsidR="00785915" w:rsidRDefault="00000000">
            <w:r>
              <w:rPr>
                <w:sz w:val="21"/>
                <w:szCs w:val="21"/>
              </w:rPr>
              <w:t>Antes de cada visita, hazte esta pregunta: ¿En qué etapa del cambio está este productor hoy? Tu estrategia de conversación debe ser diferente dependiendo de la etapa. Intentar mover a alguien de la etapa 1 a la 4 en una sola visita es el error más común — y el que más daña la relación.</w:t>
            </w:r>
          </w:p>
        </w:tc>
      </w:tr>
    </w:tbl>
    <w:p w14:paraId="73789449" w14:textId="77777777" w:rsidR="00785915" w:rsidRDefault="00785915">
      <w:pPr>
        <w:spacing w:before="120"/>
      </w:pPr>
    </w:p>
    <w:p w14:paraId="73DDA7D5" w14:textId="77777777" w:rsidR="00785915" w:rsidRDefault="00000000">
      <w:pPr>
        <w:spacing w:before="200" w:after="80"/>
      </w:pPr>
      <w:r>
        <w:rPr>
          <w:b/>
          <w:bCs/>
          <w:sz w:val="23"/>
          <w:szCs w:val="23"/>
        </w:rPr>
        <w:t>2.2 La entrevista motivacional como herramienta</w:t>
      </w:r>
    </w:p>
    <w:p w14:paraId="197C8533" w14:textId="77777777" w:rsidR="00785915" w:rsidRDefault="00000000">
      <w:pPr>
        <w:spacing w:before="80" w:after="80" w:line="320" w:lineRule="auto"/>
      </w:pPr>
      <w:r>
        <w:t>William Miller y Stephen Rollnick desarrollaron la entrevista motivacional (EM) como un estilo de conversación clínica para trabajar la ambivalencia ante el cambio. Adaptada al contexto de extensión rural, sus principios son directamente aplicables:</w:t>
      </w:r>
    </w:p>
    <w:p w14:paraId="590EC1E1" w14:textId="77777777" w:rsidR="00785915" w:rsidRDefault="00785915">
      <w:pPr>
        <w:spacing w:before="80"/>
      </w:pPr>
    </w:p>
    <w:p w14:paraId="2630B21A" w14:textId="77777777" w:rsidR="00785915" w:rsidRDefault="00000000">
      <w:pPr>
        <w:pStyle w:val="Prrafodelista"/>
        <w:numPr>
          <w:ilvl w:val="0"/>
          <w:numId w:val="2"/>
        </w:numPr>
        <w:spacing w:before="60" w:after="60" w:line="300" w:lineRule="auto"/>
      </w:pPr>
      <w:r>
        <w:t>Escucha reflexiva — No respondes lo que el productor dice, reflejas lo que escuchas para que él lo procese. 'Si entiendo bien, lo que me está diciendo es que el horno le queda lejos y eso le complica el registro. ¿Es así?' Esta técnica activa la reflexión sin crear defensividad.</w:t>
      </w:r>
    </w:p>
    <w:p w14:paraId="352D4F5C" w14:textId="77777777" w:rsidR="00785915" w:rsidRDefault="00000000">
      <w:pPr>
        <w:pStyle w:val="Prrafodelista"/>
        <w:numPr>
          <w:ilvl w:val="0"/>
          <w:numId w:val="2"/>
        </w:numPr>
        <w:spacing w:before="60" w:after="60" w:line="300" w:lineRule="auto"/>
      </w:pPr>
      <w:r>
        <w:t>Desarrollar la discrepancia — Ayudas al productor a ver la brecha entre dónde está y dónde quiere estar. 'Usted me dijo en la visita pasada que quiere dejarle a sus hijos una finca con mejor suelo. ¿Cómo ve que la quema de la zoca afecta ese objetivo?'</w:t>
      </w:r>
    </w:p>
    <w:p w14:paraId="264A53F1" w14:textId="77777777" w:rsidR="00785915" w:rsidRDefault="00000000">
      <w:pPr>
        <w:pStyle w:val="Prrafodelista"/>
        <w:numPr>
          <w:ilvl w:val="0"/>
          <w:numId w:val="2"/>
        </w:numPr>
        <w:spacing w:before="60" w:after="60" w:line="300" w:lineRule="auto"/>
      </w:pPr>
      <w:r>
        <w:t>Rodar con la resistencia — Cuando el productor empuja, no empujes de vuelta. Reconoce su posición y abre espacio para otra perspectiva. 'Tiene razón en que cambiar requiere tiempo que no siempre está disponible. ¿Habría alguna manera de hacer esto que no le quitara tanto tiempo?'</w:t>
      </w:r>
    </w:p>
    <w:p w14:paraId="0C82FE06" w14:textId="77777777" w:rsidR="00785915" w:rsidRDefault="00000000">
      <w:pPr>
        <w:pStyle w:val="Prrafodelista"/>
        <w:numPr>
          <w:ilvl w:val="0"/>
          <w:numId w:val="2"/>
        </w:numPr>
        <w:spacing w:before="60" w:after="60" w:line="300" w:lineRule="auto"/>
      </w:pPr>
      <w:r>
        <w:t>Apoyar la autoeficacia — El productor necesita creer que puede hacer el cambio. Señala sus capacidades. 'Usted ya aprendió a manejar la app. Si aprendió eso, aprender el protocolo del horno no va a ser diferente.'</w:t>
      </w:r>
    </w:p>
    <w:p w14:paraId="1857EBDF" w14:textId="77777777" w:rsidR="00785915" w:rsidRDefault="00785915">
      <w:pPr>
        <w:spacing w:before="120"/>
      </w:pPr>
    </w:p>
    <w:p w14:paraId="00008CA1" w14:textId="77777777" w:rsidR="00785915" w:rsidRDefault="00000000">
      <w:pPr>
        <w:spacing w:before="280" w:after="120"/>
      </w:pPr>
      <w:r>
        <w:rPr>
          <w:b/>
          <w:bCs/>
          <w:color w:val="A85C38"/>
          <w:sz w:val="26"/>
          <w:szCs w:val="26"/>
        </w:rPr>
        <w:t>Parte 3 · Protocolo de campo para resistencia</w:t>
      </w:r>
    </w:p>
    <w:p w14:paraId="301F9BF6" w14:textId="77777777" w:rsidR="00785915" w:rsidRDefault="00785915">
      <w:pPr>
        <w:pBdr>
          <w:bottom w:val="single" w:sz="12" w:space="1" w:color="A85C38"/>
        </w:pBdr>
      </w:pPr>
    </w:p>
    <w:p w14:paraId="47AEEAEF" w14:textId="77777777" w:rsidR="00785915" w:rsidRDefault="00785915">
      <w:pPr>
        <w:spacing w:before="80"/>
      </w:pPr>
    </w:p>
    <w:p w14:paraId="1C77ADCA" w14:textId="77777777" w:rsidR="00785915" w:rsidRDefault="00000000">
      <w:pPr>
        <w:spacing w:before="200" w:after="80"/>
      </w:pPr>
      <w:r>
        <w:rPr>
          <w:b/>
          <w:bCs/>
          <w:sz w:val="23"/>
          <w:szCs w:val="23"/>
        </w:rPr>
        <w:t>3.1 Qué hacer cuando el productor dice 'no'</w:t>
      </w:r>
    </w:p>
    <w:p w14:paraId="3652E57E" w14:textId="77777777" w:rsidR="00785915" w:rsidRDefault="00000000">
      <w:pPr>
        <w:spacing w:before="80" w:after="80" w:line="320" w:lineRule="auto"/>
      </w:pPr>
      <w:r>
        <w:t>El 'no' del productor pocas veces es definitivo. Casi siempre es una señal de que algo en la conversación no funcionó. Aquí tienes el protocolo de cuatro pasos para trabajar ese momento:</w:t>
      </w:r>
    </w:p>
    <w:p w14:paraId="253AD4B6" w14:textId="77777777" w:rsidR="00785915" w:rsidRDefault="0078591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85915" w14:paraId="5E7D91FC" w14:textId="77777777">
        <w:tblPrEx>
          <w:tblCellMar>
            <w:top w:w="0" w:type="dxa"/>
            <w:bottom w:w="0" w:type="dxa"/>
          </w:tblCellMar>
        </w:tblPrEx>
        <w:tc>
          <w:tcPr>
            <w:tcW w:w="9026" w:type="dxa"/>
            <w:shd w:val="clear" w:color="auto" w:fill="F5F0E6"/>
            <w:tcMar>
              <w:top w:w="160" w:type="dxa"/>
              <w:left w:w="240" w:type="dxa"/>
              <w:bottom w:w="160" w:type="dxa"/>
              <w:right w:w="240" w:type="dxa"/>
            </w:tcMar>
          </w:tcPr>
          <w:p w14:paraId="5CFF1DF6" w14:textId="77777777" w:rsidR="00785915" w:rsidRDefault="00000000">
            <w:pPr>
              <w:spacing w:after="80"/>
            </w:pPr>
            <w:r>
              <w:rPr>
                <w:b/>
                <w:bCs/>
              </w:rPr>
              <w:t>Paso 1 — Para y escucha (no respondas de inmediato)</w:t>
            </w:r>
          </w:p>
          <w:p w14:paraId="422D4A06" w14:textId="77777777" w:rsidR="00785915" w:rsidRDefault="00000000">
            <w:r>
              <w:rPr>
                <w:sz w:val="21"/>
                <w:szCs w:val="21"/>
              </w:rPr>
              <w:t>Cuando el productor expresa rechazo, el impulso natural es argumentar. Resiste ese impulso. Primero escucha completamente. Asiente. Luego pregunta: '¿Me puede contar más sobre eso?'</w:t>
            </w:r>
          </w:p>
        </w:tc>
      </w:tr>
    </w:tbl>
    <w:p w14:paraId="1256472B" w14:textId="77777777" w:rsidR="00785915" w:rsidRDefault="0078591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85915" w14:paraId="01C18ED2" w14:textId="77777777">
        <w:tblPrEx>
          <w:tblCellMar>
            <w:top w:w="0" w:type="dxa"/>
            <w:bottom w:w="0" w:type="dxa"/>
          </w:tblCellMar>
        </w:tblPrEx>
        <w:tc>
          <w:tcPr>
            <w:tcW w:w="9026" w:type="dxa"/>
            <w:shd w:val="clear" w:color="auto" w:fill="BDE0D6"/>
            <w:tcMar>
              <w:top w:w="160" w:type="dxa"/>
              <w:left w:w="240" w:type="dxa"/>
              <w:bottom w:w="160" w:type="dxa"/>
              <w:right w:w="240" w:type="dxa"/>
            </w:tcMar>
          </w:tcPr>
          <w:p w14:paraId="12F4EF33" w14:textId="77777777" w:rsidR="00785915" w:rsidRDefault="00000000">
            <w:pPr>
              <w:spacing w:after="80"/>
            </w:pPr>
            <w:r>
              <w:rPr>
                <w:b/>
                <w:bCs/>
              </w:rPr>
              <w:t>Paso 2 — Diagnostica el tipo de resistencia</w:t>
            </w:r>
          </w:p>
          <w:p w14:paraId="5989424E" w14:textId="77777777" w:rsidR="00785915" w:rsidRDefault="00000000">
            <w:r>
              <w:rPr>
                <w:sz w:val="21"/>
                <w:szCs w:val="21"/>
              </w:rPr>
              <w:t>¿Es informacional (no entiende o tiene información incorrecta)? ¿Es relacional (no confía)? ¿Es estructural (hay una barrera real)? La respuesta depende del diagnóstico.</w:t>
            </w:r>
          </w:p>
        </w:tc>
      </w:tr>
    </w:tbl>
    <w:p w14:paraId="7990B1A7" w14:textId="77777777" w:rsidR="00785915" w:rsidRDefault="0078591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85915" w14:paraId="70494121" w14:textId="77777777">
        <w:tblPrEx>
          <w:tblCellMar>
            <w:top w:w="0" w:type="dxa"/>
            <w:bottom w:w="0" w:type="dxa"/>
          </w:tblCellMar>
        </w:tblPrEx>
        <w:tc>
          <w:tcPr>
            <w:tcW w:w="9026" w:type="dxa"/>
            <w:shd w:val="clear" w:color="auto" w:fill="F5F0E6"/>
            <w:tcMar>
              <w:top w:w="160" w:type="dxa"/>
              <w:left w:w="240" w:type="dxa"/>
              <w:bottom w:w="160" w:type="dxa"/>
              <w:right w:w="240" w:type="dxa"/>
            </w:tcMar>
          </w:tcPr>
          <w:p w14:paraId="3EFC49AF" w14:textId="77777777" w:rsidR="00785915" w:rsidRDefault="00000000">
            <w:pPr>
              <w:spacing w:after="80"/>
            </w:pPr>
            <w:r>
              <w:rPr>
                <w:b/>
                <w:bCs/>
              </w:rPr>
              <w:t>Paso 3 — Responde al tipo correcto</w:t>
            </w:r>
          </w:p>
          <w:p w14:paraId="6FA38C46" w14:textId="77777777" w:rsidR="00785915" w:rsidRDefault="00000000">
            <w:r>
              <w:rPr>
                <w:sz w:val="21"/>
                <w:szCs w:val="21"/>
              </w:rPr>
              <w:t>Si es informacional: da información con el lenguaje correcto, apoyada en evidencia local si es posible. Si es relacional: no insistas hoy, cierra la visita con un gesto de respeto y vuelve en la próxima visita. Si es estructural: identifica la barrera concreta y busca una solución práctica juntos.</w:t>
            </w:r>
          </w:p>
        </w:tc>
      </w:tr>
    </w:tbl>
    <w:p w14:paraId="455477D0" w14:textId="77777777" w:rsidR="00785915" w:rsidRDefault="0078591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85915" w14:paraId="7B59FA2E" w14:textId="77777777">
        <w:tblPrEx>
          <w:tblCellMar>
            <w:top w:w="0" w:type="dxa"/>
            <w:bottom w:w="0" w:type="dxa"/>
          </w:tblCellMar>
        </w:tblPrEx>
        <w:tc>
          <w:tcPr>
            <w:tcW w:w="9026" w:type="dxa"/>
            <w:shd w:val="clear" w:color="auto" w:fill="F5E8E0"/>
            <w:tcMar>
              <w:top w:w="160" w:type="dxa"/>
              <w:left w:w="240" w:type="dxa"/>
              <w:bottom w:w="160" w:type="dxa"/>
              <w:right w:w="240" w:type="dxa"/>
            </w:tcMar>
          </w:tcPr>
          <w:p w14:paraId="548544E5" w14:textId="77777777" w:rsidR="00785915" w:rsidRDefault="00000000">
            <w:pPr>
              <w:spacing w:after="80"/>
            </w:pPr>
            <w:r>
              <w:rPr>
                <w:b/>
                <w:bCs/>
              </w:rPr>
              <w:t>Paso 4 — Cierra con un micro-compromiso</w:t>
            </w:r>
          </w:p>
          <w:p w14:paraId="17B0F955" w14:textId="77777777" w:rsidR="00785915" w:rsidRDefault="00000000">
            <w:r>
              <w:rPr>
                <w:sz w:val="21"/>
                <w:szCs w:val="21"/>
              </w:rPr>
              <w:t>No salgas de la visita sin algún compromiso, aunque sea pequeño. 'Entonces, ¿estaría dispuesto a que la próxima visita miremos juntos cómo quedaría el horno si lo movemos más cerca del lote?' Un micro-compromiso mantiene el proceso abierto.</w:t>
            </w:r>
          </w:p>
        </w:tc>
      </w:tr>
    </w:tbl>
    <w:p w14:paraId="45DFC1C7" w14:textId="77777777" w:rsidR="00785915" w:rsidRDefault="00785915">
      <w:pPr>
        <w:spacing w:before="120"/>
      </w:pPr>
    </w:p>
    <w:p w14:paraId="3419CDEE" w14:textId="77777777" w:rsidR="00785915" w:rsidRDefault="00000000">
      <w:pPr>
        <w:spacing w:before="200" w:after="80"/>
      </w:pPr>
      <w:r>
        <w:rPr>
          <w:b/>
          <w:bCs/>
          <w:sz w:val="23"/>
          <w:szCs w:val="23"/>
        </w:rPr>
        <w:t>3.2 Frases que cierran la conversación vs. frases que la abren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85915" w14:paraId="31EAC63E" w14:textId="77777777">
        <w:tblPrEx>
          <w:tblCellMar>
            <w:top w:w="0" w:type="dxa"/>
            <w:bottom w:w="0" w:type="dxa"/>
          </w:tblCellMar>
        </w:tblPrEx>
        <w:tc>
          <w:tcPr>
            <w:tcW w:w="4513" w:type="dxa"/>
            <w:shd w:val="clear" w:color="auto" w:fill="3E4D58"/>
            <w:tcMar>
              <w:top w:w="100" w:type="dxa"/>
              <w:left w:w="160" w:type="dxa"/>
              <w:bottom w:w="100" w:type="dxa"/>
              <w:right w:w="160" w:type="dxa"/>
            </w:tcMar>
          </w:tcPr>
          <w:p w14:paraId="5CFDE6BF" w14:textId="77777777" w:rsidR="00785915" w:rsidRDefault="00000000">
            <w:r>
              <w:rPr>
                <w:b/>
                <w:bCs/>
                <w:color w:val="FFFFFF"/>
              </w:rPr>
              <w:t>Frase que cierra</w:t>
            </w:r>
          </w:p>
        </w:tc>
        <w:tc>
          <w:tcPr>
            <w:tcW w:w="4513" w:type="dxa"/>
            <w:shd w:val="clear" w:color="auto" w:fill="3E4D58"/>
            <w:tcMar>
              <w:top w:w="100" w:type="dxa"/>
              <w:left w:w="160" w:type="dxa"/>
              <w:bottom w:w="100" w:type="dxa"/>
              <w:right w:w="160" w:type="dxa"/>
            </w:tcMar>
          </w:tcPr>
          <w:p w14:paraId="138A0B93" w14:textId="77777777" w:rsidR="00785915" w:rsidRDefault="00000000">
            <w:r>
              <w:rPr>
                <w:b/>
                <w:bCs/>
                <w:color w:val="FFFFFF"/>
              </w:rPr>
              <w:t>Frase que abre</w:t>
            </w:r>
          </w:p>
        </w:tc>
      </w:tr>
      <w:tr w:rsidR="00785915" w14:paraId="119D5674" w14:textId="77777777">
        <w:tblPrEx>
          <w:tblCellMar>
            <w:top w:w="0" w:type="dxa"/>
            <w:bottom w:w="0" w:type="dxa"/>
          </w:tblCellMar>
        </w:tblPrEx>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16C40913" w14:textId="77777777" w:rsidR="00785915" w:rsidRDefault="00000000">
            <w:r>
              <w:rPr>
                <w:sz w:val="21"/>
                <w:szCs w:val="21"/>
              </w:rPr>
              <w:t>'Es que usted todavía no entiende la importancia de esto.'</w:t>
            </w:r>
          </w:p>
        </w:tc>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799CDB7D" w14:textId="77777777" w:rsidR="00785915" w:rsidRDefault="00000000">
            <w:r>
              <w:rPr>
                <w:sz w:val="21"/>
                <w:szCs w:val="21"/>
              </w:rPr>
              <w:t>'¿Qué necesitaría ver para estar más convencido de probarlo en un lote pequeño?'</w:t>
            </w:r>
          </w:p>
        </w:tc>
      </w:tr>
      <w:tr w:rsidR="00785915" w14:paraId="63514298" w14:textId="77777777">
        <w:tblPrEx>
          <w:tblCellMar>
            <w:top w:w="0" w:type="dxa"/>
            <w:bottom w:w="0" w:type="dxa"/>
          </w:tblCellMar>
        </w:tblPrEx>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5C0A6659" w14:textId="77777777" w:rsidR="00785915" w:rsidRDefault="00000000">
            <w:r>
              <w:rPr>
                <w:sz w:val="21"/>
                <w:szCs w:val="21"/>
              </w:rPr>
              <w:t>'Si no registra, el proyecto no puede funcionar.'</w:t>
            </w:r>
          </w:p>
        </w:tc>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160545BE" w14:textId="77777777" w:rsidR="00785915" w:rsidRDefault="00000000">
            <w:r>
              <w:rPr>
                <w:sz w:val="21"/>
                <w:szCs w:val="21"/>
              </w:rPr>
              <w:t>'¿Qué es lo que más le complica hacer el registro a tiempo? Veamos si podemos simplificarlo.'</w:t>
            </w:r>
          </w:p>
        </w:tc>
      </w:tr>
      <w:tr w:rsidR="00785915" w14:paraId="4F94BCE3" w14:textId="77777777">
        <w:tblPrEx>
          <w:tblCellMar>
            <w:top w:w="0" w:type="dxa"/>
            <w:bottom w:w="0" w:type="dxa"/>
          </w:tblCellMar>
        </w:tblPrEx>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3F74A061" w14:textId="77777777" w:rsidR="00785915" w:rsidRDefault="00000000">
            <w:r>
              <w:rPr>
                <w:sz w:val="21"/>
                <w:szCs w:val="21"/>
              </w:rPr>
              <w:t>'En otras fincas ya funciona muy bien.'</w:t>
            </w:r>
          </w:p>
        </w:tc>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783976F0" w14:textId="77777777" w:rsidR="00785915" w:rsidRDefault="00000000">
            <w:r>
              <w:rPr>
                <w:sz w:val="21"/>
                <w:szCs w:val="21"/>
              </w:rPr>
              <w:t>'Un vecino suyo en la vereda de arriba ya lleva dos quemas con buenos resultados. ¿Le gustaría que la próxima visita la hacemos los tres?'</w:t>
            </w:r>
          </w:p>
        </w:tc>
      </w:tr>
      <w:tr w:rsidR="00785915" w14:paraId="05BD1441" w14:textId="77777777">
        <w:tblPrEx>
          <w:tblCellMar>
            <w:top w:w="0" w:type="dxa"/>
            <w:bottom w:w="0" w:type="dxa"/>
          </w:tblCellMar>
        </w:tblPrEx>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181F394B" w14:textId="77777777" w:rsidR="00785915" w:rsidRDefault="00000000">
            <w:r>
              <w:rPr>
                <w:sz w:val="21"/>
                <w:szCs w:val="21"/>
              </w:rPr>
              <w:t>'El protocolo dice que hay que hacerlo así.'</w:t>
            </w:r>
          </w:p>
        </w:tc>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00E5AA26" w14:textId="77777777" w:rsidR="00785915" w:rsidRDefault="00000000">
            <w:r>
              <w:rPr>
                <w:sz w:val="21"/>
                <w:szCs w:val="21"/>
              </w:rPr>
              <w:t>'Entiendo que hacerlo de esa manera le complica. ¿Qué cambiáramos para que se ajuste mejor a cómo trabaja usted?'</w:t>
            </w:r>
          </w:p>
        </w:tc>
      </w:tr>
      <w:tr w:rsidR="00785915" w14:paraId="35E8E8B1" w14:textId="77777777">
        <w:tblPrEx>
          <w:tblCellMar>
            <w:top w:w="0" w:type="dxa"/>
            <w:bottom w:w="0" w:type="dxa"/>
          </w:tblCellMar>
        </w:tblPrEx>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41BEA7AE" w14:textId="77777777" w:rsidR="00785915" w:rsidRDefault="00000000">
            <w:r>
              <w:rPr>
                <w:sz w:val="21"/>
                <w:szCs w:val="21"/>
              </w:rPr>
              <w:t>'¿Por qué no ha cumplido con lo que acordamos?'</w:t>
            </w:r>
          </w:p>
        </w:tc>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4A3387AE" w14:textId="77777777" w:rsidR="00785915" w:rsidRDefault="00000000">
            <w:r>
              <w:rPr>
                <w:sz w:val="21"/>
                <w:szCs w:val="21"/>
              </w:rPr>
              <w:t>'¿Qué pasó desde la última visita que no le permitió hacer la quema? ¿Cómo podemos asegurarnos de que la próxima sí se pueda?'</w:t>
            </w:r>
          </w:p>
        </w:tc>
      </w:tr>
    </w:tbl>
    <w:p w14:paraId="433396E8" w14:textId="77777777" w:rsidR="00785915" w:rsidRDefault="00785915">
      <w:pPr>
        <w:spacing w:before="120"/>
      </w:pPr>
    </w:p>
    <w:p w14:paraId="2D311C7F" w14:textId="77777777" w:rsidR="00785915" w:rsidRDefault="00000000">
      <w:pPr>
        <w:spacing w:before="200" w:after="80"/>
      </w:pPr>
      <w:r>
        <w:rPr>
          <w:b/>
          <w:bCs/>
          <w:sz w:val="23"/>
          <w:szCs w:val="23"/>
        </w:rPr>
        <w:t>3.3 Cuándo escalar al coordinador</w:t>
      </w:r>
    </w:p>
    <w:p w14:paraId="501F0249" w14:textId="77777777" w:rsidR="00785915" w:rsidRDefault="00000000">
      <w:pPr>
        <w:spacing w:before="80" w:after="80" w:line="320" w:lineRule="auto"/>
      </w:pPr>
      <w:r>
        <w:t>No toda resistencia es tuya para resolver. Hay situaciones que están fuera del alcance del extensionista y que requieren escalamiento al coordinador de clúster. Escala cuando:</w:t>
      </w:r>
    </w:p>
    <w:p w14:paraId="50A795AB" w14:textId="77777777" w:rsidR="00785915" w:rsidRDefault="00785915">
      <w:pPr>
        <w:spacing w:before="60"/>
      </w:pPr>
    </w:p>
    <w:p w14:paraId="48259138" w14:textId="77777777" w:rsidR="00785915" w:rsidRDefault="00000000">
      <w:pPr>
        <w:pStyle w:val="Prrafodelista"/>
        <w:numPr>
          <w:ilvl w:val="0"/>
          <w:numId w:val="3"/>
        </w:numPr>
        <w:spacing w:before="60" w:after="60" w:line="300" w:lineRule="auto"/>
      </w:pPr>
      <w:r>
        <w:t>El productor expresa que quiere salir del proyecto. No intentes retenerlo solo — involucra al coordinador.</w:t>
      </w:r>
    </w:p>
    <w:p w14:paraId="6440F1D9" w14:textId="77777777" w:rsidR="00785915" w:rsidRDefault="00000000">
      <w:pPr>
        <w:pStyle w:val="Prrafodelista"/>
        <w:numPr>
          <w:ilvl w:val="0"/>
          <w:numId w:val="3"/>
        </w:numPr>
        <w:spacing w:before="60" w:after="60" w:line="300" w:lineRule="auto"/>
      </w:pPr>
      <w:r>
        <w:t>Hay un conflicto con otro productor o con la comunidad que afecta la participación. El coordinador tiene mayor autoridad y redes para mediar.</w:t>
      </w:r>
    </w:p>
    <w:p w14:paraId="2A8B103D" w14:textId="77777777" w:rsidR="00785915" w:rsidRDefault="00000000">
      <w:pPr>
        <w:pStyle w:val="Prrafodelista"/>
        <w:numPr>
          <w:ilvl w:val="0"/>
          <w:numId w:val="3"/>
        </w:numPr>
        <w:spacing w:before="60" w:after="60" w:line="300" w:lineRule="auto"/>
      </w:pPr>
      <w:r>
        <w:t>La resistencia viene de un líder comunitario o de la junta de acción comunal. Este nivel requiere una conversación institucional, no técnica.</w:t>
      </w:r>
    </w:p>
    <w:p w14:paraId="33FAB80C" w14:textId="77777777" w:rsidR="00785915" w:rsidRDefault="00000000">
      <w:pPr>
        <w:pStyle w:val="Prrafodelista"/>
        <w:numPr>
          <w:ilvl w:val="0"/>
          <w:numId w:val="3"/>
        </w:numPr>
        <w:spacing w:before="60" w:after="60" w:line="300" w:lineRule="auto"/>
      </w:pPr>
      <w:r>
        <w:t>Has visitado tres veces sin avance y la relación está deteriorada. Un cambio de interlocutor puede desbloquear la situación.</w:t>
      </w:r>
    </w:p>
    <w:p w14:paraId="34736D91" w14:textId="77777777" w:rsidR="00785915" w:rsidRDefault="00000000">
      <w:pPr>
        <w:pStyle w:val="Prrafodelista"/>
        <w:numPr>
          <w:ilvl w:val="0"/>
          <w:numId w:val="3"/>
        </w:numPr>
        <w:spacing w:before="60" w:after="60" w:line="300" w:lineRule="auto"/>
      </w:pPr>
      <w:r>
        <w:lastRenderedPageBreak/>
        <w:t>El productor señala incumplimientos del proyecto (promesas no cumplidas, materiales no entregados). Escala de inmediato — no defiendas algo que no depende de ti.</w:t>
      </w:r>
    </w:p>
    <w:p w14:paraId="4B3F18E9" w14:textId="77777777" w:rsidR="00785915" w:rsidRDefault="0078591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85915" w14:paraId="52CA176B" w14:textId="77777777">
        <w:tblPrEx>
          <w:tblCellMar>
            <w:top w:w="0" w:type="dxa"/>
            <w:bottom w:w="0" w:type="dxa"/>
          </w:tblCellMar>
        </w:tblPrEx>
        <w:tc>
          <w:tcPr>
            <w:tcW w:w="9026" w:type="dxa"/>
            <w:tcBorders>
              <w:top w:val="single" w:sz="6" w:space="0" w:color="50827C"/>
              <w:left w:val="single" w:sz="24" w:space="0" w:color="50827C"/>
            </w:tcBorders>
            <w:shd w:val="clear" w:color="auto" w:fill="F5F0E6"/>
            <w:tcMar>
              <w:top w:w="160" w:type="dxa"/>
              <w:left w:w="240" w:type="dxa"/>
              <w:bottom w:w="160" w:type="dxa"/>
              <w:right w:w="240" w:type="dxa"/>
            </w:tcMar>
          </w:tcPr>
          <w:p w14:paraId="4EAB7630" w14:textId="77777777" w:rsidR="00785915" w:rsidRDefault="00000000">
            <w:pPr>
              <w:spacing w:after="80"/>
            </w:pPr>
            <w:r>
              <w:rPr>
                <w:rFonts w:ascii="Georgia" w:eastAsia="Georgia" w:hAnsi="Georgia" w:cs="Georgia"/>
                <w:i/>
                <w:iCs/>
              </w:rPr>
              <w:t>"Escalar no es fracasar. Es actuar con inteligencia operativa y cuidar la relación a largo plazo."</w:t>
            </w:r>
          </w:p>
          <w:p w14:paraId="22E1FD96" w14:textId="77777777" w:rsidR="00785915" w:rsidRDefault="00000000">
            <w:r>
              <w:rPr>
                <w:b/>
                <w:bCs/>
                <w:color w:val="50827C"/>
                <w:sz w:val="20"/>
                <w:szCs w:val="20"/>
              </w:rPr>
              <w:t>— Principio de manejo de conflicto — Coffee Biochar</w:t>
            </w:r>
          </w:p>
        </w:tc>
      </w:tr>
    </w:tbl>
    <w:p w14:paraId="2DF138FE" w14:textId="77777777" w:rsidR="00785915" w:rsidRDefault="00785915">
      <w:pPr>
        <w:spacing w:before="120"/>
      </w:pPr>
    </w:p>
    <w:p w14:paraId="1A2428F0" w14:textId="77777777" w:rsidR="00785915" w:rsidRDefault="00000000">
      <w:pPr>
        <w:spacing w:before="280" w:after="120"/>
      </w:pPr>
      <w:r>
        <w:rPr>
          <w:b/>
          <w:bCs/>
          <w:color w:val="A85C38"/>
          <w:sz w:val="26"/>
          <w:szCs w:val="26"/>
        </w:rPr>
        <w:t>Reflexión antes de la Sesión 1.2</w:t>
      </w:r>
    </w:p>
    <w:p w14:paraId="78434FA8" w14:textId="77777777" w:rsidR="00785915" w:rsidRDefault="00785915">
      <w:pPr>
        <w:pBdr>
          <w:bottom w:val="single" w:sz="12" w:space="1" w:color="50827C"/>
        </w:pBdr>
      </w:pPr>
    </w:p>
    <w:p w14:paraId="4953E361" w14:textId="77777777" w:rsidR="00785915" w:rsidRDefault="00785915">
      <w:pPr>
        <w:spacing w:before="80"/>
      </w:pPr>
    </w:p>
    <w:p w14:paraId="3246EA1D" w14:textId="77777777" w:rsidR="00785915" w:rsidRDefault="00000000">
      <w:pPr>
        <w:spacing w:before="80" w:after="80" w:line="320" w:lineRule="auto"/>
      </w:pPr>
      <w:r>
        <w:t>Antes de llegar a la próxima sesión, responde estas preguntas en tu cuaderno:</w:t>
      </w:r>
    </w:p>
    <w:p w14:paraId="65902742" w14:textId="77777777" w:rsidR="00785915" w:rsidRDefault="00785915">
      <w:pPr>
        <w:spacing w:before="80"/>
      </w:pPr>
    </w:p>
    <w:p w14:paraId="663F0F2D" w14:textId="77777777" w:rsidR="00785915" w:rsidRDefault="00000000">
      <w:pPr>
        <w:pStyle w:val="Prrafodelista"/>
        <w:numPr>
          <w:ilvl w:val="0"/>
          <w:numId w:val="4"/>
        </w:numPr>
        <w:spacing w:before="60" w:after="60" w:line="300" w:lineRule="auto"/>
      </w:pPr>
      <w:r>
        <w:t>Piensa en el productor de tu clúster con más resistencia. ¿En qué etapa del modelo de Prochaska lo ubicarías? ¿Qué tipo de resistencia tiene predominantemente?</w:t>
      </w:r>
    </w:p>
    <w:p w14:paraId="1C362963" w14:textId="77777777" w:rsidR="00785915" w:rsidRDefault="00000000">
      <w:pPr>
        <w:pStyle w:val="Prrafodelista"/>
        <w:numPr>
          <w:ilvl w:val="0"/>
          <w:numId w:val="4"/>
        </w:numPr>
        <w:spacing w:before="60" w:after="60" w:line="300" w:lineRule="auto"/>
      </w:pPr>
      <w:r>
        <w:t>¿Has usado alguna vez sin saberlo alguna técnica de entrevista motivacional? ¿Cuál y en qué situación?</w:t>
      </w:r>
    </w:p>
    <w:p w14:paraId="64DE6DFD" w14:textId="77777777" w:rsidR="00785915" w:rsidRDefault="00000000">
      <w:pPr>
        <w:pStyle w:val="Prrafodelista"/>
        <w:numPr>
          <w:ilvl w:val="0"/>
          <w:numId w:val="4"/>
        </w:numPr>
        <w:spacing w:before="60" w:after="60" w:line="300" w:lineRule="auto"/>
      </w:pPr>
      <w:r>
        <w:t>¿Cuál de las frases de la tabla 'que cierran la conversación' reconoces en tu propio estilo? ¿Cuál sería tu traducción a una frase que abre?</w:t>
      </w:r>
    </w:p>
    <w:p w14:paraId="442E7780" w14:textId="77777777" w:rsidR="00785915" w:rsidRDefault="00000000">
      <w:pPr>
        <w:pStyle w:val="Prrafodelista"/>
        <w:numPr>
          <w:ilvl w:val="0"/>
          <w:numId w:val="4"/>
        </w:numPr>
        <w:spacing w:before="60" w:after="60" w:line="300" w:lineRule="auto"/>
      </w:pPr>
      <w:r>
        <w:t>¿Hay alguna situación de resistencia en tu clúster que debería haber escalado ya al coordinador y no lo has hecho? ¿Qué te ha frenado?</w:t>
      </w:r>
    </w:p>
    <w:p w14:paraId="45AB3541" w14:textId="77777777" w:rsidR="00785915" w:rsidRDefault="0078591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85915" w14:paraId="27CB9E2E" w14:textId="77777777">
        <w:tblPrEx>
          <w:tblCellMar>
            <w:top w:w="0" w:type="dxa"/>
            <w:bottom w:w="0" w:type="dxa"/>
          </w:tblCellMar>
        </w:tblPrEx>
        <w:tc>
          <w:tcPr>
            <w:tcW w:w="9026" w:type="dxa"/>
            <w:shd w:val="clear" w:color="auto" w:fill="F5F0E6"/>
            <w:tcMar>
              <w:top w:w="160" w:type="dxa"/>
              <w:left w:w="240" w:type="dxa"/>
              <w:bottom w:w="160" w:type="dxa"/>
              <w:right w:w="240" w:type="dxa"/>
            </w:tcMar>
          </w:tcPr>
          <w:p w14:paraId="5426CA97" w14:textId="77777777" w:rsidR="00785915" w:rsidRDefault="00000000">
            <w:pPr>
              <w:spacing w:after="80"/>
            </w:pPr>
            <w:r>
              <w:rPr>
                <w:b/>
                <w:bCs/>
              </w:rPr>
              <w:t>Conectando las dos guías:</w:t>
            </w:r>
          </w:p>
          <w:p w14:paraId="6F36E3BC" w14:textId="77777777" w:rsidR="00785915" w:rsidRDefault="00000000">
            <w:r>
              <w:rPr>
                <w:sz w:val="21"/>
                <w:szCs w:val="21"/>
              </w:rPr>
              <w:t>La Guía 1 te explicó cómo aprenden los adultos. Esta guía te explicó por qué no cambian. En la Sesión 1.2 vamos a integrar los dos: estructurar una visita técnica que facilite el aprendizaje y trabaje la resistencia al mismo tiempo — a través de un role-play con caso real de tu clúster.</w:t>
            </w:r>
          </w:p>
        </w:tc>
      </w:tr>
    </w:tbl>
    <w:p w14:paraId="4980205B" w14:textId="77777777" w:rsidR="00785915" w:rsidRDefault="00785915">
      <w:pPr>
        <w:spacing w:before="120"/>
      </w:pPr>
    </w:p>
    <w:p w14:paraId="53660E23" w14:textId="77777777" w:rsidR="00785915" w:rsidRDefault="00000000">
      <w:pPr>
        <w:spacing w:before="280" w:after="120"/>
      </w:pPr>
      <w:r>
        <w:rPr>
          <w:b/>
          <w:bCs/>
          <w:color w:val="A85C38"/>
          <w:sz w:val="26"/>
          <w:szCs w:val="26"/>
        </w:rPr>
        <w:t>Fuentes y lecturas adicionales</w:t>
      </w:r>
    </w:p>
    <w:p w14:paraId="0D392EB5" w14:textId="77777777" w:rsidR="00785915" w:rsidRDefault="00785915">
      <w:pPr>
        <w:pBdr>
          <w:bottom w:val="single" w:sz="12" w:space="1" w:color="CDC4B4"/>
        </w:pBdr>
      </w:pPr>
    </w:p>
    <w:p w14:paraId="65C18EFF" w14:textId="77777777" w:rsidR="00785915" w:rsidRDefault="00785915">
      <w:pPr>
        <w:spacing w:before="60"/>
      </w:pPr>
    </w:p>
    <w:p w14:paraId="4D97C426" w14:textId="77777777" w:rsidR="00785915" w:rsidRDefault="00000000">
      <w:pPr>
        <w:pStyle w:val="Prrafodelista"/>
        <w:numPr>
          <w:ilvl w:val="0"/>
          <w:numId w:val="5"/>
        </w:numPr>
        <w:spacing w:before="60" w:after="60" w:line="300" w:lineRule="auto"/>
      </w:pPr>
      <w:r w:rsidRPr="00133149">
        <w:rPr>
          <w:lang w:val="en-US"/>
        </w:rPr>
        <w:t xml:space="preserve">Prochaska, J. O. &amp; DiClemente, C. C. (1983). Stages and processes of self-change of smoking. </w:t>
      </w:r>
      <w:r>
        <w:t>Journal of Consulting and Clinical Psychology, 51(3), 390–395.</w:t>
      </w:r>
    </w:p>
    <w:p w14:paraId="524CB4C7" w14:textId="77777777" w:rsidR="00785915" w:rsidRDefault="00000000">
      <w:pPr>
        <w:pStyle w:val="Prrafodelista"/>
        <w:numPr>
          <w:ilvl w:val="0"/>
          <w:numId w:val="5"/>
        </w:numPr>
        <w:spacing w:before="60" w:after="60" w:line="300" w:lineRule="auto"/>
      </w:pPr>
      <w:r w:rsidRPr="00133149">
        <w:rPr>
          <w:lang w:val="en-US"/>
        </w:rPr>
        <w:t xml:space="preserve">Miller, W. R. &amp; Rollnick, S. (2012). Motivational Interviewing: Helping People Change (3rd ed.). </w:t>
      </w:r>
      <w:r>
        <w:t>New York: Guilford Press.</w:t>
      </w:r>
    </w:p>
    <w:p w14:paraId="63C0215D" w14:textId="77777777" w:rsidR="00785915" w:rsidRDefault="00000000">
      <w:pPr>
        <w:pStyle w:val="Prrafodelista"/>
        <w:numPr>
          <w:ilvl w:val="0"/>
          <w:numId w:val="5"/>
        </w:numPr>
        <w:spacing w:before="60" w:after="60" w:line="300" w:lineRule="auto"/>
      </w:pPr>
      <w:r w:rsidRPr="00133149">
        <w:rPr>
          <w:lang w:val="en-US"/>
        </w:rPr>
        <w:t xml:space="preserve">Rogers, E. M. (2003). Diffusion of Innovations (5th ed.). </w:t>
      </w:r>
      <w:r>
        <w:t>New York: Free Press.</w:t>
      </w:r>
    </w:p>
    <w:p w14:paraId="5CCCDC47" w14:textId="77777777" w:rsidR="00785915" w:rsidRPr="00133149" w:rsidRDefault="00000000">
      <w:pPr>
        <w:pStyle w:val="Prrafodelista"/>
        <w:numPr>
          <w:ilvl w:val="0"/>
          <w:numId w:val="5"/>
        </w:numPr>
        <w:spacing w:before="60" w:after="60" w:line="300" w:lineRule="auto"/>
        <w:rPr>
          <w:lang w:val="en-US"/>
        </w:rPr>
      </w:pPr>
      <w:r w:rsidRPr="00133149">
        <w:rPr>
          <w:lang w:val="en-US"/>
        </w:rPr>
        <w:t>Röling, N. &amp; Wagemakers, M. A. E. (1998). Facilitating Sustainable Agriculture. Cambridge: Cambridge University Press.</w:t>
      </w:r>
    </w:p>
    <w:p w14:paraId="3A2B746C" w14:textId="77777777" w:rsidR="00785915" w:rsidRDefault="00000000">
      <w:pPr>
        <w:pStyle w:val="Prrafodelista"/>
        <w:numPr>
          <w:ilvl w:val="0"/>
          <w:numId w:val="5"/>
        </w:numPr>
        <w:spacing w:before="60" w:after="60" w:line="300" w:lineRule="auto"/>
      </w:pPr>
      <w:r>
        <w:t>FAO (2018). Extensión Rural y Desarrollo Agrícola: Principios y Metodologías. Roma: FAO.</w:t>
      </w:r>
    </w:p>
    <w:p w14:paraId="301E2AE7" w14:textId="77777777" w:rsidR="00785915" w:rsidRDefault="00785915">
      <w:pPr>
        <w:spacing w:before="40"/>
      </w:pPr>
    </w:p>
    <w:p w14:paraId="1060A754" w14:textId="77777777" w:rsidR="00785915" w:rsidRDefault="00000000">
      <w:pPr>
        <w:spacing w:before="80" w:after="80" w:line="320" w:lineRule="auto"/>
      </w:pPr>
      <w:r>
        <w:rPr>
          <w:i/>
          <w:iCs/>
          <w:color w:val="50827C"/>
        </w:rPr>
        <w:lastRenderedPageBreak/>
        <w:t>El libro de Miller y Rollnick sobre entrevista motivacional tiene capítulos adaptados al trabajo comunitario que son directamente aplicables al contexto de extensión rural. Búscalo como 'Motivational Interviewing Miller Rollnick PDF'.</w:t>
      </w:r>
    </w:p>
    <w:sectPr w:rsidR="00785915">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9754B" w14:textId="77777777" w:rsidR="00636549" w:rsidRDefault="00636549">
      <w:r>
        <w:separator/>
      </w:r>
    </w:p>
  </w:endnote>
  <w:endnote w:type="continuationSeparator" w:id="0">
    <w:p w14:paraId="7FF758A7" w14:textId="77777777" w:rsidR="00636549" w:rsidRDefault="00636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37B8" w14:textId="77777777" w:rsidR="00785915" w:rsidRDefault="00000000">
    <w:pPr>
      <w:pBdr>
        <w:top w:val="single" w:sz="4" w:space="0" w:color="CDC4B4"/>
      </w:pBdr>
      <w:tabs>
        <w:tab w:val="right" w:pos="9026"/>
      </w:tabs>
      <w:spacing w:before="80"/>
    </w:pPr>
    <w:r>
      <w:rPr>
        <w:color w:val="CDC4B4"/>
        <w:sz w:val="16"/>
        <w:szCs w:val="16"/>
      </w:rPr>
      <w:t>Biodiversal SAS BIC × Cirkular Agro  ·  Proyecto Coffee Biochar  ·  2025</w:t>
    </w:r>
    <w:r>
      <w:rPr>
        <w:sz w:val="16"/>
        <w:szCs w:val="16"/>
      </w:rPr>
      <w:tab/>
    </w:r>
    <w:r>
      <w:rPr>
        <w:sz w:val="16"/>
        <w:szCs w:val="16"/>
      </w:rPr>
      <w:fldChar w:fldCharType="begin"/>
    </w:r>
    <w:r>
      <w:rPr>
        <w:sz w:val="16"/>
        <w:szCs w:val="16"/>
      </w:rPr>
      <w:instrText>PAGE</w:instrText>
    </w:r>
    <w:r>
      <w:rPr>
        <w:sz w:val="16"/>
        <w:szCs w:val="16"/>
      </w:rPr>
      <w:fldChar w:fldCharType="separate"/>
    </w:r>
    <w:r w:rsidR="0013314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76031" w14:textId="77777777" w:rsidR="00636549" w:rsidRDefault="00636549">
      <w:r>
        <w:separator/>
      </w:r>
    </w:p>
  </w:footnote>
  <w:footnote w:type="continuationSeparator" w:id="0">
    <w:p w14:paraId="19555A75" w14:textId="77777777" w:rsidR="00636549" w:rsidRDefault="006365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26"/>
    </w:tblGrid>
    <w:tr w:rsidR="00785915" w14:paraId="65A3D34E" w14:textId="77777777">
      <w:tblPrEx>
        <w:tblCellMar>
          <w:top w:w="0" w:type="dxa"/>
          <w:bottom w:w="0" w:type="dxa"/>
        </w:tblCellMar>
      </w:tblPrEx>
      <w:tc>
        <w:tcPr>
          <w:tcW w:w="6000" w:type="dxa"/>
          <w:tcBorders>
            <w:bottom w:val="single" w:sz="6" w:space="0" w:color="A85C38"/>
          </w:tcBorders>
          <w:tcMar>
            <w:bottom w:w="80" w:type="dxa"/>
          </w:tcMar>
        </w:tcPr>
        <w:p w14:paraId="51B5080C" w14:textId="77777777" w:rsidR="00785915" w:rsidRDefault="00000000">
          <w:r>
            <w:rPr>
              <w:b/>
              <w:bCs/>
              <w:color w:val="A85C38"/>
              <w:sz w:val="18"/>
              <w:szCs w:val="18"/>
            </w:rPr>
            <w:t xml:space="preserve">BIOIMPACTO  ·  </w:t>
          </w:r>
          <w:r>
            <w:rPr>
              <w:sz w:val="18"/>
              <w:szCs w:val="18"/>
            </w:rPr>
            <w:t>Guía de Lectura 2 de 2  ·  M1 S1.1</w:t>
          </w:r>
        </w:p>
      </w:tc>
      <w:tc>
        <w:tcPr>
          <w:tcW w:w="3026" w:type="dxa"/>
          <w:tcBorders>
            <w:bottom w:val="single" w:sz="6" w:space="0" w:color="A85C38"/>
          </w:tcBorders>
          <w:tcMar>
            <w:bottom w:w="80" w:type="dxa"/>
          </w:tcMar>
        </w:tcPr>
        <w:p w14:paraId="2902A5EA" w14:textId="77777777" w:rsidR="00785915" w:rsidRDefault="00000000">
          <w:pPr>
            <w:jc w:val="right"/>
          </w:pPr>
          <w:r>
            <w:rPr>
              <w:color w:val="50827C"/>
              <w:sz w:val="18"/>
              <w:szCs w:val="18"/>
            </w:rPr>
            <w:t>Coffee Biochar · Biodiversal SAS BIC</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42E7"/>
    <w:multiLevelType w:val="hybridMultilevel"/>
    <w:tmpl w:val="C87273C2"/>
    <w:lvl w:ilvl="0" w:tplc="54DA9C40">
      <w:start w:val="1"/>
      <w:numFmt w:val="decimal"/>
      <w:lvlText w:val="%1."/>
      <w:lvlJc w:val="left"/>
      <w:pPr>
        <w:ind w:left="560" w:hanging="280"/>
      </w:pPr>
    </w:lvl>
    <w:lvl w:ilvl="1" w:tplc="C43CAD1C">
      <w:numFmt w:val="decimal"/>
      <w:lvlText w:val=""/>
      <w:lvlJc w:val="left"/>
    </w:lvl>
    <w:lvl w:ilvl="2" w:tplc="98C8D434">
      <w:numFmt w:val="decimal"/>
      <w:lvlText w:val=""/>
      <w:lvlJc w:val="left"/>
    </w:lvl>
    <w:lvl w:ilvl="3" w:tplc="8D5461DE">
      <w:numFmt w:val="decimal"/>
      <w:lvlText w:val=""/>
      <w:lvlJc w:val="left"/>
    </w:lvl>
    <w:lvl w:ilvl="4" w:tplc="D9C27756">
      <w:numFmt w:val="decimal"/>
      <w:lvlText w:val=""/>
      <w:lvlJc w:val="left"/>
    </w:lvl>
    <w:lvl w:ilvl="5" w:tplc="BAD6246A">
      <w:numFmt w:val="decimal"/>
      <w:lvlText w:val=""/>
      <w:lvlJc w:val="left"/>
    </w:lvl>
    <w:lvl w:ilvl="6" w:tplc="47AC0168">
      <w:numFmt w:val="decimal"/>
      <w:lvlText w:val=""/>
      <w:lvlJc w:val="left"/>
    </w:lvl>
    <w:lvl w:ilvl="7" w:tplc="72DCE360">
      <w:numFmt w:val="decimal"/>
      <w:lvlText w:val=""/>
      <w:lvlJc w:val="left"/>
    </w:lvl>
    <w:lvl w:ilvl="8" w:tplc="93C6B00C">
      <w:numFmt w:val="decimal"/>
      <w:lvlText w:val=""/>
      <w:lvlJc w:val="left"/>
    </w:lvl>
  </w:abstractNum>
  <w:abstractNum w:abstractNumId="1" w15:restartNumberingAfterBreak="0">
    <w:nsid w:val="10AD7685"/>
    <w:multiLevelType w:val="hybridMultilevel"/>
    <w:tmpl w:val="305CB980"/>
    <w:lvl w:ilvl="0" w:tplc="1910DACA">
      <w:start w:val="1"/>
      <w:numFmt w:val="bullet"/>
      <w:lvlText w:val="●"/>
      <w:lvlJc w:val="left"/>
      <w:pPr>
        <w:ind w:left="720" w:hanging="360"/>
      </w:pPr>
    </w:lvl>
    <w:lvl w:ilvl="1" w:tplc="F4FE6A6E">
      <w:start w:val="1"/>
      <w:numFmt w:val="bullet"/>
      <w:lvlText w:val="○"/>
      <w:lvlJc w:val="left"/>
      <w:pPr>
        <w:ind w:left="1440" w:hanging="360"/>
      </w:pPr>
    </w:lvl>
    <w:lvl w:ilvl="2" w:tplc="997A7694">
      <w:start w:val="1"/>
      <w:numFmt w:val="bullet"/>
      <w:lvlText w:val="■"/>
      <w:lvlJc w:val="left"/>
      <w:pPr>
        <w:ind w:left="2160" w:hanging="360"/>
      </w:pPr>
    </w:lvl>
    <w:lvl w:ilvl="3" w:tplc="673AB708">
      <w:start w:val="1"/>
      <w:numFmt w:val="bullet"/>
      <w:lvlText w:val="●"/>
      <w:lvlJc w:val="left"/>
      <w:pPr>
        <w:ind w:left="2880" w:hanging="360"/>
      </w:pPr>
    </w:lvl>
    <w:lvl w:ilvl="4" w:tplc="61626172">
      <w:start w:val="1"/>
      <w:numFmt w:val="bullet"/>
      <w:lvlText w:val="○"/>
      <w:lvlJc w:val="left"/>
      <w:pPr>
        <w:ind w:left="3600" w:hanging="360"/>
      </w:pPr>
    </w:lvl>
    <w:lvl w:ilvl="5" w:tplc="E2EC1FD0">
      <w:start w:val="1"/>
      <w:numFmt w:val="bullet"/>
      <w:lvlText w:val="■"/>
      <w:lvlJc w:val="left"/>
      <w:pPr>
        <w:ind w:left="4320" w:hanging="360"/>
      </w:pPr>
    </w:lvl>
    <w:lvl w:ilvl="6" w:tplc="BE0ED188">
      <w:start w:val="1"/>
      <w:numFmt w:val="bullet"/>
      <w:lvlText w:val="●"/>
      <w:lvlJc w:val="left"/>
      <w:pPr>
        <w:ind w:left="5040" w:hanging="360"/>
      </w:pPr>
    </w:lvl>
    <w:lvl w:ilvl="7" w:tplc="FDC65688">
      <w:start w:val="1"/>
      <w:numFmt w:val="bullet"/>
      <w:lvlText w:val="●"/>
      <w:lvlJc w:val="left"/>
      <w:pPr>
        <w:ind w:left="5760" w:hanging="360"/>
      </w:pPr>
    </w:lvl>
    <w:lvl w:ilvl="8" w:tplc="01A6B656">
      <w:start w:val="1"/>
      <w:numFmt w:val="bullet"/>
      <w:lvlText w:val="●"/>
      <w:lvlJc w:val="left"/>
      <w:pPr>
        <w:ind w:left="6480" w:hanging="360"/>
      </w:pPr>
    </w:lvl>
  </w:abstractNum>
  <w:abstractNum w:abstractNumId="2" w15:restartNumberingAfterBreak="0">
    <w:nsid w:val="325818AC"/>
    <w:multiLevelType w:val="hybridMultilevel"/>
    <w:tmpl w:val="6E563EF0"/>
    <w:lvl w:ilvl="0" w:tplc="C7BE77E0">
      <w:start w:val="1"/>
      <w:numFmt w:val="decimal"/>
      <w:lvlText w:val="%1."/>
      <w:lvlJc w:val="left"/>
      <w:pPr>
        <w:ind w:left="560" w:hanging="280"/>
      </w:pPr>
    </w:lvl>
    <w:lvl w:ilvl="1" w:tplc="4F701286">
      <w:numFmt w:val="decimal"/>
      <w:lvlText w:val=""/>
      <w:lvlJc w:val="left"/>
    </w:lvl>
    <w:lvl w:ilvl="2" w:tplc="EA66FC16">
      <w:numFmt w:val="decimal"/>
      <w:lvlText w:val=""/>
      <w:lvlJc w:val="left"/>
    </w:lvl>
    <w:lvl w:ilvl="3" w:tplc="78FCEB92">
      <w:numFmt w:val="decimal"/>
      <w:lvlText w:val=""/>
      <w:lvlJc w:val="left"/>
    </w:lvl>
    <w:lvl w:ilvl="4" w:tplc="EAECF800">
      <w:numFmt w:val="decimal"/>
      <w:lvlText w:val=""/>
      <w:lvlJc w:val="left"/>
    </w:lvl>
    <w:lvl w:ilvl="5" w:tplc="B5C85B20">
      <w:numFmt w:val="decimal"/>
      <w:lvlText w:val=""/>
      <w:lvlJc w:val="left"/>
    </w:lvl>
    <w:lvl w:ilvl="6" w:tplc="71B008EA">
      <w:numFmt w:val="decimal"/>
      <w:lvlText w:val=""/>
      <w:lvlJc w:val="left"/>
    </w:lvl>
    <w:lvl w:ilvl="7" w:tplc="71B6E056">
      <w:numFmt w:val="decimal"/>
      <w:lvlText w:val=""/>
      <w:lvlJc w:val="left"/>
    </w:lvl>
    <w:lvl w:ilvl="8" w:tplc="D2F0FF58">
      <w:numFmt w:val="decimal"/>
      <w:lvlText w:val=""/>
      <w:lvlJc w:val="left"/>
    </w:lvl>
  </w:abstractNum>
  <w:abstractNum w:abstractNumId="3" w15:restartNumberingAfterBreak="0">
    <w:nsid w:val="5FB43947"/>
    <w:multiLevelType w:val="hybridMultilevel"/>
    <w:tmpl w:val="5058979A"/>
    <w:lvl w:ilvl="0" w:tplc="6270D314">
      <w:start w:val="1"/>
      <w:numFmt w:val="bullet"/>
      <w:lvlText w:val="•"/>
      <w:lvlJc w:val="left"/>
      <w:pPr>
        <w:ind w:left="560" w:hanging="280"/>
      </w:pPr>
      <w:rPr>
        <w:color w:val="A85C38"/>
      </w:rPr>
    </w:lvl>
    <w:lvl w:ilvl="1" w:tplc="53B0E582">
      <w:numFmt w:val="decimal"/>
      <w:lvlText w:val=""/>
      <w:lvlJc w:val="left"/>
    </w:lvl>
    <w:lvl w:ilvl="2" w:tplc="51A45970">
      <w:numFmt w:val="decimal"/>
      <w:lvlText w:val=""/>
      <w:lvlJc w:val="left"/>
    </w:lvl>
    <w:lvl w:ilvl="3" w:tplc="7834C64A">
      <w:numFmt w:val="decimal"/>
      <w:lvlText w:val=""/>
      <w:lvlJc w:val="left"/>
    </w:lvl>
    <w:lvl w:ilvl="4" w:tplc="8FBA4C9E">
      <w:numFmt w:val="decimal"/>
      <w:lvlText w:val=""/>
      <w:lvlJc w:val="left"/>
    </w:lvl>
    <w:lvl w:ilvl="5" w:tplc="9970F75C">
      <w:numFmt w:val="decimal"/>
      <w:lvlText w:val=""/>
      <w:lvlJc w:val="left"/>
    </w:lvl>
    <w:lvl w:ilvl="6" w:tplc="4F9EB8E8">
      <w:numFmt w:val="decimal"/>
      <w:lvlText w:val=""/>
      <w:lvlJc w:val="left"/>
    </w:lvl>
    <w:lvl w:ilvl="7" w:tplc="4AC493CA">
      <w:numFmt w:val="decimal"/>
      <w:lvlText w:val=""/>
      <w:lvlJc w:val="left"/>
    </w:lvl>
    <w:lvl w:ilvl="8" w:tplc="546C1520">
      <w:numFmt w:val="decimal"/>
      <w:lvlText w:val=""/>
      <w:lvlJc w:val="left"/>
    </w:lvl>
  </w:abstractNum>
  <w:abstractNum w:abstractNumId="4" w15:restartNumberingAfterBreak="0">
    <w:nsid w:val="64961C1B"/>
    <w:multiLevelType w:val="hybridMultilevel"/>
    <w:tmpl w:val="E85A8AA8"/>
    <w:lvl w:ilvl="0" w:tplc="C74C6C9E">
      <w:start w:val="1"/>
      <w:numFmt w:val="decimal"/>
      <w:lvlText w:val="%1."/>
      <w:lvlJc w:val="left"/>
      <w:pPr>
        <w:ind w:left="560" w:hanging="280"/>
      </w:pPr>
    </w:lvl>
    <w:lvl w:ilvl="1" w:tplc="87287884">
      <w:numFmt w:val="decimal"/>
      <w:lvlText w:val=""/>
      <w:lvlJc w:val="left"/>
    </w:lvl>
    <w:lvl w:ilvl="2" w:tplc="D586EC14">
      <w:numFmt w:val="decimal"/>
      <w:lvlText w:val=""/>
      <w:lvlJc w:val="left"/>
    </w:lvl>
    <w:lvl w:ilvl="3" w:tplc="38C075A6">
      <w:numFmt w:val="decimal"/>
      <w:lvlText w:val=""/>
      <w:lvlJc w:val="left"/>
    </w:lvl>
    <w:lvl w:ilvl="4" w:tplc="DF06868A">
      <w:numFmt w:val="decimal"/>
      <w:lvlText w:val=""/>
      <w:lvlJc w:val="left"/>
    </w:lvl>
    <w:lvl w:ilvl="5" w:tplc="C9266B4E">
      <w:numFmt w:val="decimal"/>
      <w:lvlText w:val=""/>
      <w:lvlJc w:val="left"/>
    </w:lvl>
    <w:lvl w:ilvl="6" w:tplc="1206EA4E">
      <w:numFmt w:val="decimal"/>
      <w:lvlText w:val=""/>
      <w:lvlJc w:val="left"/>
    </w:lvl>
    <w:lvl w:ilvl="7" w:tplc="40B27056">
      <w:numFmt w:val="decimal"/>
      <w:lvlText w:val=""/>
      <w:lvlJc w:val="left"/>
    </w:lvl>
    <w:lvl w:ilvl="8" w:tplc="19D2F4DC">
      <w:numFmt w:val="decimal"/>
      <w:lvlText w:val=""/>
      <w:lvlJc w:val="left"/>
    </w:lvl>
  </w:abstractNum>
  <w:abstractNum w:abstractNumId="5" w15:restartNumberingAfterBreak="0">
    <w:nsid w:val="739432E2"/>
    <w:multiLevelType w:val="hybridMultilevel"/>
    <w:tmpl w:val="9A789D40"/>
    <w:lvl w:ilvl="0" w:tplc="219849A6">
      <w:start w:val="1"/>
      <w:numFmt w:val="bullet"/>
      <w:lvlText w:val="–"/>
      <w:lvlJc w:val="left"/>
      <w:pPr>
        <w:ind w:left="560" w:hanging="280"/>
      </w:pPr>
      <w:rPr>
        <w:color w:val="50827C"/>
      </w:rPr>
    </w:lvl>
    <w:lvl w:ilvl="1" w:tplc="D646CA4C">
      <w:numFmt w:val="decimal"/>
      <w:lvlText w:val=""/>
      <w:lvlJc w:val="left"/>
    </w:lvl>
    <w:lvl w:ilvl="2" w:tplc="47C23B58">
      <w:numFmt w:val="decimal"/>
      <w:lvlText w:val=""/>
      <w:lvlJc w:val="left"/>
    </w:lvl>
    <w:lvl w:ilvl="3" w:tplc="F234727E">
      <w:numFmt w:val="decimal"/>
      <w:lvlText w:val=""/>
      <w:lvlJc w:val="left"/>
    </w:lvl>
    <w:lvl w:ilvl="4" w:tplc="AE3A5CA4">
      <w:numFmt w:val="decimal"/>
      <w:lvlText w:val=""/>
      <w:lvlJc w:val="left"/>
    </w:lvl>
    <w:lvl w:ilvl="5" w:tplc="6C1E3FCE">
      <w:numFmt w:val="decimal"/>
      <w:lvlText w:val=""/>
      <w:lvlJc w:val="left"/>
    </w:lvl>
    <w:lvl w:ilvl="6" w:tplc="398284DC">
      <w:numFmt w:val="decimal"/>
      <w:lvlText w:val=""/>
      <w:lvlJc w:val="left"/>
    </w:lvl>
    <w:lvl w:ilvl="7" w:tplc="7A0A3352">
      <w:numFmt w:val="decimal"/>
      <w:lvlText w:val=""/>
      <w:lvlJc w:val="left"/>
    </w:lvl>
    <w:lvl w:ilvl="8" w:tplc="45BA5FEE">
      <w:numFmt w:val="decimal"/>
      <w:lvlText w:val=""/>
      <w:lvlJc w:val="left"/>
    </w:lvl>
  </w:abstractNum>
  <w:num w:numId="1" w16cid:durableId="1618901606">
    <w:abstractNumId w:val="1"/>
    <w:lvlOverride w:ilvl="0">
      <w:startOverride w:val="1"/>
    </w:lvlOverride>
  </w:num>
  <w:num w:numId="2" w16cid:durableId="1972899273">
    <w:abstractNumId w:val="0"/>
    <w:lvlOverride w:ilvl="0">
      <w:startOverride w:val="1"/>
    </w:lvlOverride>
  </w:num>
  <w:num w:numId="3" w16cid:durableId="1776359934">
    <w:abstractNumId w:val="3"/>
    <w:lvlOverride w:ilvl="0">
      <w:startOverride w:val="1"/>
    </w:lvlOverride>
  </w:num>
  <w:num w:numId="4" w16cid:durableId="715354099">
    <w:abstractNumId w:val="2"/>
    <w:lvlOverride w:ilvl="0">
      <w:startOverride w:val="1"/>
    </w:lvlOverride>
  </w:num>
  <w:num w:numId="5" w16cid:durableId="2107574782">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915"/>
    <w:rsid w:val="00133149"/>
    <w:rsid w:val="00636549"/>
    <w:rsid w:val="00785915"/>
    <w:rsid w:val="008150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FF33ED5"/>
  <w15:docId w15:val="{98E6E16E-2821-F946-A473-352DF15E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E4D58"/>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1879</Words>
  <Characters>10340</Characters>
  <Application>Microsoft Office Word</Application>
  <DocSecurity>0</DocSecurity>
  <Lines>86</Lines>
  <Paragraphs>24</Paragraphs>
  <ScaleCrop>false</ScaleCrop>
  <Company/>
  <LinksUpToDate>false</LinksUpToDate>
  <CharactersWithSpaces>12195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Especialista de Negocios Verdes</cp:lastModifiedBy>
  <cp:revision>2</cp:revision>
  <dcterms:created xsi:type="dcterms:W3CDTF">2026-03-05T01:03:00Z</dcterms:created>
  <dcterms:modified xsi:type="dcterms:W3CDTF">2026-03-05T01:03:00Z</dcterms:modified>
</cp:coreProperties>
</file>