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S1.1</w:t>
      </w:r>
    </w:p>
    <w:p>
      <w:pPr>
        <w:pStyle w:val="Ttulo2"/>
      </w:pPr>
      <w:r>
        <w:t>Cómo aprenden los adultos rurales: andragogía, geragogía y ciencia del aprendizaje en contextos campesinos</w:t>
      </w:r>
    </w:p>
    <w:p>
      <w:pPr>
        <w:jc w:val="center"/>
      </w:pPr>
      <w:r>
        <w:rPr>
          <w:b/>
          <w:sz w:val="22"/>
        </w:rPr>
        <w:t>Coffee Biochar Academy — Módulo 01: Habilidades del extensionista rural</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1.1_aprendizaje_adult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Modelo de aprendizaje adulto aplicado a la formación en biochar y caficultura sostenible.</w:t>
      </w:r>
    </w:p>
    <w:p>
      <w:pPr>
        <w:pStyle w:val="Ttulo2"/>
      </w:pPr>
      <w:r>
        <w:t>Introducción</w:t>
      </w:r>
    </w:p>
    <w:p>
      <w:pPr/>
      <w:r>
        <w:t xml:space="preserve">El extensionista rural se enfrenta a una tarea que pocas profesiones exigen con igual intensidad: transferir conocimientos técnicos complejos a personas cuyo mundo conceptual, ritmo de vida y trayectoria educativa difieren profundamente del suyo propio. Comprender </w:t>
      </w:r>
      <w:r>
        <w:rPr>
          <w:i/>
        </w:rPr>
        <w:t>cómo aprenden</w:t>
      </w:r>
      <w:r>
        <w:t xml:space="preserve"> los adultos rurales no es un lujo teórico ni un complemento optativo al trabajo de campo — es la condición de posibilidad de que cualquier conocimiento sobre biochar, carbono o suelo encuentre raíces duraderas en la mente y la práctica del caficultor.</w:t>
      </w:r>
    </w:p>
    <w:p>
      <w:pPr/>
      <w:r>
        <w:t>Durante décadas, la extensión agrícola latinoamericana operó bajo un modelo implícito: el técnico sabe, el agricultor no sabe, la tarea es transferir. Este modelo de "educación bancaria" — como lo denominó Paulo Freire (1970) — asume que el aprendiz es un recipiente vacío en el que se deposita información. La investigación educativa acumulada durante medio siglo desmiente esta premisa con contundencia. Los adultos no aprenden como niños, los adultos mayores no aprenden como adultos jóvenes, y las personas con escasa escolaridad formal no carecen de inteligencia — carecen de ciertos esquemas académicos específicos, mientras poseen otros saberes igualmente válidos.</w:t>
      </w:r>
    </w:p>
    <w:p>
      <w:pPr/>
      <w:r>
        <w:t>Esta lectura presenta los fundamentos científicos del aprendizaje adulto y del aprendizaje en la vejez, con implicaciones concretas y verificadas empíricamente para el trabajo del extensionista en territorio cafetero colombiano.</w:t>
      </w:r>
    </w:p>
    <w:p>
      <w:pPr>
        <w:pStyle w:val="Ttulo2"/>
      </w:pPr>
      <w:r>
        <w:t>1. Andragogía: la ciencia de enseñar a adultos</w:t>
      </w:r>
    </w:p>
    <w:p>
      <w:pPr>
        <w:pStyle w:val="Ttulo3"/>
      </w:pPr>
      <w:r>
        <w:t>1.1 El origen de una distinción necesaria</w:t>
      </w:r>
    </w:p>
    <w:p>
      <w:pPr/>
      <w:r>
        <w:t xml:space="preserve">Malcolm Knowles, educador estadounidense, sistematizó el término </w:t>
      </w:r>
      <w:r>
        <w:rPr>
          <w:i/>
        </w:rPr>
        <w:t>andragogy</w:t>
      </w:r>
      <w:r>
        <w:t xml:space="preserve"> (del griego </w:t>
      </w:r>
      <w:r>
        <w:rPr>
          <w:i/>
        </w:rPr>
        <w:t>andros</w:t>
      </w:r>
      <w:r>
        <w:t xml:space="preserve"> = adulto, </w:t>
      </w:r>
      <w:r>
        <w:rPr>
          <w:i/>
        </w:rPr>
        <w:t>agein</w:t>
      </w:r>
      <w:r>
        <w:t xml:space="preserve"> = guiar) para designar el arte y la ciencia de ayudar a los adultos a aprender. Aunque el término fue utilizado por el pedagogo alemán Alexander Kapp desde 1833, fue Knowles quien lo convirtió en un modelo operativo con implicaciones instruccionales claras, a partir de sus observaciones durante los años 1960 a 1980. Su obra </w:t>
      </w:r>
      <w:r>
        <w:rPr>
          <w:i/>
        </w:rPr>
        <w:t>The Modern Practice of Adult Education: From Pedagogy to Andragogy</w:t>
      </w:r>
      <w:r>
        <w:t xml:space="preserve"> (1980) sintetiza esta propuesta y sigue siendo el referente más citado en educación de adultos a nivel mundial.</w:t>
      </w:r>
    </w:p>
    <w:p>
      <w:pPr/>
      <w:r>
        <w:t xml:space="preserve">La premisa central de Knowles es directa: los adultos son cualitativamente diferentes de los niños como aprendices, y aplicarles sin modificación los métodos pedagógicos diseñados para la infancia produce resultados pobres. Knowles, Holton y Swanson (2005) actualizaron este marco en </w:t>
      </w:r>
      <w:r>
        <w:rPr>
          <w:i/>
        </w:rPr>
        <w:t>The Adult Learner</w:t>
      </w:r>
      <w:r>
        <w:t>, consolidando seis supuestos que describen al aprendiz adulto.</w:t>
      </w:r>
    </w:p>
    <w:p>
      <w:pPr>
        <w:pStyle w:val="Ttulo3"/>
      </w:pPr>
      <w:r>
        <w:t>1.2 Los seis supuestos del aprendiz adulto</w:t>
      </w:r>
    </w:p>
    <w:p>
      <w:pPr>
        <w:jc w:val="center"/>
      </w:pPr>
      <w:r>
        <w:rPr>
          <w:b/>
          <w:sz w:val="22"/>
        </w:rPr>
        <w:t>Primer supuesto — Concepto de sí mismo:</w:t>
      </w:r>
    </w:p>
    <w:p>
      <w:pPr/>
      <w:r>
        <w:t>A medida que una persona madura, su autoconcepto transita de la dependencia hacia la autodirección. El adulto necesita ser tratado como alguien capaz de tomar decisiones sobre su propio aprendizaje. En la práctica, esto significa que el caficultor debe tener voz en qué aprende, cuándo lo aplica y cómo evalúa su propio progreso. La instrucción unidireccional — el técnico habla, el agricultor escucha — viola este supuesto y genera resistencia pasiva.</w:t>
      </w:r>
    </w:p>
    <w:p>
      <w:pPr>
        <w:jc w:val="center"/>
      </w:pPr>
      <w:r>
        <w:rPr>
          <w:b/>
          <w:sz w:val="22"/>
        </w:rPr>
        <w:t>Segundo supuesto — Experiencia previa:</w:t>
      </w:r>
    </w:p>
    <w:p>
      <w:pPr/>
      <w:r>
        <w:t>Los adultos acumulan un reservorio creciente de experiencia que constituye su recurso primario de aprendizaje. Las técnicas que activan esta experiencia — discusión entre pares, resolución de problemas reales, demostración práctica — son sistemáticamente más efectivas que la transmisión pasiva de información. Ignorar la experiencia del caficultor equivale a ignorar al caficultor mismo, y es percibido así.</w:t>
      </w:r>
    </w:p>
    <w:p>
      <w:pPr>
        <w:jc w:val="center"/>
      </w:pPr>
      <w:r>
        <w:rPr>
          <w:b/>
          <w:sz w:val="22"/>
        </w:rPr>
        <w:t>Tercer supuesto — Disposición para aprender:</w:t>
      </w:r>
    </w:p>
    <w:p>
      <w:pPr/>
      <w:r>
        <w:t>Los adultos están dispuestos a aprender aquello que necesitan saber para afrontar situaciones reales de vida. Un caficultor de 58 años que lleva tres décadas cultivando en ladera volcánica prioriza aprender sobre la sequía de este año, los precios del mercado del próximo mes, o cómo explicarle a sus hijos por qué vale la pena seguir en el campo. Los contenidos desconectados de esta agenda vital generan bostezos, no aprendizaje.</w:t>
      </w:r>
    </w:p>
    <w:p>
      <w:pPr>
        <w:jc w:val="center"/>
      </w:pPr>
      <w:r>
        <w:rPr>
          <w:b/>
          <w:sz w:val="22"/>
        </w:rPr>
        <w:t>Cuarto supuesto — Orientación hacia el aprendizaje:</w:t>
      </w:r>
    </w:p>
    <w:p>
      <w:pPr/>
      <w:r>
        <w:t>A diferencia del niño orientado hacia el futuro ("esto te servirá cuando seas mayor"), el adulto tiene una perspectiva centrada en el presente y en la aplicación inmediata. El aprendizaje centrado en problemas reales — no en disciplinas abstractas — es más efectivo. El biochar no debe enseñarse como química orgánica, sino como solución al problema concreto del suelo ácido y la baja retención de agua que el caficultor ya conoce en su finca.</w:t>
      </w:r>
    </w:p>
    <w:p>
      <w:pPr>
        <w:jc w:val="center"/>
      </w:pPr>
      <w:r>
        <w:rPr>
          <w:b/>
          <w:sz w:val="22"/>
        </w:rPr>
        <w:t>Quinto supuesto — Motivación para aprender:</w:t>
      </w:r>
    </w:p>
    <w:p>
      <w:pPr/>
      <w:r>
        <w:t>Si bien los adultos responden a motivadores externos (mejor ingreso, reconocimiento comunitario, certificaciones), los motivadores internos son más potentes y duraderos: la autoestima, la calidad de vida, la satisfacción de ver resultados propios. El caficultor que experimenta un aumento de cosecha en su propia parcela se convierte en el promotor más efectivo del aprendizaje — y en el mejor vendedor del programa ante sus vecinos.</w:t>
      </w:r>
    </w:p>
    <w:p>
      <w:pPr>
        <w:jc w:val="center"/>
      </w:pPr>
      <w:r>
        <w:rPr>
          <w:b/>
          <w:sz w:val="22"/>
        </w:rPr>
        <w:t>Sexto supuesto — Necesidad de saber:</w:t>
      </w:r>
    </w:p>
    <w:p>
      <w:pPr/>
      <w:r>
        <w:t xml:space="preserve">Los adultos necesitan comprender </w:t>
      </w:r>
      <w:r>
        <w:rPr>
          <w:i/>
        </w:rPr>
        <w:t>por qué</w:t>
      </w:r>
      <w:r>
        <w:t xml:space="preserve"> aprenden algo antes de poder aprenderlo. La pregunta implícita en cada sesión es "¿para qué sirve esto en mi finca?", y si el extensionista no la responde desde el inicio, la mente del aprendiz la responde por su cuenta — frecuentemente con "para nada". Holton, Wilson y Bates (2009) validaron psicométricamente los supuestos de Knowles en una muestra amplia de adultos, confirmando que la relevancia percibida es el predictor más fuerte del compromiso con el aprendizaje.</w:t>
      </w:r>
    </w:p>
    <w:p>
      <w:pPr>
        <w:pStyle w:val="Ttulo3"/>
      </w:pPr>
      <w:r>
        <w:t>1.3 Refinamientos críticos de la andragogía</w:t>
      </w:r>
    </w:p>
    <w:p>
      <w:pPr/>
      <w:r>
        <w:t>La teoría de Knowles no está exenta de críticas legítimas. Hartree (1984) señaló que los supuestos eran prescriptivos más que descriptivos: describían al aprendiz adulto ideal, no necesariamente al real. Merriam, Caffarella y Baumgartner (2007) ampliaron el marco para incorporar los contextos socioculturales del aprendizaje adulto, subrayando que en comunidades rurales latinoamericanas el conocimiento es frecuentemente colectivo, oral y situado en el territorio — dimensiones que la andragogía de Knowles, nacida en el contexto de la educación corporativa estadounidense, no captura plenamente.</w:t>
      </w:r>
    </w:p>
    <w:p>
      <w:pPr/>
      <w:r>
        <w:t xml:space="preserve">Jack Mezirow (1991) propuso el </w:t>
      </w:r>
      <w:r>
        <w:rPr>
          <w:i/>
        </w:rPr>
        <w:t>aprendizaje transformador</w:t>
      </w:r>
      <w:r>
        <w:t xml:space="preserve"> como extensión del marco andragógico: los adultos no solo adquieren nuevos conocimientos sino que, ante experiencias desorientadoras, cuestionan y transforman sus marcos de referencia establecidos. Para el extensionista, esto es relevante: introducir el biochar no es solo agregar una práctica, es potencialmente desafiar décadas de certezas sobre cómo se debe tratar el suelo. El aprendizaje transformador requiere un proceso de reflexión crítica que la instrucción convencional raramente propicia.</w:t>
      </w:r>
    </w:p>
    <w:p>
      <w:pPr>
        <w:pStyle w:val="Ttulo2"/>
      </w:pPr>
      <w:r>
        <w:t>2. Geragogía: la ciencia de enseñar a adultos mayores</w:t>
      </w:r>
    </w:p>
    <w:p>
      <w:pPr>
        <w:pStyle w:val="Ttulo3"/>
      </w:pPr>
      <w:r>
        <w:t>2.1 Por qué la andragogía no es suficiente</w:t>
      </w:r>
    </w:p>
    <w:p>
      <w:pPr/>
      <w:r>
        <w:t xml:space="preserve">La andragogía describe al adulto en general. La </w:t>
      </w:r>
      <w:r>
        <w:rPr>
          <w:i/>
        </w:rPr>
        <w:t>geragogía</w:t>
      </w:r>
      <w:r>
        <w:t xml:space="preserve"> (del griego </w:t>
      </w:r>
      <w:r>
        <w:rPr>
          <w:i/>
        </w:rPr>
        <w:t>geras</w:t>
      </w:r>
      <w:r>
        <w:t xml:space="preserve"> = vejez) reconoce que el envejecimiento introduce variables cognitivas, psicosociales y fisiológicas que requieren adaptaciones instruccionales adicionales. El término fue desarrollado por John A. Fisher y Kathleen Brady, entre otros, a partir de la constatación de que los adultos mayores — usualmente definidos como personas de 60 años o más — difieren no solo de los niños, sino también de los adultos jóvenes, en patrones de aprendizaje fundamentales.</w:t>
      </w:r>
    </w:p>
    <w:p>
      <w:pPr/>
      <w:r>
        <w:t>La relevancia demográfica para Colombia es directa. Según datos del Censo Nacional (DANE, 2018), el 25% de los jefes de hogar cafeteros tienen más de 55 años. La Federación Nacional de Cafeteros documenta sistemáticamente el envejecimiento de la población cafetera, con una edad promedio que supera los 50 años y continúa aumentando. El extensionista que no comprende cómo aprende el adulto mayor está desarmado para cumplir su función en las condiciones reales del campo colombiano.</w:t>
      </w:r>
    </w:p>
    <w:p>
      <w:pPr>
        <w:pStyle w:val="Ttulo3"/>
      </w:pPr>
      <w:r>
        <w:t>2.2 Cambios cognitivos normales en el envejecimiento</w:t>
      </w:r>
    </w:p>
    <w:p>
      <w:pPr/>
      <w:r>
        <w:t xml:space="preserve">La investigación neurocientífica sobre envejecimiento cognitivo es uno de los campos más productivos de la psicología contemporánea. Un hallazgo central y consistente es la distinción entre envejecimiento cognitivo </w:t>
      </w:r>
      <w:r>
        <w:rPr>
          <w:i/>
        </w:rPr>
        <w:t>normal</w:t>
      </w:r>
      <w:r>
        <w:t xml:space="preserve"> — que no impide el aprendizaje pero lo modifica — y el deterioro cognitivo </w:t>
      </w:r>
      <w:r>
        <w:rPr>
          <w:i/>
        </w:rPr>
        <w:t>patológico</w:t>
      </w:r>
      <w:r>
        <w:t>, que requiere atención clínica. Confundir ambos es un error frecuente y dañino: patologizar la vejez normal lleva a subestimar las capacidades reales de los aprendices mayores.</w:t>
      </w:r>
    </w:p>
    <w:p>
      <w:pPr/>
      <w:r>
        <w:rPr>
          <w:b/>
        </w:rPr>
        <w:t>Velocidad de procesamiento.</w:t>
      </w:r>
      <w:r>
        <w:t xml:space="preserve"> Park et al. (2002), en un estudio longitudinal publicado en </w:t>
      </w:r>
      <w:r>
        <w:rPr>
          <w:i/>
        </w:rPr>
        <w:t>Psychology and Aging</w:t>
      </w:r>
      <w:r>
        <w:t xml:space="preserve">, demostraron que la velocidad de procesamiento disminuye de manera lineal desde los 25 años, con aceleración notable después de los 60. Salthouse (1996), en una revisión publicada en </w:t>
      </w:r>
      <w:r>
        <w:rPr>
          <w:i/>
        </w:rPr>
        <w:t>Psychological Review</w:t>
      </w:r>
      <w:r>
        <w:t>, argumentó que esta disminución en velocidad es el mecanismo subyacente de la mayoría de los cambios cognitivos asociados al envejecimiento. La implicación práctica es directa: el adulto mayor necesita más tiempo para procesar información nueva, no porque sea menos capaz, sino porque sus circuitos neuronales operan con menor velocidad de conducción. Las sesiones con caficultores mayores no deben ser cronometradas rígidamente; el ritmo debe adaptarse al grupo, no al programa.</w:t>
      </w:r>
    </w:p>
    <w:p>
      <w:pPr/>
      <w:r>
        <w:rPr>
          <w:b/>
        </w:rPr>
        <w:t>Memoria de trabajo.</w:t>
      </w:r>
      <w:r>
        <w:t xml:space="preserve"> Craik y Salthouse (2000), en </w:t>
      </w:r>
      <w:r>
        <w:rPr>
          <w:i/>
        </w:rPr>
        <w:t>The Handbook of Aging and Cognition</w:t>
      </w:r>
      <w:r>
        <w:t>, documentan que la capacidad de la memoria de trabajo — el sistema cognitivo que retiene información mientras se procesa simultáneamente otra — disminuye con la edad. Esto afecta la capacidad de seguir instrucciones complejas de múltiples pasos. Un caficultor de 65 años que recibe la instrucción "pese el biochar, anote el dato en la app, tome la foto georreferenciada, confirme con el productor y registre el lote" puede saturar su memoria de trabajo antes de completar la primera acción. La solución no es simplificar el proceso — es segmentarlo: dar un paso, confirmar su comprensión y ejecución, luego el siguiente.</w:t>
      </w:r>
    </w:p>
    <w:p>
      <w:pPr/>
      <w:r>
        <w:rPr>
          <w:b/>
        </w:rPr>
        <w:t>Tipos de memoria con diferentes trayectorias.</w:t>
      </w:r>
      <w:r>
        <w:t xml:space="preserve"> Tulving (2002) distingue sistemas de memoria con comportamientos diferentes ante el envejecimiento. La memoria episódica — el recuerdo de eventos específicos recientes ("¿qué hice la semana pasada?") — es la más vulnerable al envejecimiento normal. En contraste, la memoria semántica — el conocimiento general del mundo acumulado a lo largo de la vida — y la memoria procedimental — las habilidades motoras aprendidas — son considerablemente más resistentes. Esta distinción tiene una implicación pedagógica poderosa: los caficultores mayores retienen su conocimiento práctico acumulado sobre el cultivo del café con gran fidelidad, y las técnicas nuevas que se enseñen como procedimientos físicos repetidos (construir el horno, aplicar el biocarbón, tomar la foto con la app) se aprenderán y retendrán mejor que la información declarativa abstracta (fórmulas, definiciones, siglas).</w:t>
      </w:r>
    </w:p>
    <w:p>
      <w:pPr/>
      <w:r>
        <w:rPr>
          <w:b/>
        </w:rPr>
        <w:t>Atención.</w:t>
      </w:r>
      <w:r>
        <w:t xml:space="preserve"> McDowd y Shaw (2000) documentan que la atención dividida — realizar dos tareas cognitivas simultáneamente — se deteriora más marcadamente con la edad que la atención sostenida. Los entornos de aprendizaje con múltiples fuentes de distracción (ruido de fondo, personas entrando y saliendo, música) penalizan desproporcionadamente a los aprendices mayores. La instrucción de campo debe, en la medida de lo posible, realizarse en condiciones de atención única.</w:t>
      </w:r>
    </w:p>
    <w:p>
      <w:pPr>
        <w:pStyle w:val="Ttulo3"/>
      </w:pPr>
      <w:r>
        <w:t>2.3 Plasticidad cognitiva: el caso para el optimismo pedagógico</w:t>
      </w:r>
    </w:p>
    <w:p>
      <w:pPr/>
      <w:r>
        <w:t>Un hallazgo frecuentemente subestimado en la literatura sobre envejecimiento cognitivo es la plasticidad que persiste en edades avanzadas. Baltes y Kliegl (1992) introdujeron el concepto de "reserva cognitiva" y demostraron experimentalmente que adultos mayores muestran mejoras sustanciales con práctica y entrenamiento específico. La plasticidad cognitiva no desaparece con la edad; se modifica su forma y sus condiciones de activación.</w:t>
      </w:r>
    </w:p>
    <w:p>
      <w:pPr/>
      <w:r>
        <w:t xml:space="preserve">Withnall (2010), en </w:t>
      </w:r>
      <w:r>
        <w:rPr>
          <w:i/>
        </w:rPr>
        <w:t>Improving Learning in Later Life</w:t>
      </w:r>
      <w:r>
        <w:t>, sintetiza los principios instruccionales con mayor respaldo empírico para adultos mayores: relevancia personal del contenido, ritmo controlado adaptable, repetición espaciada en el tiempo (no acumulada en una sesión), aprendizaje activo, y minimización de la ansiedad de evaluación. Brady (1990) y Fisher (1993) agregan la importancia de conectar el contenido nuevo con la autobiografía del aprendiz — el relato de su propia vida — como ancla para la retención y la motivación.</w:t>
      </w:r>
    </w:p>
    <w:p>
      <w:pPr>
        <w:pStyle w:val="Ttulo2"/>
      </w:pPr>
      <w:r>
        <w:t>3. Difusión de innovaciones: por qué unos caficultores adoptan y otros no</w:t>
      </w:r>
    </w:p>
    <w:p>
      <w:pPr>
        <w:pStyle w:val="Ttulo3"/>
      </w:pPr>
      <w:r>
        <w:t>3.1 La curva de adopción de Rogers</w:t>
      </w:r>
    </w:p>
    <w:p>
      <w:pPr/>
      <w:r>
        <w:t xml:space="preserve">Everett Rogers publicó la primera edición de </w:t>
      </w:r>
      <w:r>
        <w:rPr>
          <w:i/>
        </w:rPr>
        <w:t>Diffusion of Innovations</w:t>
      </w:r>
      <w:r>
        <w:t xml:space="preserve"> en 1962; la quinta edición (2003) es el texto de referencia con más de 100,000 citas académicas en ciencias sociales. La teoría describe el proceso mediante el cual una innovación — idea, práctica u objeto nuevo — se difunde a través de canales de comunicación en el tiempo, dentro de un sistema social.</w:t>
      </w:r>
    </w:p>
    <w:p>
      <w:pPr/>
      <w:r>
        <w:t>Rogers identificó cinco categorías de adoptantes, distribuidas en una curva en S que describe la dinámica temporal de la adopción:</w:t>
      </w:r>
    </w:p>
    <w:p>
      <w:pPr/>
      <w:r>
        <w:t xml:space="preserve">Los </w:t>
      </w:r>
      <w:r>
        <w:rPr>
          <w:b/>
        </w:rPr>
        <w:t>innovadores</w:t>
      </w:r>
      <w:r>
        <w:t xml:space="preserve"> (aproximadamente el 2,5% del sistema social) son los primeros en adoptar. Son aventureros, toleran la incertidumbre, tienen acceso a recursos financieros suficientes para asumir el riesgo de fracaso, y están conectados con redes externas a su comunidad. En el contexto cafetero, son los agricultores que ya experimentan voluntariamente con nuevas variedades o tecnologías antes de ver evidencia consolidada.</w:t>
      </w:r>
    </w:p>
    <w:p>
      <w:pPr/>
      <w:r>
        <w:t xml:space="preserve">Los </w:t>
      </w:r>
      <w:r>
        <w:rPr>
          <w:b/>
        </w:rPr>
        <w:t>adoptantes tempranos</w:t>
      </w:r>
      <w:r>
        <w:t xml:space="preserve"> (13,5%) son los líderes de opinión locales. Adoptan nuevas prácticas de manera estratégica y son el grupo más influyente en la difusión: cuando ellos adoptan, el resto del sistema social lo percibe como una señal de legitimidad. La investigación de Rogers es contundente en este punto: el extensionista que quiere maximizar la difusión de una innovación debe identificar y trabajar prioritariamente con esta categoría, no con el promedio.</w:t>
      </w:r>
    </w:p>
    <w:p>
      <w:pPr/>
      <w:r>
        <w:t xml:space="preserve">La </w:t>
      </w:r>
      <w:r>
        <w:rPr>
          <w:b/>
        </w:rPr>
        <w:t>mayoría temprana</w:t>
      </w:r>
      <w:r>
        <w:t xml:space="preserve"> (34%) son deliberados y pragmáticos. Adoptan antes que el promedio del sistema, pero solo después de ver resultados en otros. Rara vez lideran, pero forman la masa crítica que determina si una innovación se vuelve norma.</w:t>
      </w:r>
    </w:p>
    <w:p>
      <w:pPr/>
      <w:r>
        <w:t xml:space="preserve">La </w:t>
      </w:r>
      <w:r>
        <w:rPr>
          <w:b/>
        </w:rPr>
        <w:t>mayoría tardía</w:t>
      </w:r>
      <w:r>
        <w:t xml:space="preserve"> (34%) son escépticos que adoptan principalmente por presión social o necesidad económica. Requieren que la incertidumbre esté prácticamente eliminada antes de comprometerse. Son frecuentes entre caficultores mayores que han experimentado el fracaso de innovaciones anteriores promovidas con entusiasmo similar.</w:t>
      </w:r>
    </w:p>
    <w:p>
      <w:pPr/>
      <w:r>
        <w:t xml:space="preserve">Los </w:t>
      </w:r>
      <w:r>
        <w:rPr>
          <w:b/>
        </w:rPr>
        <w:t>rezagados</w:t>
      </w:r>
      <w:r>
        <w:t xml:space="preserve"> (16%) están orientados hacia el pasado y desconfían de los agentes de cambio externos. Su cautela no debe confundirse con irracionalidad: en sistemas agrícolas de subsistencia con márgenes económicos estrechos, la aversión al riesgo es una estrategia racional de supervivencia. Feder, Just y Zilberman (1985), en una revisión seminal publicada en </w:t>
      </w:r>
      <w:r>
        <w:rPr>
          <w:i/>
        </w:rPr>
        <w:t>Economic Development and Cultural Change</w:t>
      </w:r>
      <w:r>
        <w:t>, documentaron que la adopción de innovaciones agrícolas en países en desarrollo está frecuentemente limitada no por ignorancia sino por restricciones de capital, riesgo y acceso a mercados.</w:t>
      </w:r>
    </w:p>
    <w:p>
      <w:pPr>
        <w:pStyle w:val="Ttulo3"/>
      </w:pPr>
      <w:r>
        <w:t>3.2 Los cinco atributos de la innovación que determinan la velocidad de adopción</w:t>
      </w:r>
    </w:p>
    <w:p>
      <w:pPr/>
      <w:r>
        <w:t>Rogers identificó cinco características de la innovación que explican, de manera más poderosa que las características del adoptante, la velocidad de difusión. Cada uno tiene implicaciones directas para la introducción del biochar:</w:t>
      </w:r>
    </w:p>
    <w:p>
      <w:pPr/>
      <w:r>
        <w:t xml:space="preserve">La </w:t>
      </w:r>
      <w:r>
        <w:rPr>
          <w:b/>
        </w:rPr>
        <w:t>ventaja relativa</w:t>
      </w:r>
      <w:r>
        <w:t xml:space="preserve"> pregunta: ¿es esta práctica claramente superior a lo que ya hago? La demostración de mejora de rendimiento en parcelas comparativas visibles — y cuantificables en términos de cosecha, no de indicadores técnicos abstractos — es el argumento más poderoso.</w:t>
      </w:r>
    </w:p>
    <w:p>
      <w:pPr/>
      <w:r>
        <w:t xml:space="preserve">La </w:t>
      </w:r>
      <w:r>
        <w:rPr>
          <w:b/>
        </w:rPr>
        <w:t>compatibilidad</w:t>
      </w:r>
      <w:r>
        <w:t xml:space="preserve"> pregunta: ¿es consistente con mis valores, mis prácticas previas y mi contexto? El biochar elaborado a partir de residuos del cafeto (zoca) tiene alta compatibilidad: usa materiales que el agricultor ya tiene, en un proceso que comparte lógica con prácticas tradicionales como el uso de ceniza.</w:t>
      </w:r>
    </w:p>
    <w:p>
      <w:pPr/>
      <w:r>
        <w:t xml:space="preserve">La </w:t>
      </w:r>
      <w:r>
        <w:rPr>
          <w:b/>
        </w:rPr>
        <w:t>complejidad</w:t>
      </w:r>
      <w:r>
        <w:t xml:space="preserve"> pregunta: ¿qué tan difícil es entender o usar esta práctica? La elaboración artesanal de biochar debe presentarse como un proceso manejable en etapas simples, no como una tecnología que requiere conocimientos especializados.</w:t>
      </w:r>
    </w:p>
    <w:p>
      <w:pPr/>
      <w:r>
        <w:t xml:space="preserve">La </w:t>
      </w:r>
      <w:r>
        <w:rPr>
          <w:b/>
        </w:rPr>
        <w:t>posibilidad de prueba</w:t>
      </w:r>
      <w:r>
        <w:t xml:space="preserve"> pregunta: ¿puedo experimentar a pequeña escala antes de comprometerme? Permitir que el caficultor inicie con una parcela de demostración reduce el riesgo percibido de manera decisiva. Doss (2006) confirmó en una revisión de 30 años de literatura sobre adopción agrícola que la posibilidad de prueba a pequeña escala es uno de los predictores más robustos de adopción final.</w:t>
      </w:r>
    </w:p>
    <w:p>
      <w:pPr/>
      <w:r>
        <w:t xml:space="preserve">La </w:t>
      </w:r>
      <w:r>
        <w:rPr>
          <w:b/>
        </w:rPr>
        <w:t>observabilidad</w:t>
      </w:r>
      <w:r>
        <w:t xml:space="preserve"> pregunta: ¿son visibles los resultados? Los resultados en la finca del vecino son más persuasivos que cualquier estadística de investigación. El extensionista que logra que un adoptante temprano establezca una parcela visible desde el camino principal ha creado el mejor instrumento de difusión posible.</w:t>
      </w:r>
    </w:p>
    <w:p>
      <w:pPr>
        <w:pStyle w:val="Ttulo2"/>
      </w:pPr>
      <w:r>
        <w:t>4. Carga cognitiva: cómo diseñar instrucción que no satura la mente</w:t>
      </w:r>
    </w:p>
    <w:p>
      <w:pPr>
        <w:pStyle w:val="Ttulo3"/>
      </w:pPr>
      <w:r>
        <w:t>4.1 La arquitectura de la memoria humana</w:t>
      </w:r>
    </w:p>
    <w:p>
      <w:pPr/>
      <w:r>
        <w:t>John Sweller (Universidad de New South Wales) desarrolló la Teoría de la Carga Cognitiva (</w:t>
      </w:r>
      <w:r>
        <w:rPr>
          <w:i/>
        </w:rPr>
        <w:t>Cognitive Load Theory</w:t>
      </w:r>
      <w:r>
        <w:t xml:space="preserve">) a partir de 1988, fundamentada en la arquitectura conocida de la memoria humana: la </w:t>
      </w:r>
      <w:r>
        <w:rPr>
          <w:b/>
        </w:rPr>
        <w:t>memoria de trabajo</w:t>
      </w:r>
      <w:r>
        <w:t xml:space="preserve"> tiene capacidad limitada — aproximadamente cuatro elementos simultáneos según investigación reciente — mientras que la </w:t>
      </w:r>
      <w:r>
        <w:rPr>
          <w:b/>
        </w:rPr>
        <w:t>memoria a largo plazo</w:t>
      </w:r>
      <w:r>
        <w:t xml:space="preserve"> tiene capacidad prácticamente ilimitada, organizada en </w:t>
      </w:r>
      <w:r>
        <w:rPr>
          <w:i/>
        </w:rPr>
        <w:t>esquemas</w:t>
      </w:r>
      <w:r>
        <w:t xml:space="preserve"> (estructuras de conocimiento interconectado).</w:t>
      </w:r>
    </w:p>
    <w:p>
      <w:pPr/>
      <w:r>
        <w:t>El aprendizaje ocurre cuando los esquemas se construyen en la memoria de trabajo y se transfieren a la memoria a largo plazo. Cuando la demanda sobre la memoria de trabajo excede su capacidad, el aprendizaje se bloquea — no porque el aprendiz sea incapaz, sino porque el sistema cognitivo está saturado. Sweller, van Merriënboer y Paas (1998) formalizaron tres tipos de carga cognitiva:</w:t>
      </w:r>
    </w:p>
    <w:p>
      <w:pPr/>
      <w:r>
        <w:t xml:space="preserve">La </w:t>
      </w:r>
      <w:r>
        <w:rPr>
          <w:b/>
        </w:rPr>
        <w:t>carga intrínseca</w:t>
      </w:r>
      <w:r>
        <w:t xml:space="preserve"> es inherente al contenido y al nivel de conocimiento previo del aprendiz. Para un caficultor sin escolaridad formal, la relación entre el pH del suelo, la capacidad de intercambio catiónico y la disponibilidad de nutrientes implica alta interactividad entre elementos — muchos conceptos que deben procesarse simultáneamente antes de que adquieran sentido. La solución no es eliminar la complejidad real del tema, sino secuenciar su introducción de lo más simple a lo más complejo.</w:t>
      </w:r>
    </w:p>
    <w:p>
      <w:pPr/>
      <w:r>
        <w:t xml:space="preserve">La </w:t>
      </w:r>
      <w:r>
        <w:rPr>
          <w:b/>
        </w:rPr>
        <w:t>carga extrínseca</w:t>
      </w:r>
      <w:r>
        <w:t xml:space="preserve"> es generada por el diseño instruccional, no por el contenido. Puede y debe reducirse. Ejemplos de alta carga extrínseca: separar las imágenes del texto que las describe (obliga al aprendiz a integrar mentalmente dos fuentes separadas), usar terminología técnica donde existe un equivalente coloquial claro, presentar demasiados elementos visuales simultáneos en una diapositiva.</w:t>
      </w:r>
    </w:p>
    <w:p>
      <w:pPr/>
      <w:r>
        <w:t xml:space="preserve">La </w:t>
      </w:r>
      <w:r>
        <w:rPr>
          <w:b/>
        </w:rPr>
        <w:t>carga germana</w:t>
      </w:r>
      <w:r>
        <w:t xml:space="preserve"> es el esfuerzo mental dedicado a construir y automatizar esquemas — la "buena" carga cognitiva. El objetivo del diseño instruccional es liberar recursos de memoria de trabajo de la carga extrínseca para que puedan dedicarse a la carga germana.</w:t>
      </w:r>
    </w:p>
    <w:p>
      <w:pPr>
        <w:pStyle w:val="Ttulo3"/>
      </w:pPr>
      <w:r>
        <w:t>4.2 El efecto del ejemplo trabajado</w:t>
      </w:r>
    </w:p>
    <w:p>
      <w:pPr/>
      <w:r>
        <w:t>Sweller y Cooper (1985) demostraron experimentalmente que mostrar a los aprendices novatos ejemplos resueltos paso a paso (</w:t>
      </w:r>
      <w:r>
        <w:rPr>
          <w:i/>
        </w:rPr>
        <w:t>worked examples</w:t>
      </w:r>
      <w:r>
        <w:t>) es significativamente más efectivo que pedirles que resuelvan problemas por sí mismos. La razón: para el novato, resolver un problema sin guía consume toda la memoria de trabajo en la búsqueda de soluciones, sin dejar recursos para construir los esquemas que harían posible resolver ese tipo de problema en el futuro.</w:t>
      </w:r>
    </w:p>
    <w:p>
      <w:pPr/>
      <w:r>
        <w:t xml:space="preserve">Para el extensionista, esto tiene una implicación práctica inmediata: antes de pedir al caficultor que construya un horno Kon-Tiki por primera vez, debe demostrarlo completo al menos una vez, verbalizando cada paso y su razón. El </w:t>
      </w:r>
      <w:r>
        <w:rPr>
          <w:i/>
        </w:rPr>
        <w:t>por qué</w:t>
      </w:r>
      <w:r>
        <w:t xml:space="preserve"> de cada acción no es un complemento pedagógico — es parte esencial de la construcción del esquema.</w:t>
      </w:r>
    </w:p>
    <w:p>
      <w:pPr>
        <w:pStyle w:val="Ttulo3"/>
      </w:pPr>
      <w:r>
        <w:t>4.3 Principios instruccionales para aprendices de baja literacidad</w:t>
      </w:r>
    </w:p>
    <w:p>
      <w:pPr/>
      <w:r>
        <w:t xml:space="preserve">Mayer y Moreno (2003) sintetizaron en </w:t>
      </w:r>
      <w:r>
        <w:rPr>
          <w:i/>
        </w:rPr>
        <w:t>Educational Psychologist</w:t>
      </w:r>
      <w:r>
        <w:t xml:space="preserve"> nueve principios de instrucción multimedia con amplio respaldo experimental, varios de los cuales son especialmente relevantes para aprendices rurales de baja literacidad:</w:t>
      </w:r>
    </w:p>
    <w:p>
      <w:pPr/>
      <w:r>
        <w:t xml:space="preserve">El </w:t>
      </w:r>
      <w:r>
        <w:rPr>
          <w:b/>
        </w:rPr>
        <w:t>principio de modalidad</w:t>
      </w:r>
      <w:r>
        <w:t xml:space="preserve"> establece que la combinación de narración oral con imagen visual produce mejor aprendizaje que la combinación de texto escrito con imagen, para aprendices sin hábito lector. Para el extensionista, esto valida el uso de materiales visuales explicados oralmente, en lugar de documentos escritos que el caficultor lee en silencio.</w:t>
      </w:r>
    </w:p>
    <w:p>
      <w:pPr/>
      <w:r>
        <w:t xml:space="preserve">El </w:t>
      </w:r>
      <w:r>
        <w:rPr>
          <w:b/>
        </w:rPr>
        <w:t>principio de segmentación</w:t>
      </w:r>
      <w:r>
        <w:t xml:space="preserve"> establece que dividir el contenido en segmentos cortos con pausas para procesamiento produce mejor aprendizaje que la presentación continua. Una sesión de campo que enseña todo el proceso de elaboración de biochar en secuencia continua es menos efectiva que la misma sesión dividida en bloques con momentos de práctica y verificación entre cada uno.</w:t>
      </w:r>
    </w:p>
    <w:p>
      <w:pPr/>
      <w:r>
        <w:t xml:space="preserve">El </w:t>
      </w:r>
      <w:r>
        <w:rPr>
          <w:b/>
        </w:rPr>
        <w:t>principio de contigüidad</w:t>
      </w:r>
      <w:r>
        <w:t xml:space="preserve"> establece que las imágenes y el texto o la narración que las explican deben presentarse simultáneamente y en proximidad física o temporal — no separados. El cartel que muestra el proceso de pirolisis debe estar presente mientras el extensionista lo explica, no guardado en la bolsa.</w:t>
      </w:r>
    </w:p>
    <w:p>
      <w:pPr>
        <w:pStyle w:val="Ttulo2"/>
      </w:pPr>
      <w:r>
        <w:t>5. Aprendizaje social: Bandura y el poder del modelo entre pares</w:t>
      </w:r>
    </w:p>
    <w:p>
      <w:pPr>
        <w:pStyle w:val="Ttulo3"/>
      </w:pPr>
      <w:r>
        <w:t>5.1 El aprendizaje por observación</w:t>
      </w:r>
    </w:p>
    <w:p>
      <w:pPr/>
      <w:r>
        <w:t xml:space="preserve">Albert Bandura (Universidad de Stanford) desarrolló la Teoría del Aprendizaje Social a partir de sus experimentos fundacionales en 1961, publicando la formulación completa en </w:t>
      </w:r>
      <w:r>
        <w:rPr>
          <w:i/>
        </w:rPr>
        <w:t>Social Learning Theory</w:t>
      </w:r>
      <w:r>
        <w:t xml:space="preserve"> (1977) y la versión cognitivo-social ampliada en </w:t>
      </w:r>
      <w:r>
        <w:rPr>
          <w:i/>
        </w:rPr>
        <w:t>Social Foundations of Thought and Action</w:t>
      </w:r>
      <w:r>
        <w:t xml:space="preserve"> (1986). La premisa central: los seres humanos aprenden predominantemente por observación de otros, no solo por ensayo y error personal.</w:t>
      </w:r>
    </w:p>
    <w:p>
      <w:pPr/>
      <w:r>
        <w:t xml:space="preserve">Para que la observación de un modelo resulte en aprendizaje, deben ocurrir cuatro procesos secuenciales. Primero, la </w:t>
      </w:r>
      <w:r>
        <w:rPr>
          <w:b/>
        </w:rPr>
        <w:t>atención</w:t>
      </w:r>
      <w:r>
        <w:t xml:space="preserve">: el observador debe prestar atención al modelo. Los modelos con alta credibilidad, similaridad con el observador y estatus social en la comunidad capturan más atención. Un caficultor exitoso y respetado localmente es un modelo más poderoso que un técnico externo, independientemente de la diferencia en conocimiento técnico formal. Segundo, la </w:t>
      </w:r>
      <w:r>
        <w:rPr>
          <w:b/>
        </w:rPr>
        <w:t>retención</w:t>
      </w:r>
      <w:r>
        <w:t xml:space="preserve">: la conducta observada debe ser codificada en la memoria. Pedir al aprendiz que verbalice lo que observó consolida esta codificación. Tercero, la </w:t>
      </w:r>
      <w:r>
        <w:rPr>
          <w:b/>
        </w:rPr>
        <w:t>reproducción</w:t>
      </w:r>
      <w:r>
        <w:t xml:space="preserve">: el observador debe tener la capacidad motora y cognitiva para replicar la conducta. Para adultos mayores, verificar que la práctica sea físicamente ejecutable dado su estado físico es un requisito previo, no una consideración opcional. Cuarto, la </w:t>
      </w:r>
      <w:r>
        <w:rPr>
          <w:b/>
        </w:rPr>
        <w:t>motivación</w:t>
      </w:r>
      <w:r>
        <w:t>: el observador necesita razones para actuar. Ver a un vecino con mayor cosecha gracias al biochar genera motivación vicaria inmediata — más poderosa que cualquier argumento técnico abstracto.</w:t>
      </w:r>
    </w:p>
    <w:p>
      <w:pPr>
        <w:pStyle w:val="Ttulo3"/>
      </w:pPr>
      <w:r>
        <w:t>5.2 Auto-eficacia: la creencia que determina el intento</w:t>
      </w:r>
    </w:p>
    <w:p>
      <w:pPr/>
      <w:r>
        <w:t xml:space="preserve">El concepto de </w:t>
      </w:r>
      <w:r>
        <w:rPr>
          <w:b/>
        </w:rPr>
        <w:t>auto-eficacia</w:t>
      </w:r>
      <w:r>
        <w:t xml:space="preserve"> — la creencia de una persona en su capacidad para ejecutar con éxito una conducta específica — es la contribución más influyente de Bandura (1997) a la educación. La auto-eficacia no es un rasgo de personalidad fijo; es específica del dominio y es modificable por la experiencia.</w:t>
      </w:r>
    </w:p>
    <w:p>
      <w:pPr/>
      <w:r>
        <w:t xml:space="preserve">Bandura identificó cuatro fuentes que la construyen o la erosionan. Las </w:t>
      </w:r>
      <w:r>
        <w:rPr>
          <w:b/>
        </w:rPr>
        <w:t>experiencias de dominio</w:t>
      </w:r>
      <w:r>
        <w:t xml:space="preserve"> — haber tenido éxito en tareas similares en el pasado — son la fuente más poderosa. El extensionista que diseña actividades con alta probabilidad de éxito inicial construye auto-eficacia activamente. Las </w:t>
      </w:r>
      <w:r>
        <w:rPr>
          <w:b/>
        </w:rPr>
        <w:t>experiencias vicarias</w:t>
      </w:r>
      <w:r>
        <w:t xml:space="preserve"> — ver a otros similares a uno mismo tener éxito — generan la creencia "si él puede, yo también puedo". La </w:t>
      </w:r>
      <w:r>
        <w:rPr>
          <w:b/>
        </w:rPr>
        <w:t>persuasión social</w:t>
      </w:r>
      <w:r>
        <w:t xml:space="preserve"> genuina — el reconocimiento fundamentado de capacidades reales, no la adulación vacía — contribuye moderadamente. Y los </w:t>
      </w:r>
      <w:r>
        <w:rPr>
          <w:b/>
        </w:rPr>
        <w:t>estados fisiológicos</w:t>
      </w:r>
      <w:r>
        <w:t xml:space="preserve"> — la ansiedad, la tensión, la vergüenza — erosionan la auto-eficacia percibida. Los entornos de aprendizaje que minimizan el juicio y el ridículo público no son concesiones sentimentales — son condiciones instrumentales para el aprendizaje.</w:t>
      </w:r>
    </w:p>
    <w:p>
      <w:pPr/>
      <w:r>
        <w:t>En adultos rurales de baja escolaridad, la auto-eficacia relacionada con el aprendizaje formal suele ser especialmente baja, resultado de experiencias negativas con la escuela tradicional. El diseño instruccional del extensionista debe reconstruirla activamente.</w:t>
      </w:r>
    </w:p>
    <w:p>
      <w:pPr>
        <w:pStyle w:val="Ttulo3"/>
      </w:pPr>
      <w:r>
        <w:t>5.3 El aprendizaje de agricultor a agricultor en América Latina</w:t>
      </w:r>
    </w:p>
    <w:p>
      <w:pPr/>
      <w:r>
        <w:t xml:space="preserve">Bunch (1982), en </w:t>
      </w:r>
      <w:r>
        <w:rPr>
          <w:i/>
        </w:rPr>
        <w:t>Two Ears of Corn: A Guide to People-Centered Agricultural Improvement</w:t>
      </w:r>
      <w:r>
        <w:t xml:space="preserve"> — una obra de referencia en extensión participativa latinoamericana — documentó que las innovaciones agrícolas adoptadas más duraderamente en América Central y del Sur fueron aquellas difundidas horizontalmente entre agricultores pares, no las impartidas verticalmente por técnicos. Hellin (2012), en </w:t>
      </w:r>
      <w:r>
        <w:rPr>
          <w:i/>
        </w:rPr>
        <w:t>Experimental Agriculture</w:t>
      </w:r>
      <w:r>
        <w:t>, confirma este hallazgo para Mesoamérica: el intercambio entre agricultores opera dentro de las redes de confianza existentes, con mensajes provenientes de alguien con estatus socioeconómico y contexto similares al receptor.</w:t>
      </w:r>
    </w:p>
    <w:p>
      <w:pPr>
        <w:pStyle w:val="Ttulo2"/>
      </w:pPr>
      <w:r>
        <w:t>6. Capital social y confianza: la base invisible del aprendizaje rural</w:t>
      </w:r>
    </w:p>
    <w:p>
      <w:pPr>
        <w:pStyle w:val="Ttulo3"/>
      </w:pPr>
      <w:r>
        <w:t>6.1 Qué es el capital social</w:t>
      </w:r>
    </w:p>
    <w:p>
      <w:pPr/>
      <w:r>
        <w:t xml:space="preserve">Robert Putnam (2000), en </w:t>
      </w:r>
      <w:r>
        <w:rPr>
          <w:i/>
        </w:rPr>
        <w:t>Bowling Alone</w:t>
      </w:r>
      <w:r>
        <w:t xml:space="preserve">, define el capital social como "las características de organización social — redes, normas y confianza social — que facilitan la coordinación y cooperación para beneficio mutuo." Putnam distingue dos tipos fundamentales. El </w:t>
      </w:r>
      <w:r>
        <w:rPr>
          <w:b/>
        </w:rPr>
        <w:t>capital de unión</w:t>
      </w:r>
      <w:r>
        <w:t xml:space="preserve"> (</w:t>
      </w:r>
      <w:r>
        <w:rPr>
          <w:i/>
        </w:rPr>
        <w:t>bonding capital</w:t>
      </w:r>
      <w:r>
        <w:t xml:space="preserve">) son los lazos dentro de grupos homogéneos — familia, vecinos cercanos, comunidad de la misma tradición — que generan solidaridad y apoyo mutuo, pero que pueden también reforzar las resistencias al cambio y la desconfianza hacia quienes vienen de fuera. El </w:t>
      </w:r>
      <w:r>
        <w:rPr>
          <w:b/>
        </w:rPr>
        <w:t>capital de puente</w:t>
      </w:r>
      <w:r>
        <w:t xml:space="preserve"> (</w:t>
      </w:r>
      <w:r>
        <w:rPr>
          <w:i/>
        </w:rPr>
        <w:t>bridging capital</w:t>
      </w:r>
      <w:r>
        <w:t>) son los lazos entre grupos diversos, que facilitan la difusión de información nueva y el acceso a recursos externos.</w:t>
      </w:r>
    </w:p>
    <w:p>
      <w:pPr/>
      <w:r>
        <w:t>Para la adopción de innovaciones, ambos tipos son necesarios en momentos diferentes. El capital de unión genera la confianza para experimentar: si el intento falla, hay apoyo comunitario. El capital de puente trae el conocimiento nuevo desde afuera del sistema local.</w:t>
      </w:r>
    </w:p>
    <w:p>
      <w:pPr>
        <w:pStyle w:val="Ttulo3"/>
      </w:pPr>
      <w:r>
        <w:t>6.2 La relación extensionista-agricultor como inversión en confianza</w:t>
      </w:r>
    </w:p>
    <w:p>
      <w:pPr/>
      <w:r>
        <w:t xml:space="preserve">Birkhaeuser, Evenson y Feder (1991), en una revisión publicada en </w:t>
      </w:r>
      <w:r>
        <w:rPr>
          <w:i/>
        </w:rPr>
        <w:t>Economic Development and Cultural Change</w:t>
      </w:r>
      <w:r>
        <w:t>, encontraron que la calidad de la relación entre el extensionista y el agricultor — medida principalmente por la confianza y la frecuencia de contacto — es el predictor más fuerte de adopción de innovaciones agrícolas. Más importante que la calidad técnica de la recomendación. Esta es una conclusión que merece ser leída dos veces.</w:t>
      </w:r>
    </w:p>
    <w:p>
      <w:pPr/>
      <w:r>
        <w:t>Las implicaciones son concretas: las visitas informales a la finca antes de comenzar la instrucción formal, el conocimiento del nombre de los hijos del caficultor, la memoria de su historia con el cultivo, el reconocimiento público de su experiencia y su conocimiento — estas son inversiones en capital social que se traducen luego en apertura al aprendizaje, no decorados relacionales.</w:t>
      </w:r>
    </w:p>
    <w:p>
      <w:pPr/>
      <w:r>
        <w:t xml:space="preserve">Ostrom (1990), en </w:t>
      </w:r>
      <w:r>
        <w:rPr>
          <w:i/>
        </w:rPr>
        <w:t>Governing the Commons</w:t>
      </w:r>
      <w:r>
        <w:t xml:space="preserve"> — obra que le valió el Premio Nobel de Economía — demostró que las comunidades rurales resuelven problemas de acción colectiva a través de normas de reciprocidad y reputación. Las comunidades cafeteras con tradición de mingas, juntas de acción comunal activas o cooperativas tienen capital social preexistente que el extensionista puede activar para facilitar la adopción grupal, en lugar de trabajar agricultor por agricultor.</w:t>
      </w:r>
    </w:p>
    <w:p>
      <w:pPr>
        <w:pStyle w:val="Ttulo2"/>
      </w:pPr>
      <w:r>
        <w:t>7. Escuelas de Campo de Agricultores: síntesis pedagógica basada en evidencia</w:t>
      </w:r>
    </w:p>
    <w:p>
      <w:pPr>
        <w:pStyle w:val="Ttulo3"/>
      </w:pPr>
      <w:r>
        <w:t>7.1 El modelo y su fundamento</w:t>
      </w:r>
    </w:p>
    <w:p>
      <w:pPr/>
      <w:r>
        <w:t xml:space="preserve">Las Escuelas de Campo de Agricultores (ECA, o </w:t>
      </w:r>
      <w:r>
        <w:rPr>
          <w:i/>
        </w:rPr>
        <w:t>Farmer Field Schools</w:t>
      </w:r>
      <w:r>
        <w:t xml:space="preserve"> en inglés) fueron desarrolladas por la FAO a finales de los años 1980 para abordar el manejo integrado de plagas en Asia, y se expandieron a América Latina durante los años 1990. El modelo parte de una crítica al enfoque de "transferencia de tecnología" y se fundamenta en la pedagogía de Paulo Freire (1970): la educación auténtica no es "depositar" información en el aprendiz — educación bancaria — sino un proceso dialógico de acción y reflexión (</w:t>
      </w:r>
      <w:r>
        <w:rPr>
          <w:i/>
        </w:rPr>
        <w:t>praxis</w:t>
      </w:r>
      <w:r>
        <w:t>). El agricultor es investigador, no receptor.</w:t>
      </w:r>
    </w:p>
    <w:p>
      <w:pPr/>
      <w:r>
        <w:t>En la ECA, grupos de 25 a 30 agricultores se reúnen periódicamente durante una temporada de cultivo completa. El ciclo básico de aprendizaje es: observación de campo → análisis agro-ecológico → discusión grupal → toma de decisiones. Se comparan parcelas experimentales con la nueva práctica versus parcelas de control con el manejo habitual. El facilitador actúa como guía del descubrimiento, no como conferencista.</w:t>
      </w:r>
    </w:p>
    <w:p>
      <w:pPr>
        <w:pStyle w:val="Ttulo3"/>
      </w:pPr>
      <w:r>
        <w:t>7.2 Evidencia de efectividad</w:t>
      </w:r>
    </w:p>
    <w:p>
      <w:pPr/>
      <w:r>
        <w:t xml:space="preserve">Davis et al. (2012), en un estudio aleatorizado con grupo control publicado en </w:t>
      </w:r>
      <w:r>
        <w:rPr>
          <w:i/>
        </w:rPr>
        <w:t>World Development</w:t>
      </w:r>
      <w:r>
        <w:t>, encontraron que los participantes en ECA en Uganda incrementaron su productividad agrícola en promedio un 10% sobre el grupo control, mejoraron su comprensión de prácticas agrícolas, y estos efectos persistieron tres años después del programa. El estudio encontró además efectos de derrame (</w:t>
      </w:r>
      <w:r>
        <w:rPr>
          <w:i/>
        </w:rPr>
        <w:t>spillover</w:t>
      </w:r>
      <w:r>
        <w:t xml:space="preserve">) a hogares vecinos no participantes, confirmando el rol central del aprendizaje observacional entre pares. Waddington et al. (2014), en una revisión sistemática de 30 evaluaciones de ECA en África y Asia publicada en </w:t>
      </w:r>
      <w:r>
        <w:rPr>
          <w:i/>
        </w:rPr>
        <w:t>Campbell Systematic Reviews</w:t>
      </w:r>
      <w:r>
        <w:t>, encontraron evidencia consistentemente positiva en conocimientos agrícolas, con tamaños de efecto moderados.</w:t>
      </w:r>
    </w:p>
    <w:p>
      <w:pPr/>
      <w:r>
        <w:t>En América Latina, la FNC ha implementado variantes de la ECA — "Escuelas de Campo del Café" — con enfoque en calidad, sostenibilidad ambiental y nuevas prácticas agronómicas. Los módulos sobre biofertilizantes y enmiendas orgánicas son antecedentes directamente análogos a la introducción del biochar.</w:t>
      </w:r>
    </w:p>
    <w:p>
      <w:pPr>
        <w:pStyle w:val="Ttulo2"/>
      </w:pPr>
      <w:r>
        <w:t>Conclusión: el extensionista como arquitecto del aprendizaje</w:t>
      </w:r>
    </w:p>
    <w:p>
      <w:pPr/>
      <w:r>
        <w:t>La investigación revisada en esta lectura conduce a una conclusión central: el extensionista rural no es principalmente un transmisor de información técnica. Es, ante todo, un arquitecto de condiciones de aprendizaje. Su tarea es crear los contextos relacionales, pedagógicos y motivacionales que permitan que el conocimiento técnico sobre biochar, carbono y suelo encuentre resonancia en la experiencia, la mente y la práctica del caficultor.</w:t>
      </w:r>
    </w:p>
    <w:p>
      <w:pPr/>
      <w:r>
        <w:t>Esto requiere comprender que el caficultor de 60 años no aprende igual que el de 30. Que la demostración práctica visible es más poderosa que la explicación abstracta. Que la confianza se construye antes de que comience la instrucción, no durante ella. Que la auto-eficacia del aprendiz es un recurso pedagógico que puede construirse o destruirse en cada interacción. Que el vecino exitoso difunde el conocimiento más efectivamente que el técnico más preparado.</w:t>
      </w:r>
    </w:p>
    <w:p>
      <w:pPr/>
      <w:r>
        <w:t>El extensionista que internaliza estos principios no solo enseña biochar: construye, paso a paso, una comunidad de práctica capaz de aprender, adaptarse y transmitir el conocimiento de manera autónoma — que es, en última instancia, el indicador más robusto del éxito de cualquier programa de extensión rural.</w:t>
      </w:r>
    </w:p>
    <w:p>
      <w:pPr>
        <w:pStyle w:val="Ttulo2"/>
      </w:pPr>
      <w:r>
        <w:t>Referencias</w:t>
      </w:r>
    </w:p>
    <w:p>
      <w:pPr/>
      <w:r>
        <w:rPr>
          <w:sz w:val="20"/>
        </w:rPr>
        <w:t xml:space="preserve">Baltes, P. B., &amp; Kliegl, R. (1992). Further testing of limits of cognitive plasticity: Negative age differences in a mnemonic skill are robust. </w:t>
      </w:r>
      <w:r>
        <w:rPr>
          <w:i/>
          <w:sz w:val="20"/>
        </w:rPr>
        <w:t>Developmental Psychology, 28</w:t>
      </w:r>
      <w:r>
        <w:rPr>
          <w:sz w:val="20"/>
        </w:rPr>
        <w:t>(1), 121–125. https://doi.org/10.1037/0012-1649.28.1.121</w:t>
      </w:r>
    </w:p>
    <w:p>
      <w:pPr/>
      <w:r>
        <w:rPr>
          <w:sz w:val="20"/>
        </w:rPr>
        <w:t xml:space="preserve">Bandura, A. (1977). </w:t>
      </w:r>
      <w:r>
        <w:rPr>
          <w:i/>
          <w:sz w:val="20"/>
        </w:rPr>
        <w:t>Social Learning Theory</w:t>
      </w:r>
      <w:r>
        <w:rPr>
          <w:sz w:val="20"/>
        </w:rPr>
        <w:t>. Prentice Hall.</w:t>
      </w:r>
    </w:p>
    <w:p>
      <w:pPr/>
      <w:r>
        <w:rPr>
          <w:sz w:val="20"/>
        </w:rPr>
        <w:t xml:space="preserve">Bandura, A. (1986). </w:t>
      </w:r>
      <w:r>
        <w:rPr>
          <w:i/>
          <w:sz w:val="20"/>
        </w:rPr>
        <w:t>Social Foundations of Thought and Action: A Social Cognitive Theory</w:t>
      </w:r>
      <w:r>
        <w:rPr>
          <w:sz w:val="20"/>
        </w:rPr>
        <w:t>. Prentice Hall.</w:t>
      </w:r>
    </w:p>
    <w:p>
      <w:pPr/>
      <w:r>
        <w:rPr>
          <w:sz w:val="20"/>
        </w:rPr>
        <w:t xml:space="preserve">Bandura, A. (1997). </w:t>
      </w:r>
      <w:r>
        <w:rPr>
          <w:i/>
          <w:sz w:val="20"/>
        </w:rPr>
        <w:t>Self-Efficacy: The Exercise of Control</w:t>
      </w:r>
      <w:r>
        <w:rPr>
          <w:sz w:val="20"/>
        </w:rPr>
        <w:t>. W. H. Freeman.</w:t>
      </w:r>
    </w:p>
    <w:p>
      <w:pPr/>
      <w:r>
        <w:rPr>
          <w:sz w:val="20"/>
        </w:rPr>
        <w:t xml:space="preserve">Birkhaeuser, D., Evenson, R. E., &amp; Feder, G. (1991). The economic impact of agricultural extension: A review. </w:t>
      </w:r>
      <w:r>
        <w:rPr>
          <w:i/>
          <w:sz w:val="20"/>
        </w:rPr>
        <w:t>Economic Development and Cultural Change, 39</w:t>
      </w:r>
      <w:r>
        <w:rPr>
          <w:sz w:val="20"/>
        </w:rPr>
        <w:t>(3), 607–650. https://doi.org/10.1086/451893</w:t>
      </w:r>
    </w:p>
    <w:p>
      <w:pPr/>
      <w:r>
        <w:rPr>
          <w:sz w:val="20"/>
        </w:rPr>
        <w:t xml:space="preserve">Brady, E. M. (1990). Redeemed from time: Learning through autobiography. </w:t>
      </w:r>
      <w:r>
        <w:rPr>
          <w:i/>
          <w:sz w:val="20"/>
        </w:rPr>
        <w:t>Adult Education Quarterly, 41</w:t>
      </w:r>
      <w:r>
        <w:rPr>
          <w:sz w:val="20"/>
        </w:rPr>
        <w:t>(1), 43–52. https://doi.org/10.1177/0001848190041001005</w:t>
      </w:r>
    </w:p>
    <w:p>
      <w:pPr/>
      <w:r>
        <w:rPr>
          <w:sz w:val="20"/>
        </w:rPr>
        <w:t xml:space="preserve">Braun, A. R., Thiele, G., &amp; Fernández, M. (2000). </w:t>
      </w:r>
      <w:r>
        <w:rPr>
          <w:i/>
          <w:sz w:val="20"/>
        </w:rPr>
        <w:t>Farmer Field Schools and Local Agricultural Research Committees: Complementary Platforms for Integrated Decision-Making in Sustainable Agriculture</w:t>
      </w:r>
      <w:r>
        <w:rPr>
          <w:sz w:val="20"/>
        </w:rPr>
        <w:t>. ODI Network Paper No. 105.</w:t>
      </w:r>
    </w:p>
    <w:p>
      <w:pPr/>
      <w:r>
        <w:rPr>
          <w:sz w:val="20"/>
        </w:rPr>
        <w:t xml:space="preserve">Bunch, R. (1982). </w:t>
      </w:r>
      <w:r>
        <w:rPr>
          <w:i/>
          <w:sz w:val="20"/>
        </w:rPr>
        <w:t>Two Ears of Corn: A Guide to People-Centered Agricultural Improvement</w:t>
      </w:r>
      <w:r>
        <w:rPr>
          <w:sz w:val="20"/>
        </w:rPr>
        <w:t>. World Neighbors.</w:t>
      </w:r>
    </w:p>
    <w:p>
      <w:pPr/>
      <w:r>
        <w:rPr>
          <w:sz w:val="20"/>
        </w:rPr>
        <w:t xml:space="preserve">Coleman, J. S. (1988). Social capital in the creation of human capital. </w:t>
      </w:r>
      <w:r>
        <w:rPr>
          <w:i/>
          <w:sz w:val="20"/>
        </w:rPr>
        <w:t>American Journal of Sociology, 94</w:t>
      </w:r>
      <w:r>
        <w:rPr>
          <w:sz w:val="20"/>
        </w:rPr>
        <w:t>(Suppl.), S95–S120. https://doi.org/10.1086/228943</w:t>
      </w:r>
    </w:p>
    <w:p>
      <w:pPr/>
      <w:r>
        <w:rPr>
          <w:sz w:val="20"/>
        </w:rPr>
        <w:t xml:space="preserve">Craik, F. I. M., &amp; Salthouse, T. A. (Eds.). (2000). </w:t>
      </w:r>
      <w:r>
        <w:rPr>
          <w:i/>
          <w:sz w:val="20"/>
        </w:rPr>
        <w:t>The Handbook of Aging and Cognition</w:t>
      </w:r>
      <w:r>
        <w:rPr>
          <w:sz w:val="20"/>
        </w:rPr>
        <w:t xml:space="preserve"> (2nd ed.). Lawrence Erlbaum Associates.</w:t>
      </w:r>
    </w:p>
    <w:p>
      <w:pPr/>
      <w:r>
        <w:rPr>
          <w:sz w:val="20"/>
        </w:rPr>
        <w:t xml:space="preserve">Davis, K., Nkonya, E., Kato, E., Mekonnen, D. A., Odendo, M., Miiro, R., &amp; Nkuba, J. (2012). Impact of farmer field schools on agricultural productivity and poverty in East Africa. </w:t>
      </w:r>
      <w:r>
        <w:rPr>
          <w:i/>
          <w:sz w:val="20"/>
        </w:rPr>
        <w:t>World Development, 40</w:t>
      </w:r>
      <w:r>
        <w:rPr>
          <w:sz w:val="20"/>
        </w:rPr>
        <w:t>(2), 402–413. https://doi.org/10.1016/j.worlddev.2011.05.019</w:t>
      </w:r>
    </w:p>
    <w:p>
      <w:pPr/>
      <w:r>
        <w:rPr>
          <w:sz w:val="20"/>
        </w:rPr>
        <w:t xml:space="preserve">Doss, C. R. (2006). Analyzing technology adoption using microstudies: Limitations, challenges, and opportunities for improvement. </w:t>
      </w:r>
      <w:r>
        <w:rPr>
          <w:i/>
          <w:sz w:val="20"/>
        </w:rPr>
        <w:t>Agricultural Economics, 34</w:t>
      </w:r>
      <w:r>
        <w:rPr>
          <w:sz w:val="20"/>
        </w:rPr>
        <w:t>(3), 207–219. https://doi.org/10.1111/j.1574-0864.2006.00119.x</w:t>
      </w:r>
    </w:p>
    <w:p>
      <w:pPr/>
      <w:r>
        <w:rPr>
          <w:sz w:val="20"/>
        </w:rPr>
        <w:t xml:space="preserve">Feder, G., Just, R. E., &amp; Zilberman, D. (1985). Adoption of agricultural innovations in developing countries: A survey. </w:t>
      </w:r>
      <w:r>
        <w:rPr>
          <w:i/>
          <w:sz w:val="20"/>
        </w:rPr>
        <w:t>Economic Development and Cultural Change, 33</w:t>
      </w:r>
      <w:r>
        <w:rPr>
          <w:sz w:val="20"/>
        </w:rPr>
        <w:t>(2), 255–298. https://doi.org/10.1086/451461</w:t>
      </w:r>
    </w:p>
    <w:p>
      <w:pPr/>
      <w:r>
        <w:rPr>
          <w:sz w:val="20"/>
        </w:rPr>
        <w:t xml:space="preserve">Fisher, J. C. (1993). A framework for describing developmental change among older adults. </w:t>
      </w:r>
      <w:r>
        <w:rPr>
          <w:i/>
          <w:sz w:val="20"/>
        </w:rPr>
        <w:t>Adult Education Quarterly, 43</w:t>
      </w:r>
      <w:r>
        <w:rPr>
          <w:sz w:val="20"/>
        </w:rPr>
        <w:t>(2), 76–89. https://doi.org/10.1177/0741713693043002002</w:t>
      </w:r>
    </w:p>
    <w:p>
      <w:pPr/>
      <w:r>
        <w:rPr>
          <w:sz w:val="20"/>
        </w:rPr>
        <w:t xml:space="preserve">Freire, P. (1970). </w:t>
      </w:r>
      <w:r>
        <w:rPr>
          <w:i/>
          <w:sz w:val="20"/>
        </w:rPr>
        <w:t>Pedagogía del oprimido</w:t>
      </w:r>
      <w:r>
        <w:rPr>
          <w:sz w:val="20"/>
        </w:rPr>
        <w:t>. Siglo XXI Editores.</w:t>
      </w:r>
    </w:p>
    <w:p>
      <w:pPr/>
      <w:r>
        <w:rPr>
          <w:sz w:val="20"/>
        </w:rPr>
        <w:t xml:space="preserve">Hellin, J. (2012). Agricultural extension, collective action and innovation systems: Evidence and emerging challenges. </w:t>
      </w:r>
      <w:r>
        <w:rPr>
          <w:i/>
          <w:sz w:val="20"/>
        </w:rPr>
        <w:t>Journal of Agricultural Education and Extension, 18</w:t>
      </w:r>
      <w:r>
        <w:rPr>
          <w:sz w:val="20"/>
        </w:rPr>
        <w:t>(5), 461–478. https://doi.org/10.1080/1389224X.2012.716527</w:t>
      </w:r>
    </w:p>
    <w:p>
      <w:pPr/>
      <w:r>
        <w:rPr>
          <w:sz w:val="20"/>
        </w:rPr>
        <w:t xml:space="preserve">Holton, E. F., Wilson, L. S., &amp; Bates, R. A. (2009). Toward development of a generalized instrument to measure andragogy. </w:t>
      </w:r>
      <w:r>
        <w:rPr>
          <w:i/>
          <w:sz w:val="20"/>
        </w:rPr>
        <w:t>Human Resource Development Quarterly, 20</w:t>
      </w:r>
      <w:r>
        <w:rPr>
          <w:sz w:val="20"/>
        </w:rPr>
        <w:t>(2), 169–193. https://doi.org/10.1002/hrdq.20014</w:t>
      </w:r>
    </w:p>
    <w:p>
      <w:pPr/>
      <w:r>
        <w:rPr>
          <w:sz w:val="20"/>
        </w:rPr>
        <w:t xml:space="preserve">Knowles, M. S. (1980). </w:t>
      </w:r>
      <w:r>
        <w:rPr>
          <w:i/>
          <w:sz w:val="20"/>
        </w:rPr>
        <w:t>The Modern Practice of Adult Education: From Pedagogy to Andragogy</w:t>
      </w:r>
      <w:r>
        <w:rPr>
          <w:sz w:val="20"/>
        </w:rPr>
        <w:t xml:space="preserve"> (2nd ed.). Cambridge Adult Education.</w:t>
      </w:r>
    </w:p>
    <w:p>
      <w:pPr/>
      <w:r>
        <w:rPr>
          <w:sz w:val="20"/>
        </w:rPr>
        <w:t xml:space="preserve">Knowles, M. S., Holton, E. F., &amp; Swanson, R. A. (2005). </w:t>
      </w:r>
      <w:r>
        <w:rPr>
          <w:i/>
          <w:sz w:val="20"/>
        </w:rPr>
        <w:t>The Adult Learner: The Definitive Classic in Adult Education and Human Resource Development</w:t>
      </w:r>
      <w:r>
        <w:rPr>
          <w:sz w:val="20"/>
        </w:rPr>
        <w:t xml:space="preserve"> (6th ed.). Elsevier.</w:t>
      </w:r>
    </w:p>
    <w:p>
      <w:pPr/>
      <w:r>
        <w:rPr>
          <w:sz w:val="20"/>
        </w:rPr>
        <w:t xml:space="preserve">Leeuwis, C., &amp; van den Ban, A. (2004). </w:t>
      </w:r>
      <w:r>
        <w:rPr>
          <w:i/>
          <w:sz w:val="20"/>
        </w:rPr>
        <w:t>Communication for Rural Innovation: Rethinking Agricultural Extension</w:t>
      </w:r>
      <w:r>
        <w:rPr>
          <w:sz w:val="20"/>
        </w:rPr>
        <w:t xml:space="preserve"> (3rd ed.). Blackwell Publishing.</w:t>
      </w:r>
    </w:p>
    <w:p>
      <w:pPr/>
      <w:r>
        <w:rPr>
          <w:sz w:val="20"/>
        </w:rPr>
        <w:t xml:space="preserve">Mayer, R. E. (2009). </w:t>
      </w:r>
      <w:r>
        <w:rPr>
          <w:i/>
          <w:sz w:val="20"/>
        </w:rPr>
        <w:t>Multimedia Learning</w:t>
      </w:r>
      <w:r>
        <w:rPr>
          <w:sz w:val="20"/>
        </w:rPr>
        <w:t xml:space="preserve"> (2nd ed.). Cambridge University Press. https://doi.org/10.1017/CBO9780511811678</w:t>
      </w:r>
    </w:p>
    <w:p>
      <w:pPr/>
      <w:r>
        <w:rPr>
          <w:sz w:val="20"/>
        </w:rPr>
        <w:t xml:space="preserve">Mayer, R. E., &amp; Moreno, R. (2003). Nine ways to reduce cognitive load in multimedia learning. </w:t>
      </w:r>
      <w:r>
        <w:rPr>
          <w:i/>
          <w:sz w:val="20"/>
        </w:rPr>
        <w:t>Educational Psychologist, 38</w:t>
      </w:r>
      <w:r>
        <w:rPr>
          <w:sz w:val="20"/>
        </w:rPr>
        <w:t>(1), 43–52. https://doi.org/10.1207/S15326985EP3801_6</w:t>
      </w:r>
    </w:p>
    <w:p>
      <w:pPr/>
      <w:r>
        <w:rPr>
          <w:sz w:val="20"/>
        </w:rPr>
        <w:t xml:space="preserve">Merriam, S. B., Caffarella, R. S., &amp; Baumgartner, L. M. (2007). </w:t>
      </w:r>
      <w:r>
        <w:rPr>
          <w:i/>
          <w:sz w:val="20"/>
        </w:rPr>
        <w:t>Learning in Adulthood: A Comprehensive Guide</w:t>
      </w:r>
      <w:r>
        <w:rPr>
          <w:sz w:val="20"/>
        </w:rPr>
        <w:t xml:space="preserve"> (3rd ed.). Jossey-Bass.</w:t>
      </w:r>
    </w:p>
    <w:p>
      <w:pPr/>
      <w:r>
        <w:rPr>
          <w:sz w:val="20"/>
        </w:rPr>
        <w:t xml:space="preserve">Mezirow, J. (1991). </w:t>
      </w:r>
      <w:r>
        <w:rPr>
          <w:i/>
          <w:sz w:val="20"/>
        </w:rPr>
        <w:t>Transformative Dimensions of Adult Learning</w:t>
      </w:r>
      <w:r>
        <w:rPr>
          <w:sz w:val="20"/>
        </w:rPr>
        <w:t>. Jossey-Bass.</w:t>
      </w:r>
    </w:p>
    <w:p>
      <w:pPr/>
      <w:r>
        <w:rPr>
          <w:sz w:val="20"/>
        </w:rPr>
        <w:t xml:space="preserve">Ostrom, E. (1990). </w:t>
      </w:r>
      <w:r>
        <w:rPr>
          <w:i/>
          <w:sz w:val="20"/>
        </w:rPr>
        <w:t>Governing the Commons: The Evolution of Institutions for Collective Action</w:t>
      </w:r>
      <w:r>
        <w:rPr>
          <w:sz w:val="20"/>
        </w:rPr>
        <w:t>. Cambridge University Press. https://doi.org/10.1017/CBO9780511807763</w:t>
      </w:r>
    </w:p>
    <w:p>
      <w:pPr/>
      <w:r>
        <w:rPr>
          <w:sz w:val="20"/>
        </w:rPr>
        <w:t xml:space="preserve">Park, D. C., Lautenschlager, G., Hedden, T., Davidson, N. S., Smith, A. D., &amp; Smith, P. K. (2002). Models of visuospatial and verbal memory across the adult life span. </w:t>
      </w:r>
      <w:r>
        <w:rPr>
          <w:i/>
          <w:sz w:val="20"/>
        </w:rPr>
        <w:t>Psychology and Aging, 17</w:t>
      </w:r>
      <w:r>
        <w:rPr>
          <w:sz w:val="20"/>
        </w:rPr>
        <w:t>(2), 299–320. https://doi.org/10.1037/0882-7974.17.2.299</w:t>
      </w:r>
    </w:p>
    <w:p>
      <w:pPr/>
      <w:r>
        <w:rPr>
          <w:sz w:val="20"/>
        </w:rPr>
        <w:t xml:space="preserve">Putnam, R. D. (2000). </w:t>
      </w:r>
      <w:r>
        <w:rPr>
          <w:i/>
          <w:sz w:val="20"/>
        </w:rPr>
        <w:t>Bowling Alone: The Collapse and Revival of American Community</w:t>
      </w:r>
      <w:r>
        <w:rPr>
          <w:sz w:val="20"/>
        </w:rPr>
        <w:t>. Simon &amp; Schuster.</w:t>
      </w:r>
    </w:p>
    <w:p>
      <w:pPr/>
      <w:r>
        <w:rPr>
          <w:sz w:val="20"/>
        </w:rPr>
        <w:t xml:space="preserve">Rogers, E. M. (2003). </w:t>
      </w:r>
      <w:r>
        <w:rPr>
          <w:i/>
          <w:sz w:val="20"/>
        </w:rPr>
        <w:t>Diffusion of Innovations</w:t>
      </w:r>
      <w:r>
        <w:rPr>
          <w:sz w:val="20"/>
        </w:rPr>
        <w:t xml:space="preserve"> (5th ed.). Free Press.</w:t>
      </w:r>
    </w:p>
    <w:p>
      <w:pPr/>
      <w:r>
        <w:rPr>
          <w:sz w:val="20"/>
        </w:rPr>
        <w:t xml:space="preserve">Salthouse, T. A. (1996). The processing-speed theory of adult age differences in cognition. </w:t>
      </w:r>
      <w:r>
        <w:rPr>
          <w:i/>
          <w:sz w:val="20"/>
        </w:rPr>
        <w:t>Psychological Review, 103</w:t>
      </w:r>
      <w:r>
        <w:rPr>
          <w:sz w:val="20"/>
        </w:rPr>
        <w:t>(3), 403–428. https://doi.org/10.1037/0033-295X.103.3.403</w:t>
      </w:r>
    </w:p>
    <w:p>
      <w:pPr/>
      <w:r>
        <w:rPr>
          <w:sz w:val="20"/>
        </w:rPr>
        <w:t xml:space="preserve">Sweller, J. (1988). Cognitive load during problem solving: Effects on learning. </w:t>
      </w:r>
      <w:r>
        <w:rPr>
          <w:i/>
          <w:sz w:val="20"/>
        </w:rPr>
        <w:t>Cognitive Science, 12</w:t>
      </w:r>
      <w:r>
        <w:rPr>
          <w:sz w:val="20"/>
        </w:rPr>
        <w:t>(2), 257–285. https://doi.org/10.1207/s15516709cog1202_4</w:t>
      </w:r>
    </w:p>
    <w:p>
      <w:pPr/>
      <w:r>
        <w:rPr>
          <w:sz w:val="20"/>
        </w:rPr>
        <w:t xml:space="preserve">Sweller, J., van Merriënboer, J. J. G., &amp; Paas, F. G. W. C. (1998). Cognitive architecture and instructional design. </w:t>
      </w:r>
      <w:r>
        <w:rPr>
          <w:i/>
          <w:sz w:val="20"/>
        </w:rPr>
        <w:t>Educational Psychology Review, 10</w:t>
      </w:r>
      <w:r>
        <w:rPr>
          <w:sz w:val="20"/>
        </w:rPr>
        <w:t>(3), 251–296. https://doi.org/10.1023/A:1022193728205</w:t>
      </w:r>
    </w:p>
    <w:p>
      <w:pPr/>
      <w:r>
        <w:rPr>
          <w:sz w:val="20"/>
        </w:rPr>
        <w:t xml:space="preserve">Waddington, H., Snilstveit, B., Hombrados, J., Vojtkova, M., Phillips, D., Davies, P., &amp; White, H. (2014). Farmer field schools for improving farming practices and farmer outcomes: A systematic review. </w:t>
      </w:r>
      <w:r>
        <w:rPr>
          <w:i/>
          <w:sz w:val="20"/>
        </w:rPr>
        <w:t>Campbell Systematic Reviews, 10</w:t>
      </w:r>
      <w:r>
        <w:rPr>
          <w:sz w:val="20"/>
        </w:rPr>
        <w:t>(1). https://doi.org/10.4073/csr.2014.6</w:t>
      </w:r>
    </w:p>
    <w:p>
      <w:pPr/>
      <w:r>
        <w:rPr>
          <w:sz w:val="20"/>
        </w:rPr>
        <w:t xml:space="preserve">Withnall, A. (2010). </w:t>
      </w:r>
      <w:r>
        <w:rPr>
          <w:i/>
          <w:sz w:val="20"/>
        </w:rPr>
        <w:t>Improving Learning in Later Life</w:t>
      </w:r>
      <w:r>
        <w:rPr>
          <w:sz w:val="20"/>
        </w:rPr>
        <w:t>. Routledge.</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