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3.svg" ContentType="image/svg+xml"/>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1"/>
      </w:pPr>
      <w:r>
        <w:t>Lectura Complementaria S1.2</w:t>
      </w:r>
    </w:p>
    <w:p>
      <w:pPr>
        <w:pStyle w:val="Ttulo2"/>
      </w:pPr>
      <w:r>
        <w:t>Facilitando el cambio en territorio: resistencia, sesgos cognitivos y adopción de innovaciones</w:t>
      </w:r>
    </w:p>
    <w:p>
      <w:pPr>
        <w:jc w:val="center"/>
      </w:pPr>
      <w:r>
        <w:rPr>
          <w:b/>
          <w:sz w:val="22"/>
        </w:rPr>
        <w:t>Coffee Biochar Academy — Módulo 01: Habilidades del extensionista rural</w:t>
      </w:r>
    </w:p>
    <w:p>
      <w:pPr>
        <w:jc w:val="center"/>
      </w:pPr>
      <w:r>
        <w:rPr>
          <w:b/>
          <w:sz w:val="22"/>
        </w:rPr>
        <w:t>Equipo Biodiversal | 2026</w:t>
      </w:r>
    </w:p>
    <w:p>
      <w:pPr>
        <w:spacing w:before="240"/>
        <w:jc w:val="center"/>
      </w:pPr>
      <w:r>
        <w:drawing>
          <wp:inline xmlns:a="http://schemas.openxmlformats.org/drawingml/2006/main" xmlns:pic="http://schemas.openxmlformats.org/drawingml/2006/picture">
            <wp:extent cx="5029200" cy="2743200"/>
            <wp:docPr id="1" name="Picture 1"/>
            <wp:cNvGraphicFramePr>
              <a:graphicFrameLocks noChangeAspect="1"/>
            </wp:cNvGraphicFramePr>
            <a:graphic>
              <a:graphicData uri="http://schemas.openxmlformats.org/drawingml/2006/picture">
                <pic:pic>
                  <pic:nvPicPr>
                    <pic:cNvPr id="0" name="S1.2_modelo_CLEAR.png"/>
                    <pic:cNvPicPr/>
                  </pic:nvPicPr>
                  <pic:blipFill>
                    <a:blip r:embed="rId12"/>
                    <a:stretch>
                      <a:fillRect/>
                    </a:stretch>
                  </pic:blipFill>
                  <pic:spPr>
                    <a:xfrm>
                      <a:off x="0" y="0"/>
                      <a:ext cx="5029200" cy="2743200"/>
                    </a:xfrm>
                    <a:prstGeom prst="rect"/>
                  </pic:spPr>
                </pic:pic>
              </a:graphicData>
            </a:graphic>
          </wp:inline>
        </w:drawing>
      </w:r>
    </w:p>
    <w:p>
      <w:pPr>
        <w:spacing w:after="280"/>
        <w:jc w:val="center"/>
      </w:pPr>
      <w:r>
        <w:rPr>
          <w:i/>
          <w:sz w:val="20"/>
        </w:rPr>
        <w:t>Figura 1. Modelo CLEAR para el diseño de experiencias de aprendizaje en extensión rural.</w:t>
      </w:r>
    </w:p>
    <w:p>
      <w:pPr>
        <w:pStyle w:val="Ttulo2"/>
      </w:pPr>
      <w:r>
        <w:t>Introducción</w:t>
      </w:r>
    </w:p>
    <w:p>
      <w:pPr/>
      <w:r>
        <w:t>El extensionista llega a la finca con una propuesta técnicamente sólida, respaldada por datos, demostrada en parcelas experimentales, y económicamente ventajosa para el productor. Y sin embargo, el caficultor dice que lo pensará. Vuelve el mes siguiente y encuentra la misma respuesta. A la tercera visita, el productor cambia de tema. ¿Qué ocurre?</w:t>
      </w:r>
    </w:p>
    <w:p>
      <w:pPr/>
      <w:r>
        <w:t>La respuesta no está en la calidad técnica de la propuesta ni en la claridad de la presentación. Está en la psicología del cambio. Los seres humanos no tomamos decisiones como calculadoras que optimizan beneficios esperados — tomamos decisiones a través de sistemas cognitivos moldeados por millones de años de evolución, experiencias personales acumuladas, y contextos sociales que asignan valor a la continuidad, la predictibilidad y la pertenencia grupal. Ignorar esta realidad es el error más frecuente — y más costoso — del extensionista bien intencionado.</w:t>
      </w:r>
    </w:p>
    <w:p>
      <w:pPr/>
      <w:r>
        <w:t>Esta lectura presenta la ciencia del cambio de comportamiento, los sesgos cognitivos que condicionan la toma de decisiones en contextos rurales, y las herramientas con mayor respaldo empírico para facilitar la adopción de innovaciones sin generar resistencia activa.</w:t>
      </w:r>
    </w:p>
    <w:p>
      <w:pPr>
        <w:pStyle w:val="Ttulo2"/>
      </w:pPr>
      <w:r>
        <w:t>1. La psicología de la resistencia al cambio</w:t>
      </w:r>
    </w:p>
    <w:p>
      <w:pPr>
        <w:pStyle w:val="Ttulo3"/>
      </w:pPr>
      <w:r>
        <w:t>1.1 Por qué el cambio es costoso: disonancia cognitiva</w:t>
      </w:r>
    </w:p>
    <w:p>
      <w:pPr/>
      <w:r>
        <w:t xml:space="preserve">Leon Festinger (1957) propuso la teoría de la </w:t>
      </w:r>
      <w:r>
        <w:rPr>
          <w:b/>
        </w:rPr>
        <w:t>disonancia cognitiva</w:t>
      </w:r>
      <w:r>
        <w:t xml:space="preserve"> para describir el malestar psicológico que experimenta una persona cuando sostiene simultáneamente dos cogniciones inconsistentes — creencias, actitudes o comportamientos que se contradicen entre sí. Cuando el extensionista propone una práctica nueva, no está simplemente añadiendo información: está introduciendo una inconsistencia potencial con la identidad del caficultor como conocedor de su oficio.</w:t>
      </w:r>
    </w:p>
    <w:p>
      <w:pPr/>
      <w:r>
        <w:t>Un caficultor que lleva 35 años manejando su suelo de cierta manera ha construido parte de su identidad profesional sobre ese saber. La propuesta de que existe una manera significativamente mejor implica, aunque nunca se diga explícitamente, que lo que ha hecho durante décadas era subóptimo. La resistencia no es irracional — es una respuesta psicológica funcional que protege la coherencia de la identidad.</w:t>
      </w:r>
    </w:p>
    <w:p>
      <w:pPr/>
      <w:r>
        <w:t>Festinger identificó tres estrategias que las personas usan para reducir la disonancia: cambiar una de las cogniciones inconsistentes (adoptar la nueva práctica), añadir cogniciones nuevas que reconcilien las contradicciones ("el biochar complementa lo que ya hago, no lo reemplaza"), o reducir la importancia de la inconsistencia ("esto quizás funcione en otros suelos, no en el mío"). El extensionista que comprende este mecanismo diseña su comunicación para activar la segunda estrategia — integración — en lugar de la primera — sustitución — que activa resistencia defensiva.</w:t>
      </w:r>
    </w:p>
    <w:p>
      <w:pPr/>
      <w:r>
        <w:t xml:space="preserve">Harmon-Jones y Mills (2019), en una revisión de 60 años de investigación sobre disonancia cognitiva publicada en </w:t>
      </w:r>
      <w:r>
        <w:rPr>
          <w:i/>
        </w:rPr>
        <w:t>Psychological Inquiry</w:t>
      </w:r>
      <w:r>
        <w:t>, confirman que el malestar producido por la disonancia es real, medible fisiológicamente, y que las personas invierten esfuerzo cognitivo considerable en resolverlo — frecuentemente a través de la racionalización post-hoc de la posición original.</w:t>
      </w:r>
    </w:p>
    <w:p>
      <w:pPr>
        <w:pStyle w:val="Ttulo3"/>
      </w:pPr>
      <w:r>
        <w:t>1.2 Aversión a la pérdida: por qué perder duele más que ganar</w:t>
      </w:r>
    </w:p>
    <w:p>
      <w:pPr/>
      <w:r>
        <w:t xml:space="preserve">Daniel Kahneman y Amos Tversky (1979) publicaron en </w:t>
      </w:r>
      <w:r>
        <w:rPr>
          <w:i/>
        </w:rPr>
        <w:t>Econometrica</w:t>
      </w:r>
      <w:r>
        <w:t xml:space="preserve"> su Teoría Prospectiva (</w:t>
      </w:r>
      <w:r>
        <w:rPr>
          <w:i/>
        </w:rPr>
        <w:t>Prospect Theory</w:t>
      </w:r>
      <w:r>
        <w:t>), que transformó la comprensión de la toma de decisiones bajo incertidumbre. El hallazgo central, replicado en cientos de estudios posteriores: las pérdidas pesan aproximadamente el doble que las ganancias equivalentes en la función de utilidad psicológica. Una pérdida de $100 produce aproximadamente el doble de malestar que una ganancia de $100 produce bienestar.</w:t>
      </w:r>
    </w:p>
    <w:p>
      <w:pPr/>
      <w:r>
        <w:t xml:space="preserve">Las implicaciones para la extensión agrícola son directas y frecuentemente subestimadas. Cuando el extensionista presenta el biochar enfatizando los beneficios — "puede aumentar su cosecha hasta un 15%" — el caficultor procesa esta información a través de su función de valor asimétrica: el beneficio potencial se siente menos urgente que el riesgo de perder los insumos invertidos, el tiempo dedicado, o la cosecha actual si algo sale mal. Thaler y Sunstein (2008), en </w:t>
      </w:r>
      <w:r>
        <w:rPr>
          <w:i/>
        </w:rPr>
        <w:t>Nudge</w:t>
      </w:r>
      <w:r>
        <w:t>, documentan extensamente cómo reformular las propuestas en términos de evitar pérdidas — en lugar de obtener ganancias — puede duplicar las tasas de adopción sin cambiar el contenido de la información.</w:t>
      </w:r>
    </w:p>
    <w:p>
      <w:pPr/>
      <w:r>
        <w:t>En contextos de subsistencia donde el margen económico es estrecho, la aversión a la pérdida es racionalmente amplificada: el caficultor que vive de su cosecha no puede permitirse el lujo de experimentar con su fuente de sustento. Feder, Just y Zilberman (1985) documentaron este fenómeno en su revisión seminal sobre adopción agrícola en países en desarrollo, encontrando que la restricción de riesgo — no la ignorancia — era la principal barrera a la adopción en sistemas de subsistencia.</w:t>
      </w:r>
    </w:p>
    <w:p>
      <w:pPr>
        <w:pStyle w:val="Ttulo3"/>
      </w:pPr>
      <w:r>
        <w:t>1.3 Sesgo del statu quo</w:t>
      </w:r>
    </w:p>
    <w:p>
      <w:pPr/>
      <w:r>
        <w:t xml:space="preserve">Samuelson y Zeckhauser (1988), en un artículo influyente publicado en el </w:t>
      </w:r>
      <w:r>
        <w:rPr>
          <w:i/>
        </w:rPr>
        <w:t>Journal of Risk and Uncertainty</w:t>
      </w:r>
      <w:r>
        <w:t xml:space="preserve">, documentaron el </w:t>
      </w:r>
      <w:r>
        <w:rPr>
          <w:b/>
        </w:rPr>
        <w:t>sesgo del statu quo</w:t>
      </w:r>
      <w:r>
        <w:t>: la tendencia sistemática a preferir el estado actual de las cosas frente a cualquier alternativa, incluso cuando el cambio sería objetivamente beneficioso. Este sesgo surge de la combinación de aversión a la pérdida, costos hundidos emocionales en las prácticas actuales, y la asimetría entre la certeza del presente y la incertidumbre del futuro.</w:t>
      </w:r>
    </w:p>
    <w:p>
      <w:pPr/>
      <w:r>
        <w:t>Para el caficultor de 60 años, el manejo actual de su finca no es solo un conjunto de técnicas — es un sistema de prácticas con décadas de ajuste y aprendizaje incorporado, cuyos resultados son conocidos aunque imperfectos. El biochar representa un sistema alternativo cuyos resultados son inciertos para él, aunque la evidencia externa sea sólida. El sesgo del statu quo no es una falla de razonamiento — es el resultado predecible de ponderar la certeza del presente contra la incertidumbre del cambio.</w:t>
      </w:r>
    </w:p>
    <w:p>
      <w:pPr>
        <w:pStyle w:val="Ttulo3"/>
      </w:pPr>
      <w:r>
        <w:t>1.4 Heurística de disponibilidad y memoria de fracasos previos</w:t>
      </w:r>
    </w:p>
    <w:p>
      <w:pPr/>
      <w:r>
        <w:t xml:space="preserve">Kahneman (2011), en </w:t>
      </w:r>
      <w:r>
        <w:rPr>
          <w:i/>
        </w:rPr>
        <w:t>Thinking, Fast and Slow</w:t>
      </w:r>
      <w:r>
        <w:t xml:space="preserve">, describe la </w:t>
      </w:r>
      <w:r>
        <w:rPr>
          <w:b/>
        </w:rPr>
        <w:t>heurística de disponibilidad</w:t>
      </w:r>
      <w:r>
        <w:t>: las personas estiman la probabilidad de un evento en función de la facilidad con que ejemplos de ese evento vienen a la mente. Los eventos vívidos, recientes o emocionalmente cargados son más "disponibles" cognitivamente y por tanto se perciben como más probables, independientemente de las estadísticas reales.</w:t>
      </w:r>
    </w:p>
    <w:p>
      <w:pPr/>
      <w:r>
        <w:t>En comunidades cafeteras colombianas, la memoria colectiva está frecuentemente poblada de innovaciones que fueron promovidas con entusiasmo y terminaron en fracaso — variedades que prometían y decepcionaron, insumos que resultaron dañinos, programas que llegaron un año y no volvieron. Esta memoria no es irracionalidad: es un sistema eficiente de aprendizaje vicario que protege a la comunidad de repetir errores colectivos. La heurística de disponibilidad convierte cada fracaso previo en un argumento psicológicamente potente contra cualquier nueva propuesta, independientemente de su mérito técnico real.</w:t>
      </w:r>
    </w:p>
    <w:p>
      <w:pPr/>
      <w:r>
        <w:t>El extensionista que desconoce la historia local de innovaciones fallidas está condenado a activar estas memorias sin saberlo. La investigación indica que reconocer explícitamente los fracasos pasados — en lugar de ignorarlos o minimizarlos — reduce la resistencia defensiva y establece credibilidad.</w:t>
      </w:r>
    </w:p>
    <w:p>
      <w:pPr>
        <w:pStyle w:val="Ttulo2"/>
      </w:pPr>
      <w:r>
        <w:t>2. Teoría del comportamiento planificado: qué predice la intención de cambiar</w:t>
      </w:r>
    </w:p>
    <w:p>
      <w:pPr/>
      <w:r>
        <w:t xml:space="preserve">Icek Ajzen (1991) propuso la </w:t>
      </w:r>
      <w:r>
        <w:rPr>
          <w:b/>
        </w:rPr>
        <w:t>Teoría del Comportamiento Planificado</w:t>
      </w:r>
      <w:r>
        <w:t xml:space="preserve"> (</w:t>
      </w:r>
      <w:r>
        <w:rPr>
          <w:i/>
        </w:rPr>
        <w:t>Theory of Planned Behavior</w:t>
      </w:r>
      <w:r>
        <w:t>, TPB) como extensión de la Teoría de la Acción Razonada de Fishbein y Ajzen (1975). La TPB es actualmente uno de los marcos teóricos más validados empíricamente para predecir el comportamiento en contextos de salud, ambiente, y adopción tecnológica.</w:t>
      </w:r>
    </w:p>
    <w:p>
      <w:pPr/>
      <w:r>
        <w:t xml:space="preserve">La teoría propone que la </w:t>
      </w:r>
      <w:r>
        <w:rPr>
          <w:b/>
        </w:rPr>
        <w:t>intención de realizar una conducta</w:t>
      </w:r>
      <w:r>
        <w:t xml:space="preserve"> — el predictor más directo del comportamiento — está determinada por tres componentes independientes:</w:t>
      </w:r>
    </w:p>
    <w:p>
      <w:pPr>
        <w:pStyle w:val="Ttulo3"/>
      </w:pPr>
      <w:r>
        <w:t>2.1 Actitud hacia la conducta</w:t>
      </w:r>
    </w:p>
    <w:p>
      <w:pPr/>
      <w:r>
        <w:t xml:space="preserve">La actitud es la evaluación favorable o desfavorable de realizar la conducta específica. Se forma a partir de las </w:t>
      </w:r>
      <w:r>
        <w:rPr>
          <w:b/>
        </w:rPr>
        <w:t>creencias conductuales</w:t>
      </w:r>
      <w:r>
        <w:t>: las creencias sobre las consecuencias probables de realizar la conducta, ponderadas por la valoración de esas consecuencias. Un caficultor que cree que el biochar mejorará su suelo (creencia) y que un suelo mejor es muy valioso para él (valoración) tendrá una actitud positiva hacia su adopción.</w:t>
      </w:r>
    </w:p>
    <w:p>
      <w:pPr/>
      <w:r>
        <w:t>La implicación instruccional es que cambiar actitudes requiere trabajar en las creencias subyacentes, no solo en las actitudes superficiales. La demostración en parcela propia — que genera experiencia directa — es más efectiva que la argumentación para cambiar las creencias conductuales.</w:t>
      </w:r>
    </w:p>
    <w:p>
      <w:pPr>
        <w:pStyle w:val="Ttulo3"/>
      </w:pPr>
      <w:r>
        <w:t>2.2 Norma subjetiva</w:t>
      </w:r>
    </w:p>
    <w:p>
      <w:pPr/>
      <w:r>
        <w:t xml:space="preserve">La norma subjetiva refleja la presión social percibida para realizar o no realizar la conducta — lo que el caficultor cree que las personas importantes para él esperan que haga. Se forma a partir de las </w:t>
      </w:r>
      <w:r>
        <w:rPr>
          <w:b/>
        </w:rPr>
        <w:t>creencias normativas</w:t>
      </w:r>
      <w:r>
        <w:t>: las creencias sobre las expectativas de referentes significativos (cónyuge, vecinos respetados, líderes comunitarios), ponderadas por la motivación de cumplir esas expectativas.</w:t>
      </w:r>
    </w:p>
    <w:p>
      <w:pPr/>
      <w:r>
        <w:t xml:space="preserve">Este componente explica por qué la adopción de innovaciones agrícolas frecuentemente ocurre en grupos sociales, no de manera individual: cuando el referente social respetado adopta, la norma subjetiva cambia para todos los que lo observan. Glenk, Fischer y Hanewinkel (2017), en una revisión publicada en </w:t>
      </w:r>
      <w:r>
        <w:rPr>
          <w:i/>
        </w:rPr>
        <w:t>Ecological Economics</w:t>
      </w:r>
      <w:r>
        <w:t>, documentaron que la norma subjetiva es el predictor más fuerte de adopción de prácticas forestales sostenibles en comunidades rurales europeas, superando a la actitud personal y al control percibido.</w:t>
      </w:r>
    </w:p>
    <w:p>
      <w:pPr>
        <w:pStyle w:val="Ttulo3"/>
      </w:pPr>
      <w:r>
        <w:t>2.3 Control conductual percibido</w:t>
      </w:r>
    </w:p>
    <w:p>
      <w:pPr/>
      <w:r>
        <w:t>El control conductual percibido es la creencia del individuo sobre su capacidad para ejecutar la conducta — análogo al concepto de auto-eficacia de Bandura. Un caficultor que duda de su capacidad para construir correctamente un horno Kon-Tiki tiene bajo control conductual percibido, independientemente de su actitud positiva hacia el biochar.</w:t>
      </w:r>
    </w:p>
    <w:p>
      <w:pPr/>
      <w:r>
        <w:t xml:space="preserve">Ajzen (1991) propuso que el control conductual percibido influye en la intención y también directamente en el comportamiento, especialmente cuando refleja con precisión el control real. Armitage y Conner (2001), en un meta-análisis de 185 estudios publicado en el </w:t>
      </w:r>
      <w:r>
        <w:rPr>
          <w:i/>
        </w:rPr>
        <w:t>British Journal of Social Psychology</w:t>
      </w:r>
      <w:r>
        <w:t>, encontraron que la TPB predice el 39% de la varianza en la intención de conducta y el 27% de la varianza en el comportamiento, con el control conductual percibido como el predictor más robusto en contextos de alta complejidad técnica.</w:t>
      </w:r>
    </w:p>
    <w:p>
      <w:pPr>
        <w:pStyle w:val="Ttulo2"/>
      </w:pPr>
      <w:r>
        <w:t>3. Entrevista motivacional: la ciencia de evocar el cambio sin imponerlo</w:t>
      </w:r>
    </w:p>
    <w:p>
      <w:pPr>
        <w:pStyle w:val="Ttulo3"/>
      </w:pPr>
      <w:r>
        <w:t>3.1 Origen y fundamentos</w:t>
      </w:r>
    </w:p>
    <w:p>
      <w:pPr/>
      <w:r>
        <w:t xml:space="preserve">William Miller y Stephen Rollnick desarrollaron la </w:t>
      </w:r>
      <w:r>
        <w:rPr>
          <w:b/>
        </w:rPr>
        <w:t>Entrevista Motivacional</w:t>
      </w:r>
      <w:r>
        <w:t xml:space="preserve"> (</w:t>
      </w:r>
      <w:r>
        <w:rPr>
          <w:i/>
        </w:rPr>
        <w:t>Motivational Interviewing</w:t>
      </w:r>
      <w:r>
        <w:t xml:space="preserve">, MI) en el contexto del tratamiento de adicciones durante los años 1980, publicando su formulación clásica en </w:t>
      </w:r>
      <w:r>
        <w:rPr>
          <w:i/>
        </w:rPr>
        <w:t>Motivational Interviewing: Helping People Change</w:t>
      </w:r>
      <w:r>
        <w:t xml:space="preserve"> (2013, 3ª edición). Aunque su origen es clínico, la MI ha sido adaptada con creciente evidencia empírica a contextos de salud pública, cambio ambiental, y extensión agrícola.</w:t>
      </w:r>
    </w:p>
    <w:p>
      <w:pPr/>
      <w:r>
        <w:t xml:space="preserve">La premisa central de la MI es directamente contraintuitiva para el extensionista formado en el modelo de transferencia tecnológica: </w:t>
      </w:r>
      <w:r>
        <w:rPr>
          <w:b/>
        </w:rPr>
        <w:t>el cambio durable no puede imponerse desde afuera — solo puede evocarse desde adentro</w:t>
      </w:r>
      <w:r>
        <w:t>. Las personas cambian cuando ellas mismas articulan sus propias razones para cambiar, no cuando un técnico externo les explica por qué deberían hacerlo.</w:t>
      </w:r>
    </w:p>
    <w:p>
      <w:pPr/>
      <w:r>
        <w:t>Miller y Rollnick (2013) definen la MI como "un estilo de conversación colaborativo y orientado a metas, que presta particular atención al lenguaje del cambio, diseñado para fortalecer la motivación personal y el compromiso con un objetivo específico."</w:t>
      </w:r>
    </w:p>
    <w:p>
      <w:pPr>
        <w:pStyle w:val="Ttulo3"/>
      </w:pPr>
      <w:r>
        <w:t>3.2 El reflejo de corrección: el error más frecuente del extensionista</w:t>
      </w:r>
    </w:p>
    <w:p>
      <w:pPr/>
      <w:r>
        <w:t xml:space="preserve">Miller y Rollnick denominan </w:t>
      </w:r>
      <w:r>
        <w:rPr>
          <w:b/>
        </w:rPr>
        <w:t>reflejo de corrección</w:t>
      </w:r>
      <w:r>
        <w:t xml:space="preserve"> (</w:t>
      </w:r>
      <w:r>
        <w:rPr>
          <w:i/>
        </w:rPr>
        <w:t>righting reflex</w:t>
      </w:r>
      <w:r>
        <w:t>) la tendencia del profesional bien intencionado a querer corregir al cliente cuando percibe un problema, ofreciendo razones, argumentos y consejos no solicitados. Este reflejo es comprensible — el extensionista ve el problema con claridad y quiere ayudar — pero contraproducente: activa la resistencia psicológica del interlocutor.</w:t>
      </w:r>
    </w:p>
    <w:p>
      <w:pPr/>
      <w:r>
        <w:t xml:space="preserve">La investigación sobre persuasión documenta el fenómeno de </w:t>
      </w:r>
      <w:r>
        <w:rPr>
          <w:b/>
        </w:rPr>
        <w:t>reactancia psicológica</w:t>
      </w:r>
      <w:r>
        <w:t xml:space="preserve"> (Brehm, 1966): cuando las personas perciben que su libertad de elegir está siendo amenazada, experimentan un impulso a restaurar esa libertad — frecuentemente adoptando la posición contraria a la que se les propone. El extensionista que argumenta insistentemente a favor del biochar puede estar generando activamente resistencia hacia él.</w:t>
      </w:r>
    </w:p>
    <w:p>
      <w:pPr>
        <w:pStyle w:val="Ttulo3"/>
      </w:pPr>
      <w:r>
        <w:t>3.3 Los cuatro procesos de la MI</w:t>
      </w:r>
    </w:p>
    <w:p>
      <w:pPr/>
      <w:r>
        <w:t>Miller y Rollnick (2013) organizan la MI en cuatro procesos secuenciales pero no lineales:</w:t>
      </w:r>
    </w:p>
    <w:p>
      <w:pPr/>
      <w:r>
        <w:rPr>
          <w:b/>
        </w:rPr>
        <w:t>Enganchar</w:t>
      </w:r>
      <w:r>
        <w:t xml:space="preserve"> (</w:t>
      </w:r>
      <w:r>
        <w:rPr>
          <w:i/>
        </w:rPr>
        <w:t>Engage</w:t>
      </w:r>
      <w:r>
        <w:t>): Establecer una relación de trabajo colaborativa y confiable. Sin esta base, los procesos posteriores no funcionan. En el contexto cafetero, esto corresponde a las primeras visitas donde el extensionista escucha más de lo que habla, conoce la historia de la finca, reconoce el conocimiento del productor.</w:t>
      </w:r>
    </w:p>
    <w:p>
      <w:pPr/>
      <w:r>
        <w:rPr>
          <w:b/>
        </w:rPr>
        <w:t>Enfocar</w:t>
      </w:r>
      <w:r>
        <w:t xml:space="preserve"> (</w:t>
      </w:r>
      <w:r>
        <w:rPr>
          <w:i/>
        </w:rPr>
        <w:t>Focus</w:t>
      </w:r>
      <w:r>
        <w:t>): Desarrollar y mantener una dirección específica en la conversación. No todas las conversaciones tienen dirección clara — la MI implica acordar con el interlocutor el tema sobre el que se trabajará.</w:t>
      </w:r>
    </w:p>
    <w:p>
      <w:pPr/>
      <w:r>
        <w:rPr>
          <w:b/>
        </w:rPr>
        <w:t>Evocar</w:t>
      </w:r>
      <w:r>
        <w:t xml:space="preserve"> (</w:t>
      </w:r>
      <w:r>
        <w:rPr>
          <w:i/>
        </w:rPr>
        <w:t>Evoke</w:t>
      </w:r>
      <w:r>
        <w:t>): Elicitar del propio interlocutor sus motivaciones, valores y razones para cambiar. Esta es la fase central de la MI. El extensionista hace preguntas que invitan al caficultor a articular sus propias razones para adoptar la práctica — no que el extensionista las argumente en su lugar.</w:t>
      </w:r>
    </w:p>
    <w:p>
      <w:pPr/>
      <w:r>
        <w:rPr>
          <w:b/>
        </w:rPr>
        <w:t>Planear</w:t>
      </w:r>
      <w:r>
        <w:t xml:space="preserve"> (</w:t>
      </w:r>
      <w:r>
        <w:rPr>
          <w:i/>
        </w:rPr>
        <w:t>Plan</w:t>
      </w:r>
      <w:r>
        <w:t>): Una vez que la motivación está presente, desarrollar un plan de acción concreto. La MI distingue claramente entre fortalecer la motivación (evocación) y desarrollar el plan — saltar al plan cuando la motivación no está consolidada produce planes que no se ejecutan.</w:t>
      </w:r>
    </w:p>
    <w:p>
      <w:pPr>
        <w:pStyle w:val="Ttulo3"/>
      </w:pPr>
      <w:r>
        <w:t>3.4 Herramientas clave: preguntas abiertas, escucha reflexiva, resumen</w:t>
      </w:r>
    </w:p>
    <w:p>
      <w:pPr/>
      <w:r>
        <w:t xml:space="preserve">Las técnicas centrales de la MI son conceptualmente simples pero requieren práctica deliberada para ejecutarse con fluidez. Las </w:t>
      </w:r>
      <w:r>
        <w:rPr>
          <w:b/>
        </w:rPr>
        <w:t>preguntas abiertas</w:t>
      </w:r>
      <w:r>
        <w:t xml:space="preserve"> — que no pueden responderse con sí o no — invitan al interlocutor a explorar su pensamiento: "¿Qué cambiaría para usted si su suelo retuviera más agua?" Las </w:t>
      </w:r>
      <w:r>
        <w:rPr>
          <w:b/>
        </w:rPr>
        <w:t>afirmaciones</w:t>
      </w:r>
      <w:r>
        <w:t xml:space="preserve"> reconocen fortalezas y esfuerzos reales del interlocutor, construyendo auto-eficacia. La </w:t>
      </w:r>
      <w:r>
        <w:rPr>
          <w:b/>
        </w:rPr>
        <w:t>escucha reflexiva</w:t>
      </w:r>
      <w:r>
        <w:t xml:space="preserve"> — reflejar de vuelta lo que el interlocutor ha dicho, con o sin ampliación — comunica comprensión genuina y frecuentemente lleva al interlocutor a profundizar su propio pensamiento. Los </w:t>
      </w:r>
      <w:r>
        <w:rPr>
          <w:b/>
        </w:rPr>
        <w:t>resúmenes</w:t>
      </w:r>
      <w:r>
        <w:t xml:space="preserve"> recogen y conectan lo que se ha explorado, permitiendo al interlocutor escuchar sus propias palabras organizadas.</w:t>
      </w:r>
    </w:p>
    <w:p>
      <w:pPr/>
      <w:r>
        <w:t xml:space="preserve">Lundahl et al. (2010), en un meta-análisis de 119 estudios sobre MI publicado en el </w:t>
      </w:r>
      <w:r>
        <w:rPr>
          <w:i/>
        </w:rPr>
        <w:t>Journal of Consulting and Clinical Psychology</w:t>
      </w:r>
      <w:r>
        <w:t>, encontraron efectos positivos significativos en cambio de comportamiento en el 74% de los estudios incluidos, con efectos de tamaño moderado (d = 0.28–0.55) sobre una amplia gama de conductas. La MI fue consistentemente más efectiva que el consejo simple o la no intervención.</w:t>
      </w:r>
    </w:p>
    <w:p>
      <w:pPr>
        <w:pStyle w:val="Ttulo2"/>
      </w:pPr>
      <w:r>
        <w:t>4. Liderazgo situacional: adaptar el estilo al nivel de preparación del agricultor</w:t>
      </w:r>
    </w:p>
    <w:p>
      <w:pPr/>
      <w:r>
        <w:t xml:space="preserve">Paul Hersey y Ken Blanchard (1969) desarrollaron el modelo de </w:t>
      </w:r>
      <w:r>
        <w:rPr>
          <w:b/>
        </w:rPr>
        <w:t>Liderazgo Situacional</w:t>
      </w:r>
      <w:r>
        <w:t xml:space="preserve"> (</w:t>
      </w:r>
      <w:r>
        <w:rPr>
          <w:i/>
        </w:rPr>
        <w:t>Situational Leadership</w:t>
      </w:r>
      <w:r>
        <w:t xml:space="preserve">), que postula que no existe un único estilo de liderazgo efectivo — el estilo óptimo depende del nivel de desarrollo del seguidor en la tarea específica. El modelo define el nivel de desarrollo en función de dos dimensiones: </w:t>
      </w:r>
      <w:r>
        <w:rPr>
          <w:b/>
        </w:rPr>
        <w:t>competencia</w:t>
      </w:r>
      <w:r>
        <w:t xml:space="preserve"> (conocimiento y habilidades) y </w:t>
      </w:r>
      <w:r>
        <w:rPr>
          <w:b/>
        </w:rPr>
        <w:t>compromiso</w:t>
      </w:r>
      <w:r>
        <w:t xml:space="preserve"> (motivación y confianza).</w:t>
      </w:r>
    </w:p>
    <w:p>
      <w:pPr/>
      <w:r>
        <w:t>En extensión agrícola, el "seguidor" es el caficultor y la "tarea" es la práctica específica que se introduce. Un caficultor que nunca ha escuchado hablar del biochar tiene baja competencia y puede tener bajo compromiso (no conoce el beneficio). Uno que ha escuchado hablar pero nunca practicado puede tener compromiso creciente pero competencia aún baja. Uno que ha experimentado en una parcela pequeña tiene competencia en desarrollo y compromiso variable. Uno que ha adoptado plenamente tiene alta competencia y alto compromiso.</w:t>
      </w:r>
    </w:p>
    <w:p>
      <w:pPr/>
      <w:r>
        <w:t>Blanchard, Zigarmi y Zigarmi (2013) proponen cuatro estilos correspondientes:</w:t>
      </w:r>
    </w:p>
    <w:p>
      <w:pPr/>
      <w:r>
        <w:rPr>
          <w:b/>
        </w:rPr>
        <w:t>Dirigir</w:t>
      </w:r>
      <w:r>
        <w:t xml:space="preserve"> (</w:t>
      </w:r>
      <w:r>
        <w:rPr>
          <w:i/>
        </w:rPr>
        <w:t>Directing</w:t>
      </w:r>
      <w:r>
        <w:t>): Alta tarea, bajo apoyo relacional. Apropiado cuando el aprendiz tiene baja competencia y bajo compromiso. El extensionista proporciona instrucciones claras, específicas y detalladas, con supervisión cercana. No es el momento para la exploración abierta.</w:t>
      </w:r>
    </w:p>
    <w:p>
      <w:pPr/>
      <w:r>
        <w:rPr>
          <w:b/>
        </w:rPr>
        <w:t>Entrenar</w:t>
      </w:r>
      <w:r>
        <w:t xml:space="preserve"> (</w:t>
      </w:r>
      <w:r>
        <w:rPr>
          <w:i/>
        </w:rPr>
        <w:t>Coaching</w:t>
      </w:r>
      <w:r>
        <w:t xml:space="preserve">): Alta tarea, alto apoyo relacional. Apropiado cuando el aprendiz tiene algo de competencia pero compromiso aún bajo o variable. El extensionista explica el </w:t>
      </w:r>
      <w:r>
        <w:rPr>
          <w:i/>
        </w:rPr>
        <w:t>por qué</w:t>
      </w:r>
      <w:r>
        <w:t>, solicita retroalimentación y celebra el progreso.</w:t>
      </w:r>
    </w:p>
    <w:p>
      <w:pPr/>
      <w:r>
        <w:rPr>
          <w:b/>
        </w:rPr>
        <w:t>Apoyar</w:t>
      </w:r>
      <w:r>
        <w:t xml:space="preserve"> (</w:t>
      </w:r>
      <w:r>
        <w:rPr>
          <w:i/>
        </w:rPr>
        <w:t>Supporting</w:t>
      </w:r>
      <w:r>
        <w:t>): Baja tarea, alto apoyo relacional. Apropiado cuando el aprendiz tiene competencia pero el compromiso fluctúa. El extensionista facilita la resolución de problemas, escucha, y anima — la competencia técnica ya está, lo que falta es confianza.</w:t>
      </w:r>
    </w:p>
    <w:p>
      <w:pPr/>
      <w:r>
        <w:rPr>
          <w:b/>
        </w:rPr>
        <w:t>Delegar</w:t>
      </w:r>
      <w:r>
        <w:t xml:space="preserve"> (</w:t>
      </w:r>
      <w:r>
        <w:rPr>
          <w:i/>
        </w:rPr>
        <w:t>Delegating</w:t>
      </w:r>
      <w:r>
        <w:t>): Baja tarea, bajo apoyo relacional. Apropiado cuando el aprendiz tiene alta competencia y alto compromiso. El extensionista confía la responsabilidad y se retira gradualmente. En extensión, este es el momento en que el agricultor adoptante se convierte en modelo para sus vecinos.</w:t>
      </w:r>
    </w:p>
    <w:p>
      <w:pPr/>
      <w:r>
        <w:t>El error más frecuente es aplicar el estilo equivocado: usar "delegar" con un novato (sin instrucción suficiente) o usar "dirigir" con un experto (que lo percibe como falta de confianza en su criterio).</w:t>
      </w:r>
    </w:p>
    <w:p>
      <w:pPr>
        <w:pStyle w:val="Ttulo2"/>
      </w:pPr>
      <w:r>
        <w:t>5. Disciplina profesional y autorregulación del extensionista</w:t>
      </w:r>
    </w:p>
    <w:p>
      <w:pPr>
        <w:pStyle w:val="Ttulo3"/>
      </w:pPr>
      <w:r>
        <w:t>5.1 La fatiga de decisión en el trabajo de campo</w:t>
      </w:r>
    </w:p>
    <w:p>
      <w:pPr/>
      <w:r>
        <w:t xml:space="preserve">El trabajo del extensionista implica una sucesión de decisiones complejas a lo largo de jornadas largas en condiciones físicamente exigentes: cómo abordar este productor, cómo responder a su objeción, cómo manejar el conflicto en la reunión comunitaria, qué registrar en la app, cómo manejar el tiempo con cuatro visitas pendientes. Baumeister et al. (1998), en un artículo seminal publicado en el </w:t>
      </w:r>
      <w:r>
        <w:rPr>
          <w:i/>
        </w:rPr>
        <w:t>Journal of Personality and Social Psychology</w:t>
      </w:r>
      <w:r>
        <w:t xml:space="preserve">, propusieron que la autorregulación — la capacidad de controlar pensamientos, emociones e impulsos — opera como un recurso que se agota con el uso, fenómeno que denominaron </w:t>
      </w:r>
      <w:r>
        <w:rPr>
          <w:b/>
        </w:rPr>
        <w:t>agotamiento del ego</w:t>
      </w:r>
      <w:r>
        <w:t xml:space="preserve"> (</w:t>
      </w:r>
      <w:r>
        <w:rPr>
          <w:i/>
        </w:rPr>
        <w:t>ego depletion</w:t>
      </w:r>
      <w:r>
        <w:t>).</w:t>
      </w:r>
    </w:p>
    <w:p>
      <w:pPr/>
      <w:r>
        <w:t xml:space="preserve">La fatiga de decisión tiene consecuencias documentadas: Danziger, Levav e Avnaim-Pesso (2011), en un estudio sobre decisiones judiciales publicado en </w:t>
      </w:r>
      <w:r>
        <w:rPr>
          <w:i/>
        </w:rPr>
        <w:t>PNAS</w:t>
      </w:r>
      <w:r>
        <w:t>, encontraron que los jueces tendían a conceder libertad condicional con mayor frecuencia al inicio de cada sesión y después de los descansos, y a tomar decisiones más conservadoras (mantener en prisión) al final de los periodos — patrón consistente con el agotamiento del recurso de autorregulación. El extensionista que programa visitas difíciles al final de la jornada, cuando sus recursos de autorregulación están agotados, está en desventaja sistemática.</w:t>
      </w:r>
    </w:p>
    <w:p>
      <w:pPr>
        <w:pStyle w:val="Ttulo3"/>
      </w:pPr>
      <w:r>
        <w:t>5.2 Hábitos y sistemas: la ciencia de la consistencia profesional</w:t>
      </w:r>
    </w:p>
    <w:p>
      <w:pPr/>
      <w:r>
        <w:t xml:space="preserve">James Clear (2018), en </w:t>
      </w:r>
      <w:r>
        <w:rPr>
          <w:i/>
        </w:rPr>
        <w:t>Atomic Habits</w:t>
      </w:r>
      <w:r>
        <w:t>, sistematiza la investigación sobre formación de hábitos y propone que los comportamientos duraderos se construyen a través de sistemas, no de metas. La distinción es relevante para el extensionista: la meta "visitar 10 fincas esta semana" es más frágil que el sistema "visitar 2 fincas cada mañana de lunes a viernes antes del mediodía."</w:t>
      </w:r>
    </w:p>
    <w:p>
      <w:pPr/>
      <w:r>
        <w:t xml:space="preserve">Duhigg (2012), en </w:t>
      </w:r>
      <w:r>
        <w:rPr>
          <w:i/>
        </w:rPr>
        <w:t>The Power of Habit</w:t>
      </w:r>
      <w:r>
        <w:t>, describe el bucle del hábito: señal → rutina → recompensa. Los hábitos profesionales del extensionista — cómo inicia cada visita, cómo registra los datos, cómo cierra la conversación — pueden diseñarse deliberadamente siguiendo este bucle para reducir la carga cognitiva de la práctica profesional repetida.</w:t>
      </w:r>
    </w:p>
    <w:p>
      <w:pPr/>
      <w:r>
        <w:t xml:space="preserve">Wood y Neal (2007), en una revisión publicada en </w:t>
      </w:r>
      <w:r>
        <w:rPr>
          <w:i/>
        </w:rPr>
        <w:t>Psychological Review</w:t>
      </w:r>
      <w:r>
        <w:t>, documentan que los hábitos se forman más rápidamente en contextos estables y se mantienen con menor esfuerzo consciente en esos mismos contextos. La variabilidad del contexto del trabajo de campo — cada finca diferente, cada productor diferente — hace que los hábitos sean más difíciles de mantener pero más necesarios como ancla de la práctica profesional.</w:t>
      </w:r>
    </w:p>
    <w:p>
      <w:pPr>
        <w:pStyle w:val="Ttulo3"/>
      </w:pPr>
      <w:r>
        <w:t>5.3 Inteligencia emocional en el trabajo de campo</w:t>
      </w:r>
    </w:p>
    <w:p>
      <w:pPr/>
      <w:r>
        <w:t xml:space="preserve">Goleman (1995), en </w:t>
      </w:r>
      <w:r>
        <w:rPr>
          <w:i/>
        </w:rPr>
        <w:t>Emotional Intelligence</w:t>
      </w:r>
      <w:r>
        <w:t>, popularizó el concepto y su relevancia para el desempeño profesional. La investigación posterior de Mayer, Salovey y Caruso (2004) — los autores del modelo de cuatro ramas de inteligencia emocional — la define como la capacidad de percibir, usar, comprender y manejar emociones propias y ajenas.</w:t>
      </w:r>
    </w:p>
    <w:p>
      <w:pPr/>
      <w:r>
        <w:t xml:space="preserve">Para el extensionista, la inteligencia emocional tiene implicaciones concretas. La </w:t>
      </w:r>
      <w:r>
        <w:rPr>
          <w:b/>
        </w:rPr>
        <w:t>conciencia emocional propia</w:t>
      </w:r>
      <w:r>
        <w:t xml:space="preserve"> — reconocer cuándo la frustración ante la resistencia del productor está afectando la calidad de la conversación — permite intervenir antes de que el deterioro relacional sea irreparable. La </w:t>
      </w:r>
      <w:r>
        <w:rPr>
          <w:b/>
        </w:rPr>
        <w:t>empatía</w:t>
      </w:r>
      <w:r>
        <w:t xml:space="preserve"> — la capacidad de comprender la perspectiva emocional del productor que resiste — es la base de la MI y del liderazgo situacional. La </w:t>
      </w:r>
      <w:r>
        <w:rPr>
          <w:b/>
        </w:rPr>
        <w:t>regulación emocional</w:t>
      </w:r>
      <w:r>
        <w:t xml:space="preserve"> — mantener la calma en conversaciones difíciles — es un recurso que se agota con el uso (como documenta la investigación sobre ego depletion) y que requiere recuperación deliberada.</w:t>
      </w:r>
    </w:p>
    <w:p>
      <w:pPr>
        <w:pStyle w:val="Ttulo2"/>
      </w:pPr>
      <w:r>
        <w:t>6. Comunicación persuasiva basada en evidencia</w:t>
      </w:r>
    </w:p>
    <w:p>
      <w:pPr>
        <w:pStyle w:val="Ttulo3"/>
      </w:pPr>
      <w:r>
        <w:t>6.1 La jerarquía de credibilidad en comunidades rurales</w:t>
      </w:r>
    </w:p>
    <w:p>
      <w:pPr/>
      <w:r>
        <w:t xml:space="preserve">Cialdini (2007), en </w:t>
      </w:r>
      <w:r>
        <w:rPr>
          <w:i/>
        </w:rPr>
        <w:t>Influence: The Psychology of Persuasion</w:t>
      </w:r>
      <w:r>
        <w:t>, identifica seis principios de influencia social con amplio respaldo experimental: reciprocidad, compromiso y consistencia, prueba social, autoridad, gusto y escasez. En contextos rurales, dos de estos principios tienen especial relevancia.</w:t>
      </w:r>
    </w:p>
    <w:p>
      <w:pPr/>
      <w:r>
        <w:t xml:space="preserve">La </w:t>
      </w:r>
      <w:r>
        <w:rPr>
          <w:b/>
        </w:rPr>
        <w:t>prueba social</w:t>
      </w:r>
      <w:r>
        <w:t xml:space="preserve"> — la tendencia a considerar una conducta más apropiada cuando se observa que otros la realizan — es el mecanismo que explica el poder de los adoptantes tempranos como vectores de difusión. Cuando el caficultor respetado de la vereda tiene una parcela de biochar visible y productiva, esto actúa como prueba social poderosa para el resto de la comunidad — más poderosa que cualquier argumento técnico del extensionista.</w:t>
      </w:r>
    </w:p>
    <w:p>
      <w:pPr/>
      <w:r>
        <w:t xml:space="preserve">La </w:t>
      </w:r>
      <w:r>
        <w:rPr>
          <w:b/>
        </w:rPr>
        <w:t>autoridad</w:t>
      </w:r>
      <w:r>
        <w:t xml:space="preserve"> — la tendencia a seguir el consejo de quienes se perciben como expertos legítimos — funciona de manera específica en comunidades rurales. La percepción de autoridad del extensionista no deriva automáticamente de su formación técnica, sino de su demostrada comprensión del contexto local, su historial de recomendaciones que resultaron correctas, y su disposición a reconocer los límites de su conocimiento.</w:t>
      </w:r>
    </w:p>
    <w:p>
      <w:pPr>
        <w:pStyle w:val="Ttulo3"/>
      </w:pPr>
      <w:r>
        <w:t>6.2 Encuadre de mensajes: pérdidas versus ganancias</w:t>
      </w:r>
    </w:p>
    <w:p>
      <w:pPr/>
      <w:r>
        <w:t xml:space="preserve">Rothman y Salovey (1997), en </w:t>
      </w:r>
      <w:r>
        <w:rPr>
          <w:i/>
        </w:rPr>
        <w:t>Psychological Bulletin</w:t>
      </w:r>
      <w:r>
        <w:t>, demostraron que el encuadre de los mensajes — presentar la misma información como ganancia o como pérdida evitada — afecta significativamente la persuasión. En conductas con alta incertidumbre percibida (como adoptar una práctica nueva), los mensajes enmarcados en términos de pérdida son más efectivos. En conductas con baja incertidumbre, los mensajes de ganancia funcionan mejor.</w:t>
      </w:r>
    </w:p>
    <w:p>
      <w:pPr/>
      <w:r>
        <w:t>Para la introducción del biochar, esto sugiere que en las etapas iniciales — cuando la incertidumbre es alta — mensajes como "los suelos que no reciben enmiendas orgánicas están perdiendo progresivamente su capacidad productiva" pueden ser más persuasivos que "el biochar puede aumentar su rendimiento hasta un 15%." Ambas afirmaciones son verídicas; el encuadre determina cuál activa la función de valor del oyente de manera más efectiva.</w:t>
      </w:r>
    </w:p>
    <w:p>
      <w:pPr>
        <w:pStyle w:val="Ttulo2"/>
      </w:pPr>
      <w:r>
        <w:t>7. Síntesis: el modelo CLEAR para facilitar el cambio en territorio</w:t>
      </w:r>
    </w:p>
    <w:p>
      <w:pPr/>
      <w:r>
        <w:t xml:space="preserve">Integrando los marcos teóricos revisados, se propone el modelo </w:t>
      </w:r>
      <w:r>
        <w:rPr>
          <w:b/>
        </w:rPr>
        <w:t>CLEAR</w:t>
      </w:r>
      <w:r>
        <w:t xml:space="preserve"> como guía operativa para el extensionista en el trabajo de campo:</w:t>
      </w:r>
    </w:p>
    <w:p>
      <w:pPr/>
      <w:r>
        <w:rPr>
          <w:b/>
        </w:rPr>
        <w:t>C — Conocer el contexto relacional y la historia de innovaciones previas.</w:t>
      </w:r>
      <w:r>
        <w:t xml:space="preserve"> Antes de proponer, investigar. ¿Qué innovaciones se han intentado en esta comunidad? ¿Cuáles fallaron y por qué? ¿Quiénes son los referentes sociales cuya opinión pesa? Esta fase activa el capital social y reduce la activación de la heurística de disponibilidad negativa.</w:t>
      </w:r>
    </w:p>
    <w:p>
      <w:pPr/>
      <w:r>
        <w:rPr>
          <w:b/>
        </w:rPr>
        <w:t>L — Liderar con escucha, no con argumentos.</w:t>
      </w:r>
      <w:r>
        <w:t xml:space="preserve"> Aplicar los principios de la MI: preguntas abiertas, escucha reflexiva, evitar el reflejo de corrección. El objetivo de las primeras conversaciones es comprender — no persuadir. La persuasión viene después, cuando el interlocutor ha articulado sus propias razones para considerar el cambio.</w:t>
      </w:r>
    </w:p>
    <w:p>
      <w:pPr/>
      <w:r>
        <w:rPr>
          <w:b/>
        </w:rPr>
        <w:t>E — Evocar las motivaciones internas del productor.</w:t>
      </w:r>
      <w:r>
        <w:t xml:space="preserve"> Preguntar por sus preocupaciones reales sobre su suelo, su cafetal, su futuro en la agricultura. Conectar la propuesta con los valores y metas que el propio productor ha expresado — no con los que el extensionista asume que debería tener.</w:t>
      </w:r>
    </w:p>
    <w:p>
      <w:pPr/>
      <w:r>
        <w:rPr>
          <w:b/>
        </w:rPr>
        <w:t>A — Adaptar el estilo al nivel de preparación.</w:t>
      </w:r>
      <w:r>
        <w:t xml:space="preserve"> Aplicar el liderazgo situacional: diagnóstico honesto de la competencia y el compromiso actuales del productor frente a la práctica específica, y selección del estilo instruccional correspondiente.</w:t>
      </w:r>
    </w:p>
    <w:p>
      <w:pPr/>
      <w:r>
        <w:rPr>
          <w:b/>
        </w:rPr>
        <w:t>R — Reducir el riesgo percibido con evidencia local y prueba a pequeña escala.</w:t>
      </w:r>
      <w:r>
        <w:t xml:space="preserve"> Diseñar la prueba inicial de manera que la aversión a la pérdida sea mínima: pequeña escala, materiales que el productor ya tiene, proceso acompañado, resultados verificables en el corto plazo. La observabilidad es el argumento más poderoso.</w:t>
      </w:r>
    </w:p>
    <w:p>
      <w:pPr>
        <w:pStyle w:val="Ttulo2"/>
      </w:pPr>
      <w:r>
        <w:t>Conclusión</w:t>
      </w:r>
    </w:p>
    <w:p>
      <w:pPr/>
      <w:r>
        <w:t>La resistencia al cambio no es un defecto del caficultor — es el resultado predecible de sistemas cognitivos adaptativos operando en contextos de incertidumbre y recursos limitados. El extensionista que comprende la disonancia cognitiva, la aversión a la pérdida, el sesgo del statu quo y la heurística de disponibilidad no juzga la resistencia como obstáculo a vencer — la reconoce como información sobre el estado psicológico del interlocutor y como punto de partida para un diálogo genuino.</w:t>
      </w:r>
    </w:p>
    <w:p>
      <w:pPr/>
      <w:r>
        <w:t>Las herramientas presentadas en esta lectura — la Teoría del Comportamiento Planificado, la Entrevista Motivacional, el Liderazgo Situacional, y los principios de comunicación persuasiva — no son técnicas de manipulación. Son marcos que permiten al extensionista honrar la autonomía del productor mientras crea las condiciones para que el cambio emerja de manera durable desde la propia convicción del caficultor.</w:t>
      </w:r>
    </w:p>
    <w:p>
      <w:pPr/>
      <w:r>
        <w:t>Un cambio impuesto dura lo que dura la supervisión. Un cambio evocado dura lo que dura el beneficio percibido — que, en el caso del biochar bien aplicado, son décadas.</w:t>
      </w:r>
    </w:p>
    <w:p>
      <w:pPr>
        <w:pStyle w:val="Ttulo2"/>
      </w:pPr>
      <w:r>
        <w:t>Referencias</w:t>
      </w:r>
    </w:p>
    <w:p>
      <w:pPr/>
      <w:r>
        <w:rPr>
          <w:sz w:val="20"/>
        </w:rPr>
        <w:t xml:space="preserve">Ajzen, I. (1991). The theory of planned behavior. </w:t>
      </w:r>
      <w:r>
        <w:rPr>
          <w:i/>
          <w:sz w:val="20"/>
        </w:rPr>
        <w:t>Organizational Behavior and Human Decision Processes, 50</w:t>
      </w:r>
      <w:r>
        <w:rPr>
          <w:sz w:val="20"/>
        </w:rPr>
        <w:t>(2), 179–211. https://doi.org/10.1016/0749-5978(91)90020-T</w:t>
      </w:r>
    </w:p>
    <w:p>
      <w:pPr/>
      <w:r>
        <w:rPr>
          <w:sz w:val="20"/>
        </w:rPr>
        <w:t xml:space="preserve">Armitage, C. J., &amp; Conner, M. (2001). Efficacy of the theory of planned behaviour: A meta-analytic review. </w:t>
      </w:r>
      <w:r>
        <w:rPr>
          <w:i/>
          <w:sz w:val="20"/>
        </w:rPr>
        <w:t>British Journal of Social Psychology, 40</w:t>
      </w:r>
      <w:r>
        <w:rPr>
          <w:sz w:val="20"/>
        </w:rPr>
        <w:t>(4), 471–499. https://doi.org/10.1348/014466601164939</w:t>
      </w:r>
    </w:p>
    <w:p>
      <w:pPr/>
      <w:r>
        <w:rPr>
          <w:sz w:val="20"/>
        </w:rPr>
        <w:t xml:space="preserve">Baumeister, R. F., Bratslavsky, E., Muraven, M., &amp; Tice, D. M. (1998). Ego depletion: Is the active self a limited resource? </w:t>
      </w:r>
      <w:r>
        <w:rPr>
          <w:i/>
          <w:sz w:val="20"/>
        </w:rPr>
        <w:t>Journal of Personality and Social Psychology, 74</w:t>
      </w:r>
      <w:r>
        <w:rPr>
          <w:sz w:val="20"/>
        </w:rPr>
        <w:t>(5), 1252–1265. https://doi.org/10.1037/0022-3514.74.5.1252</w:t>
      </w:r>
    </w:p>
    <w:p>
      <w:pPr/>
      <w:r>
        <w:rPr>
          <w:sz w:val="20"/>
        </w:rPr>
        <w:t xml:space="preserve">Blanchard, K., Zigarmi, P., &amp; Zigarmi, D. (2013). </w:t>
      </w:r>
      <w:r>
        <w:rPr>
          <w:i/>
          <w:sz w:val="20"/>
        </w:rPr>
        <w:t>Leadership and the One Minute Manager: Increasing Effectiveness through Situational Leadership II</w:t>
      </w:r>
      <w:r>
        <w:rPr>
          <w:sz w:val="20"/>
        </w:rPr>
        <w:t xml:space="preserve"> (Updated ed.). William Morrow.</w:t>
      </w:r>
    </w:p>
    <w:p>
      <w:pPr/>
      <w:r>
        <w:rPr>
          <w:sz w:val="20"/>
        </w:rPr>
        <w:t xml:space="preserve">Brehm, J. W. (1966). </w:t>
      </w:r>
      <w:r>
        <w:rPr>
          <w:i/>
          <w:sz w:val="20"/>
        </w:rPr>
        <w:t>A Theory of Psychological Reactance</w:t>
      </w:r>
      <w:r>
        <w:rPr>
          <w:sz w:val="20"/>
        </w:rPr>
        <w:t>. Academic Press.</w:t>
      </w:r>
    </w:p>
    <w:p>
      <w:pPr/>
      <w:r>
        <w:rPr>
          <w:sz w:val="20"/>
        </w:rPr>
        <w:t xml:space="preserve">Cialdini, R. B. (2007). </w:t>
      </w:r>
      <w:r>
        <w:rPr>
          <w:i/>
          <w:sz w:val="20"/>
        </w:rPr>
        <w:t>Influence: The Psychology of Persuasion</w:t>
      </w:r>
      <w:r>
        <w:rPr>
          <w:sz w:val="20"/>
        </w:rPr>
        <w:t xml:space="preserve"> (Rev. ed.). Collins Business.</w:t>
      </w:r>
    </w:p>
    <w:p>
      <w:pPr/>
      <w:r>
        <w:rPr>
          <w:sz w:val="20"/>
        </w:rPr>
        <w:t xml:space="preserve">Clear, J. (2018). </w:t>
      </w:r>
      <w:r>
        <w:rPr>
          <w:i/>
          <w:sz w:val="20"/>
        </w:rPr>
        <w:t>Atomic Habits: An Easy &amp; Proven Way to Build Good Habits &amp; Break Bad Ones</w:t>
      </w:r>
      <w:r>
        <w:rPr>
          <w:sz w:val="20"/>
        </w:rPr>
        <w:t>. Avery.</w:t>
      </w:r>
    </w:p>
    <w:p>
      <w:pPr/>
      <w:r>
        <w:rPr>
          <w:sz w:val="20"/>
        </w:rPr>
        <w:t xml:space="preserve">Danziger, S., Levav, J., &amp; Avnaim-Pesso, L. (2011). Extraneous factors in judicial decisions. </w:t>
      </w:r>
      <w:r>
        <w:rPr>
          <w:i/>
          <w:sz w:val="20"/>
        </w:rPr>
        <w:t>Proceedings of the National Academy of Sciences, 108</w:t>
      </w:r>
      <w:r>
        <w:rPr>
          <w:sz w:val="20"/>
        </w:rPr>
        <w:t>(17), 6889–6892. https://doi.org/10.1073/pnas.1018033108</w:t>
      </w:r>
    </w:p>
    <w:p>
      <w:pPr/>
      <w:r>
        <w:rPr>
          <w:sz w:val="20"/>
        </w:rPr>
        <w:t xml:space="preserve">Duhigg, C. (2012). </w:t>
      </w:r>
      <w:r>
        <w:rPr>
          <w:i/>
          <w:sz w:val="20"/>
        </w:rPr>
        <w:t>The Power of Habit: Why We Do What We Do in Life and Business</w:t>
      </w:r>
      <w:r>
        <w:rPr>
          <w:sz w:val="20"/>
        </w:rPr>
        <w:t>. Random House.</w:t>
      </w:r>
    </w:p>
    <w:p>
      <w:pPr/>
      <w:r>
        <w:rPr>
          <w:sz w:val="20"/>
        </w:rPr>
        <w:t xml:space="preserve">Feder, G., Just, R. E., &amp; Zilberman, D. (1985). Adoption of agricultural innovations in developing countries: A survey. </w:t>
      </w:r>
      <w:r>
        <w:rPr>
          <w:i/>
          <w:sz w:val="20"/>
        </w:rPr>
        <w:t>Economic Development and Cultural Change, 33</w:t>
      </w:r>
      <w:r>
        <w:rPr>
          <w:sz w:val="20"/>
        </w:rPr>
        <w:t>(2), 255–298. https://doi.org/10.1086/451461</w:t>
      </w:r>
    </w:p>
    <w:p>
      <w:pPr/>
      <w:r>
        <w:rPr>
          <w:sz w:val="20"/>
        </w:rPr>
        <w:t xml:space="preserve">Festinger, L. (1957). </w:t>
      </w:r>
      <w:r>
        <w:rPr>
          <w:i/>
          <w:sz w:val="20"/>
        </w:rPr>
        <w:t>A Theory of Cognitive Dissonance</w:t>
      </w:r>
      <w:r>
        <w:rPr>
          <w:sz w:val="20"/>
        </w:rPr>
        <w:t>. Stanford University Press.</w:t>
      </w:r>
    </w:p>
    <w:p>
      <w:pPr/>
      <w:r>
        <w:rPr>
          <w:sz w:val="20"/>
        </w:rPr>
        <w:t xml:space="preserve">Fishbein, M., &amp; Ajzen, I. (1975). </w:t>
      </w:r>
      <w:r>
        <w:rPr>
          <w:i/>
          <w:sz w:val="20"/>
        </w:rPr>
        <w:t>Belief, Attitude, Intention, and Behavior: An Introduction to Theory and Research</w:t>
      </w:r>
      <w:r>
        <w:rPr>
          <w:sz w:val="20"/>
        </w:rPr>
        <w:t>. Addison-Wesley.</w:t>
      </w:r>
    </w:p>
    <w:p>
      <w:pPr/>
      <w:r>
        <w:rPr>
          <w:sz w:val="20"/>
        </w:rPr>
        <w:t xml:space="preserve">Glenk, K., Fischer, A., &amp; Hanewinkel, M. (2017). The effect of social norms on the management of forest pest and disease risk. </w:t>
      </w:r>
      <w:r>
        <w:rPr>
          <w:i/>
          <w:sz w:val="20"/>
        </w:rPr>
        <w:t>Ecological Economics, 138</w:t>
      </w:r>
      <w:r>
        <w:rPr>
          <w:sz w:val="20"/>
        </w:rPr>
        <w:t>, 230–239. https://doi.org/10.1016/j.ecolecon.2017.03.027</w:t>
      </w:r>
    </w:p>
    <w:p>
      <w:pPr/>
      <w:r>
        <w:rPr>
          <w:sz w:val="20"/>
        </w:rPr>
        <w:t xml:space="preserve">Goleman, D. (1995). </w:t>
      </w:r>
      <w:r>
        <w:rPr>
          <w:i/>
          <w:sz w:val="20"/>
        </w:rPr>
        <w:t>Emotional Intelligence: Why It Can Matter More Than IQ</w:t>
      </w:r>
      <w:r>
        <w:rPr>
          <w:sz w:val="20"/>
        </w:rPr>
        <w:t>. Bantam Books.</w:t>
      </w:r>
    </w:p>
    <w:p>
      <w:pPr/>
      <w:r>
        <w:rPr>
          <w:sz w:val="20"/>
        </w:rPr>
        <w:t xml:space="preserve">Harmon-Jones, E., &amp; Mills, J. (2019). An introduction to cognitive dissonance theory and an overview of current perspectives on the theory. In E. Harmon-Jones (Ed.), </w:t>
      </w:r>
      <w:r>
        <w:rPr>
          <w:i/>
          <w:sz w:val="20"/>
        </w:rPr>
        <w:t>Cognitive Dissonance: Reexamining a Pivotal Theory in Psychology</w:t>
      </w:r>
      <w:r>
        <w:rPr>
          <w:sz w:val="20"/>
        </w:rPr>
        <w:t xml:space="preserve"> (2nd ed., pp. 3–24). American Psychological Association. https://doi.org/10.1037/0000135-001</w:t>
      </w:r>
    </w:p>
    <w:p>
      <w:pPr/>
      <w:r>
        <w:rPr>
          <w:sz w:val="20"/>
        </w:rPr>
        <w:t xml:space="preserve">Hersey, P., &amp; Blanchard, K. H. (1969). Life cycle theory of leadership. </w:t>
      </w:r>
      <w:r>
        <w:rPr>
          <w:i/>
          <w:sz w:val="20"/>
        </w:rPr>
        <w:t>Training and Development Journal, 23</w:t>
      </w:r>
      <w:r>
        <w:rPr>
          <w:sz w:val="20"/>
        </w:rPr>
        <w:t>(5), 26–34.</w:t>
      </w:r>
    </w:p>
    <w:p>
      <w:pPr/>
      <w:r>
        <w:rPr>
          <w:sz w:val="20"/>
        </w:rPr>
        <w:t xml:space="preserve">Kahneman, D. (2011). </w:t>
      </w:r>
      <w:r>
        <w:rPr>
          <w:i/>
          <w:sz w:val="20"/>
        </w:rPr>
        <w:t>Thinking, Fast and Slow</w:t>
      </w:r>
      <w:r>
        <w:rPr>
          <w:sz w:val="20"/>
        </w:rPr>
        <w:t>. Farrar, Straus and Giroux.</w:t>
      </w:r>
    </w:p>
    <w:p>
      <w:pPr/>
      <w:r>
        <w:rPr>
          <w:sz w:val="20"/>
        </w:rPr>
        <w:t xml:space="preserve">Kahneman, D., &amp; Tversky, A. (1979). Prospect theory: An analysis of decision under risk. </w:t>
      </w:r>
      <w:r>
        <w:rPr>
          <w:i/>
          <w:sz w:val="20"/>
        </w:rPr>
        <w:t>Econometrica, 47</w:t>
      </w:r>
      <w:r>
        <w:rPr>
          <w:sz w:val="20"/>
        </w:rPr>
        <w:t>(2), 263–291. https://doi.org/10.2307/1914185</w:t>
      </w:r>
    </w:p>
    <w:p>
      <w:pPr/>
      <w:r>
        <w:rPr>
          <w:sz w:val="20"/>
        </w:rPr>
        <w:t xml:space="preserve">Lundahl, B. W., Kunz, C., Brownell, C., Tollefson, D., &amp; Burke, B. L. (2010). A meta-analysis of motivational interviewing: Twenty-five years of empirical studies. </w:t>
      </w:r>
      <w:r>
        <w:rPr>
          <w:i/>
          <w:sz w:val="20"/>
        </w:rPr>
        <w:t>Research on Social Work Practice, 20</w:t>
      </w:r>
      <w:r>
        <w:rPr>
          <w:sz w:val="20"/>
        </w:rPr>
        <w:t>(2), 137–160. https://doi.org/10.1177/1049731509347850</w:t>
      </w:r>
    </w:p>
    <w:p>
      <w:pPr/>
      <w:r>
        <w:rPr>
          <w:sz w:val="20"/>
        </w:rPr>
        <w:t xml:space="preserve">Mayer, J. D., Salovey, P., &amp; Caruso, D. R. (2004). Emotional intelligence: Theory, findings, and implications. </w:t>
      </w:r>
      <w:r>
        <w:rPr>
          <w:i/>
          <w:sz w:val="20"/>
        </w:rPr>
        <w:t>Psychological Inquiry, 15</w:t>
      </w:r>
      <w:r>
        <w:rPr>
          <w:sz w:val="20"/>
        </w:rPr>
        <w:t>(3), 197–215. https://doi.org/10.1207/s15327965pli1503_02</w:t>
      </w:r>
    </w:p>
    <w:p>
      <w:pPr/>
      <w:r>
        <w:rPr>
          <w:sz w:val="20"/>
        </w:rPr>
        <w:t xml:space="preserve">Miller, W. R., &amp; Rollnick, S. (2013). </w:t>
      </w:r>
      <w:r>
        <w:rPr>
          <w:i/>
          <w:sz w:val="20"/>
        </w:rPr>
        <w:t>Motivational Interviewing: Helping People Change</w:t>
      </w:r>
      <w:r>
        <w:rPr>
          <w:sz w:val="20"/>
        </w:rPr>
        <w:t xml:space="preserve"> (3rd ed.). Guilford Press.</w:t>
      </w:r>
    </w:p>
    <w:p>
      <w:pPr/>
      <w:r>
        <w:rPr>
          <w:sz w:val="20"/>
        </w:rPr>
        <w:t xml:space="preserve">Rogers, E. M. (2003). </w:t>
      </w:r>
      <w:r>
        <w:rPr>
          <w:i/>
          <w:sz w:val="20"/>
        </w:rPr>
        <w:t>Diffusion of Innovations</w:t>
      </w:r>
      <w:r>
        <w:rPr>
          <w:sz w:val="20"/>
        </w:rPr>
        <w:t xml:space="preserve"> (5th ed.). Free Press.</w:t>
      </w:r>
    </w:p>
    <w:p>
      <w:pPr/>
      <w:r>
        <w:rPr>
          <w:sz w:val="20"/>
        </w:rPr>
        <w:t xml:space="preserve">Rothman, A. J., &amp; Salovey, P. (1997). Shaping perceptions to motivate healthy behavior: The role of message framing. </w:t>
      </w:r>
      <w:r>
        <w:rPr>
          <w:i/>
          <w:sz w:val="20"/>
        </w:rPr>
        <w:t>Psychological Bulletin, 121</w:t>
      </w:r>
      <w:r>
        <w:rPr>
          <w:sz w:val="20"/>
        </w:rPr>
        <w:t>(1), 3–19. https://doi.org/10.1037/0033-2909.121.1.3</w:t>
      </w:r>
    </w:p>
    <w:p>
      <w:pPr/>
      <w:r>
        <w:rPr>
          <w:sz w:val="20"/>
        </w:rPr>
        <w:t xml:space="preserve">Samuelson, W., &amp; Zeckhauser, R. (1988). Status quo bias in decision making. </w:t>
      </w:r>
      <w:r>
        <w:rPr>
          <w:i/>
          <w:sz w:val="20"/>
        </w:rPr>
        <w:t>Journal of Risk and Uncertainty, 1</w:t>
      </w:r>
      <w:r>
        <w:rPr>
          <w:sz w:val="20"/>
        </w:rPr>
        <w:t>(1), 7–59. https://doi.org/10.1007/BF00055564</w:t>
      </w:r>
    </w:p>
    <w:p>
      <w:pPr/>
      <w:r>
        <w:rPr>
          <w:sz w:val="20"/>
        </w:rPr>
        <w:t xml:space="preserve">Thaler, R. H., &amp; Sunstein, C. R. (2008). </w:t>
      </w:r>
      <w:r>
        <w:rPr>
          <w:i/>
          <w:sz w:val="20"/>
        </w:rPr>
        <w:t>Nudge: Improving Decisions About Health, Wealth, and Happiness</w:t>
      </w:r>
      <w:r>
        <w:rPr>
          <w:sz w:val="20"/>
        </w:rPr>
        <w:t>. Yale University Press.</w:t>
      </w:r>
    </w:p>
    <w:p>
      <w:pPr/>
      <w:r>
        <w:rPr>
          <w:sz w:val="20"/>
        </w:rPr>
        <w:t xml:space="preserve">Wood, W., &amp; Neal, D. T. (2007). A new look at habits and the habit-goal interface. </w:t>
      </w:r>
      <w:r>
        <w:rPr>
          <w:i/>
          <w:sz w:val="20"/>
        </w:rPr>
        <w:t>Psychological Review, 114</w:t>
      </w:r>
      <w:r>
        <w:rPr>
          <w:sz w:val="20"/>
        </w:rPr>
        <w:t>(4), 843–863. https://doi.org/10.1037/0033-295X.114.4.843</w:t>
      </w:r>
    </w:p>
    <w:sectPr w:rsidR="002D0DE0" w:rsidRPr="00E5598A">
      <w:headerReference w:type="default"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90CB6" w14:textId="77777777" w:rsidR="0086708B" w:rsidRDefault="0086708B" w:rsidP="0041317C">
      <w:pPr>
        <w:spacing w:after="0" w:line="240" w:lineRule="auto"/>
      </w:pPr>
      <w:r>
        <w:separator/>
      </w:r>
    </w:p>
  </w:endnote>
  <w:endnote w:type="continuationSeparator" w:id="0">
    <w:p w14:paraId="7989FA68" w14:textId="77777777" w:rsidR="0086708B" w:rsidRDefault="0086708B" w:rsidP="00413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000FD" w14:textId="77777777" w:rsidR="00FA26DE" w:rsidRDefault="00FA26DE" w:rsidP="00D30CCE">
    <w:pPr>
      <w:pStyle w:val="Piedepgina"/>
      <w:jc w:val="both"/>
    </w:pPr>
  </w:p>
  <w:p w14:paraId="4CFB54A2" w14:textId="77777777" w:rsidR="00FA26DE" w:rsidRDefault="00FA26DE" w:rsidP="00D30CCE">
    <w:pPr>
      <w:pStyle w:val="Piedepgina"/>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8AC96" w14:textId="77777777" w:rsidR="0086708B" w:rsidRDefault="0086708B" w:rsidP="0041317C">
      <w:pPr>
        <w:spacing w:after="0" w:line="240" w:lineRule="auto"/>
      </w:pPr>
      <w:r>
        <w:separator/>
      </w:r>
    </w:p>
  </w:footnote>
  <w:footnote w:type="continuationSeparator" w:id="0">
    <w:p w14:paraId="6303386A" w14:textId="77777777" w:rsidR="0086708B" w:rsidRDefault="0086708B" w:rsidP="00413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43827" w14:textId="453B43C1" w:rsidR="00402EEA" w:rsidRDefault="00402EEA">
    <w:pPr>
      <w:pStyle w:val="Encabezado"/>
      <w:rPr>
        <w:noProof/>
      </w:rPr>
    </w:pPr>
    <w:r>
      <w:rPr>
        <w:noProof/>
      </w:rPr>
      <w:drawing>
        <wp:anchor distT="0" distB="0" distL="114300" distR="114300" simplePos="0" relativeHeight="251661312" behindDoc="0" locked="0" layoutInCell="1" allowOverlap="1" wp14:anchorId="7FFA32BC" wp14:editId="4CDE92AA">
          <wp:simplePos x="0" y="0"/>
          <wp:positionH relativeFrom="page">
            <wp:align>left</wp:align>
          </wp:positionH>
          <wp:positionV relativeFrom="paragraph">
            <wp:posOffset>-450215</wp:posOffset>
          </wp:positionV>
          <wp:extent cx="8479790" cy="1581150"/>
          <wp:effectExtent l="0" t="0" r="0" b="0"/>
          <wp:wrapNone/>
          <wp:docPr id="653850179" name="Imagen 6"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50179" name="Imagen 6" descr="Imagen que contiene Icon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t="9572" b="9400"/>
                  <a:stretch/>
                </pic:blipFill>
                <pic:spPr bwMode="auto">
                  <a:xfrm>
                    <a:off x="0" y="0"/>
                    <a:ext cx="8479790" cy="1581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B507018" w14:textId="1F1D11A1" w:rsidR="00402EEA" w:rsidRDefault="00402EEA">
    <w:pPr>
      <w:pStyle w:val="Encabezado"/>
      <w:rPr>
        <w:noProof/>
      </w:rPr>
    </w:pPr>
    <w:r w:rsidRPr="00FA26DE">
      <w:rPr>
        <w:noProof/>
      </w:rPr>
      <w:drawing>
        <wp:anchor distT="0" distB="0" distL="114300" distR="114300" simplePos="0" relativeHeight="251665408" behindDoc="0" locked="0" layoutInCell="1" allowOverlap="1" wp14:anchorId="5403509B" wp14:editId="7F953FBE">
          <wp:simplePos x="0" y="0"/>
          <wp:positionH relativeFrom="column">
            <wp:posOffset>-286385</wp:posOffset>
          </wp:positionH>
          <wp:positionV relativeFrom="paragraph">
            <wp:posOffset>138430</wp:posOffset>
          </wp:positionV>
          <wp:extent cx="2806700" cy="579120"/>
          <wp:effectExtent l="0" t="0" r="0" b="0"/>
          <wp:wrapSquare wrapText="bothSides"/>
          <wp:docPr id="2" name="Gráfico 1">
            <a:extLst xmlns:a="http://schemas.openxmlformats.org/drawingml/2006/main">
              <a:ext uri="{FF2B5EF4-FFF2-40B4-BE49-F238E27FC236}">
                <a16:creationId xmlns:a16="http://schemas.microsoft.com/office/drawing/2014/main" id="{A591B23B-BE02-1817-6F9F-A490BA8DA8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1">
                    <a:extLst>
                      <a:ext uri="{FF2B5EF4-FFF2-40B4-BE49-F238E27FC236}">
                        <a16:creationId xmlns:a16="http://schemas.microsoft.com/office/drawing/2014/main" id="{A591B23B-BE02-1817-6F9F-A490BA8DA82D}"/>
                      </a:ext>
                    </a:extLst>
                  </pic:cNvPr>
                  <pic:cNvPicPr>
                    <a:picLocks noChangeAspect="1"/>
                  </pic:cNvPicPr>
                </pic:nvPicPr>
                <pic:blipFill rotWithShape="1">
                  <a:blip r:embed="rId2">
                    <a:extLst>
                      <a:ext uri="{96DAC541-7B7A-43D3-8B79-37D633B846F1}">
                        <asvg:svgBlip xmlns:asvg="http://schemas.microsoft.com/office/drawing/2016/SVG/main" r:embed="rId3"/>
                      </a:ext>
                    </a:extLst>
                  </a:blip>
                  <a:srcRect b="27652"/>
                  <a:stretch/>
                </pic:blipFill>
                <pic:spPr>
                  <a:xfrm>
                    <a:off x="0" y="0"/>
                    <a:ext cx="2806700" cy="57912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4384" behindDoc="0" locked="0" layoutInCell="1" allowOverlap="1" wp14:anchorId="25E91C01" wp14:editId="667EFD72">
              <wp:simplePos x="0" y="0"/>
              <wp:positionH relativeFrom="column">
                <wp:posOffset>43815</wp:posOffset>
              </wp:positionH>
              <wp:positionV relativeFrom="paragraph">
                <wp:posOffset>52070</wp:posOffset>
              </wp:positionV>
              <wp:extent cx="2774950" cy="1066800"/>
              <wp:effectExtent l="0" t="0" r="6350" b="0"/>
              <wp:wrapNone/>
              <wp:docPr id="262655175" name="Rectángulo 1"/>
              <wp:cNvGraphicFramePr/>
              <a:graphic xmlns:a="http://schemas.openxmlformats.org/drawingml/2006/main">
                <a:graphicData uri="http://schemas.microsoft.com/office/word/2010/wordprocessingShape">
                  <wps:wsp>
                    <wps:cNvSpPr/>
                    <wps:spPr>
                      <a:xfrm>
                        <a:off x="0" y="0"/>
                        <a:ext cx="2774950" cy="10668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6D6476" id="Rectángulo 1" o:spid="_x0000_s1026" style="position:absolute;margin-left:3.45pt;margin-top:4.1pt;width:218.5pt;height:84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" fillcolor="white [3212]" stroked="f" strokeweight="1pt"/>
          </w:pict>
        </mc:Fallback>
      </mc:AlternateContent>
    </w:r>
  </w:p>
  <w:p w14:paraId="2ED82A95" w14:textId="40EFD18B" w:rsidR="00402EEA" w:rsidRDefault="00402EEA">
    <w:pPr>
      <w:pStyle w:val="Encabezado"/>
      <w:rPr>
        <w:noProof/>
      </w:rPr>
    </w:pPr>
  </w:p>
  <w:p w14:paraId="5FFB8176" w14:textId="0954D3CA" w:rsidR="00402EEA" w:rsidRDefault="00402EEA">
    <w:pPr>
      <w:pStyle w:val="Encabezado"/>
      <w:rPr>
        <w:noProof/>
      </w:rPr>
    </w:pPr>
  </w:p>
  <w:p w14:paraId="47B45BF6" w14:textId="1249308A" w:rsidR="00402EEA" w:rsidRDefault="00402EEA">
    <w:pPr>
      <w:pStyle w:val="Encabezado"/>
      <w:rPr>
        <w:noProof/>
      </w:rPr>
    </w:pPr>
  </w:p>
  <w:p w14:paraId="33E54A46" w14:textId="26CE79D5" w:rsidR="00402EEA" w:rsidRDefault="00402EEA">
    <w:pPr>
      <w:pStyle w:val="Encabezado"/>
      <w:rPr>
        <w:noProof/>
      </w:rPr>
    </w:pPr>
  </w:p>
  <w:p w14:paraId="270C5F11" w14:textId="00DB1A6B" w:rsidR="00402EEA" w:rsidRDefault="00402EEA">
    <w:pPr>
      <w:pStyle w:val="Encabezado"/>
      <w:rPr>
        <w:noProof/>
      </w:rPr>
    </w:pPr>
  </w:p>
  <w:p w14:paraId="1A0D8163" w14:textId="12EE0276" w:rsidR="004D4661" w:rsidRDefault="004D4661">
    <w:pPr>
      <w:pStyle w:val="Encabezado"/>
      <w:rPr>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371C6"/>
    <w:multiLevelType w:val="multilevel"/>
    <w:tmpl w:val="009E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15D7A"/>
    <w:multiLevelType w:val="hybridMultilevel"/>
    <w:tmpl w:val="CC9274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2D36E8D"/>
    <w:multiLevelType w:val="multilevel"/>
    <w:tmpl w:val="BB92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005DF"/>
    <w:multiLevelType w:val="hybridMultilevel"/>
    <w:tmpl w:val="C70839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57D05DA"/>
    <w:multiLevelType w:val="hybridMultilevel"/>
    <w:tmpl w:val="D6CAAF50"/>
    <w:lvl w:ilvl="0" w:tplc="0C0A0001">
      <w:start w:val="1"/>
      <w:numFmt w:val="bullet"/>
      <w:lvlText w:val=""/>
      <w:lvlJc w:val="left"/>
      <w:pPr>
        <w:ind w:left="1800" w:hanging="360"/>
      </w:pPr>
      <w:rPr>
        <w:rFonts w:ascii="Symbol" w:hAnsi="Symbol" w:hint="default"/>
      </w:rPr>
    </w:lvl>
    <w:lvl w:ilvl="1" w:tplc="0C0A0003">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5" w15:restartNumberingAfterBreak="0">
    <w:nsid w:val="15910741"/>
    <w:multiLevelType w:val="hybridMultilevel"/>
    <w:tmpl w:val="EBEA045C"/>
    <w:lvl w:ilvl="0" w:tplc="B9104536">
      <w:start w:val="1"/>
      <w:numFmt w:val="bullet"/>
      <w:lvlText w:val="•"/>
      <w:lvlJc w:val="left"/>
      <w:pPr>
        <w:ind w:left="720" w:hanging="360"/>
      </w:pPr>
    </w:lvl>
    <w:lvl w:ilvl="1" w:tplc="A4B43D3E">
      <w:start w:val="1"/>
      <w:numFmt w:val="bullet"/>
      <w:lvlText w:val="◦"/>
      <w:lvlJc w:val="left"/>
      <w:pPr>
        <w:ind w:left="1080" w:hanging="360"/>
      </w:pPr>
    </w:lvl>
    <w:lvl w:ilvl="2" w:tplc="E5AE084C">
      <w:numFmt w:val="decimal"/>
      <w:lvlText w:val=""/>
      <w:lvlJc w:val="left"/>
    </w:lvl>
    <w:lvl w:ilvl="3" w:tplc="C0726892">
      <w:numFmt w:val="decimal"/>
      <w:lvlText w:val=""/>
      <w:lvlJc w:val="left"/>
    </w:lvl>
    <w:lvl w:ilvl="4" w:tplc="0794283E">
      <w:numFmt w:val="decimal"/>
      <w:lvlText w:val=""/>
      <w:lvlJc w:val="left"/>
    </w:lvl>
    <w:lvl w:ilvl="5" w:tplc="5ABC6F02">
      <w:numFmt w:val="decimal"/>
      <w:lvlText w:val=""/>
      <w:lvlJc w:val="left"/>
    </w:lvl>
    <w:lvl w:ilvl="6" w:tplc="04EAD4CC">
      <w:numFmt w:val="decimal"/>
      <w:lvlText w:val=""/>
      <w:lvlJc w:val="left"/>
    </w:lvl>
    <w:lvl w:ilvl="7" w:tplc="3C4EE3CE">
      <w:numFmt w:val="decimal"/>
      <w:lvlText w:val=""/>
      <w:lvlJc w:val="left"/>
    </w:lvl>
    <w:lvl w:ilvl="8" w:tplc="130E8394">
      <w:numFmt w:val="decimal"/>
      <w:lvlText w:val=""/>
      <w:lvlJc w:val="left"/>
    </w:lvl>
  </w:abstractNum>
  <w:abstractNum w:abstractNumId="6" w15:restartNumberingAfterBreak="0">
    <w:nsid w:val="16D779CD"/>
    <w:multiLevelType w:val="multilevel"/>
    <w:tmpl w:val="136E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E96D31"/>
    <w:multiLevelType w:val="hybridMultilevel"/>
    <w:tmpl w:val="86ACFC6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84D7273"/>
    <w:multiLevelType w:val="hybridMultilevel"/>
    <w:tmpl w:val="D74029CA"/>
    <w:lvl w:ilvl="0" w:tplc="AE0C7FEC">
      <w:start w:val="1"/>
      <w:numFmt w:val="bullet"/>
      <w:lvlText w:val="•"/>
      <w:lvlJc w:val="left"/>
      <w:pPr>
        <w:ind w:left="720" w:hanging="360"/>
      </w:pPr>
    </w:lvl>
    <w:lvl w:ilvl="1" w:tplc="F606F7E0">
      <w:start w:val="1"/>
      <w:numFmt w:val="bullet"/>
      <w:lvlText w:val="◦"/>
      <w:lvlJc w:val="left"/>
      <w:pPr>
        <w:ind w:left="1080" w:hanging="360"/>
      </w:pPr>
    </w:lvl>
    <w:lvl w:ilvl="2" w:tplc="DD907A10">
      <w:numFmt w:val="decimal"/>
      <w:lvlText w:val=""/>
      <w:lvlJc w:val="left"/>
    </w:lvl>
    <w:lvl w:ilvl="3" w:tplc="34D8AB96">
      <w:numFmt w:val="decimal"/>
      <w:lvlText w:val=""/>
      <w:lvlJc w:val="left"/>
    </w:lvl>
    <w:lvl w:ilvl="4" w:tplc="281AC9B2">
      <w:numFmt w:val="decimal"/>
      <w:lvlText w:val=""/>
      <w:lvlJc w:val="left"/>
    </w:lvl>
    <w:lvl w:ilvl="5" w:tplc="6A76B4A6">
      <w:numFmt w:val="decimal"/>
      <w:lvlText w:val=""/>
      <w:lvlJc w:val="left"/>
    </w:lvl>
    <w:lvl w:ilvl="6" w:tplc="D5ACB2FE">
      <w:numFmt w:val="decimal"/>
      <w:lvlText w:val=""/>
      <w:lvlJc w:val="left"/>
    </w:lvl>
    <w:lvl w:ilvl="7" w:tplc="32AE932E">
      <w:numFmt w:val="decimal"/>
      <w:lvlText w:val=""/>
      <w:lvlJc w:val="left"/>
    </w:lvl>
    <w:lvl w:ilvl="8" w:tplc="EB303C1A">
      <w:numFmt w:val="decimal"/>
      <w:lvlText w:val=""/>
      <w:lvlJc w:val="left"/>
    </w:lvl>
  </w:abstractNum>
  <w:abstractNum w:abstractNumId="9" w15:restartNumberingAfterBreak="0">
    <w:nsid w:val="19742ED4"/>
    <w:multiLevelType w:val="multilevel"/>
    <w:tmpl w:val="5B6E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17226D"/>
    <w:multiLevelType w:val="multilevel"/>
    <w:tmpl w:val="E526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D905CB"/>
    <w:multiLevelType w:val="hybridMultilevel"/>
    <w:tmpl w:val="FCEEF8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0B501F0"/>
    <w:multiLevelType w:val="hybridMultilevel"/>
    <w:tmpl w:val="1EC603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2D32284"/>
    <w:multiLevelType w:val="multilevel"/>
    <w:tmpl w:val="C06E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A27E47"/>
    <w:multiLevelType w:val="multilevel"/>
    <w:tmpl w:val="176AB33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291A0075"/>
    <w:multiLevelType w:val="hybridMultilevel"/>
    <w:tmpl w:val="481E04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30159D2"/>
    <w:multiLevelType w:val="hybridMultilevel"/>
    <w:tmpl w:val="2F9615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7E6295D"/>
    <w:multiLevelType w:val="hybridMultilevel"/>
    <w:tmpl w:val="32BA6B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B70648F"/>
    <w:multiLevelType w:val="hybridMultilevel"/>
    <w:tmpl w:val="0E1EEF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8F06556"/>
    <w:multiLevelType w:val="multilevel"/>
    <w:tmpl w:val="E0C2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DE2A38"/>
    <w:multiLevelType w:val="multilevel"/>
    <w:tmpl w:val="D2F4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667E73"/>
    <w:multiLevelType w:val="hybridMultilevel"/>
    <w:tmpl w:val="8EF003C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56DC0165"/>
    <w:multiLevelType w:val="hybridMultilevel"/>
    <w:tmpl w:val="70CEFB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583D6485"/>
    <w:multiLevelType w:val="multilevel"/>
    <w:tmpl w:val="203E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821EAC"/>
    <w:multiLevelType w:val="hybridMultilevel"/>
    <w:tmpl w:val="14F44788"/>
    <w:lvl w:ilvl="0" w:tplc="1DCA13AC">
      <w:start w:val="1"/>
      <w:numFmt w:val="decimal"/>
      <w:lvlText w:val="%1."/>
      <w:lvlJc w:val="left"/>
      <w:pPr>
        <w:ind w:left="345" w:hanging="360"/>
      </w:pPr>
      <w:rPr>
        <w:b/>
      </w:rPr>
    </w:lvl>
    <w:lvl w:ilvl="1" w:tplc="240A0019">
      <w:start w:val="1"/>
      <w:numFmt w:val="lowerLetter"/>
      <w:lvlText w:val="%2."/>
      <w:lvlJc w:val="left"/>
      <w:pPr>
        <w:ind w:left="1065" w:hanging="360"/>
      </w:pPr>
    </w:lvl>
    <w:lvl w:ilvl="2" w:tplc="240A001B">
      <w:start w:val="1"/>
      <w:numFmt w:val="lowerRoman"/>
      <w:lvlText w:val="%3."/>
      <w:lvlJc w:val="right"/>
      <w:pPr>
        <w:ind w:left="1785" w:hanging="180"/>
      </w:pPr>
    </w:lvl>
    <w:lvl w:ilvl="3" w:tplc="240A000F">
      <w:start w:val="1"/>
      <w:numFmt w:val="decimal"/>
      <w:lvlText w:val="%4."/>
      <w:lvlJc w:val="left"/>
      <w:pPr>
        <w:ind w:left="2505" w:hanging="360"/>
      </w:pPr>
    </w:lvl>
    <w:lvl w:ilvl="4" w:tplc="240A0019">
      <w:start w:val="1"/>
      <w:numFmt w:val="lowerLetter"/>
      <w:lvlText w:val="%5."/>
      <w:lvlJc w:val="left"/>
      <w:pPr>
        <w:ind w:left="3225" w:hanging="360"/>
      </w:pPr>
    </w:lvl>
    <w:lvl w:ilvl="5" w:tplc="240A001B">
      <w:start w:val="1"/>
      <w:numFmt w:val="lowerRoman"/>
      <w:lvlText w:val="%6."/>
      <w:lvlJc w:val="right"/>
      <w:pPr>
        <w:ind w:left="3945" w:hanging="180"/>
      </w:pPr>
    </w:lvl>
    <w:lvl w:ilvl="6" w:tplc="240A000F">
      <w:start w:val="1"/>
      <w:numFmt w:val="decimal"/>
      <w:lvlText w:val="%7."/>
      <w:lvlJc w:val="left"/>
      <w:pPr>
        <w:ind w:left="4665" w:hanging="360"/>
      </w:pPr>
    </w:lvl>
    <w:lvl w:ilvl="7" w:tplc="240A0019">
      <w:start w:val="1"/>
      <w:numFmt w:val="lowerLetter"/>
      <w:lvlText w:val="%8."/>
      <w:lvlJc w:val="left"/>
      <w:pPr>
        <w:ind w:left="5385" w:hanging="360"/>
      </w:pPr>
    </w:lvl>
    <w:lvl w:ilvl="8" w:tplc="240A001B">
      <w:start w:val="1"/>
      <w:numFmt w:val="lowerRoman"/>
      <w:lvlText w:val="%9."/>
      <w:lvlJc w:val="right"/>
      <w:pPr>
        <w:ind w:left="6105" w:hanging="180"/>
      </w:pPr>
    </w:lvl>
  </w:abstractNum>
  <w:abstractNum w:abstractNumId="25" w15:restartNumberingAfterBreak="0">
    <w:nsid w:val="5E023988"/>
    <w:multiLevelType w:val="hybridMultilevel"/>
    <w:tmpl w:val="A09E7E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5E9E0E29"/>
    <w:multiLevelType w:val="hybridMultilevel"/>
    <w:tmpl w:val="BCFE03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5FA1692C"/>
    <w:multiLevelType w:val="hybridMultilevel"/>
    <w:tmpl w:val="F25C78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5B221DA"/>
    <w:multiLevelType w:val="hybridMultilevel"/>
    <w:tmpl w:val="DE305E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66E83146"/>
    <w:multiLevelType w:val="hybridMultilevel"/>
    <w:tmpl w:val="4AEC96B2"/>
    <w:lvl w:ilvl="0" w:tplc="565EA76C">
      <w:start w:val="2"/>
      <w:numFmt w:val="bullet"/>
      <w:lvlText w:val=""/>
      <w:lvlJc w:val="left"/>
      <w:pPr>
        <w:ind w:left="720" w:hanging="360"/>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7B44415"/>
    <w:multiLevelType w:val="multilevel"/>
    <w:tmpl w:val="403A54BE"/>
    <w:lvl w:ilvl="0">
      <w:start w:val="1"/>
      <w:numFmt w:val="decimal"/>
      <w:lvlText w:val="%1."/>
      <w:lvlJc w:val="left"/>
      <w:pPr>
        <w:ind w:left="345" w:hanging="360"/>
      </w:pPr>
      <w:rPr>
        <w:b/>
      </w:rPr>
    </w:lvl>
    <w:lvl w:ilvl="1">
      <w:start w:val="1"/>
      <w:numFmt w:val="decimal"/>
      <w:lvlText w:val="%1.%2"/>
      <w:lvlJc w:val="left"/>
      <w:pPr>
        <w:ind w:left="1116" w:hanging="396"/>
      </w:pPr>
    </w:lvl>
    <w:lvl w:ilvl="2">
      <w:start w:val="1"/>
      <w:numFmt w:val="decimal"/>
      <w:lvlText w:val="%1.%2.%3"/>
      <w:lvlJc w:val="left"/>
      <w:pPr>
        <w:ind w:left="2175" w:hanging="720"/>
      </w:pPr>
    </w:lvl>
    <w:lvl w:ilvl="3">
      <w:start w:val="1"/>
      <w:numFmt w:val="decimal"/>
      <w:lvlText w:val="%1.%2.%3.%4"/>
      <w:lvlJc w:val="left"/>
      <w:pPr>
        <w:ind w:left="3270" w:hanging="1080"/>
      </w:pPr>
    </w:lvl>
    <w:lvl w:ilvl="4">
      <w:start w:val="1"/>
      <w:numFmt w:val="decimal"/>
      <w:lvlText w:val="%1.%2.%3.%4.%5"/>
      <w:lvlJc w:val="left"/>
      <w:pPr>
        <w:ind w:left="4005" w:hanging="1080"/>
      </w:pPr>
    </w:lvl>
    <w:lvl w:ilvl="5">
      <w:start w:val="1"/>
      <w:numFmt w:val="decimal"/>
      <w:lvlText w:val="%1.%2.%3.%4.%5.%6"/>
      <w:lvlJc w:val="left"/>
      <w:pPr>
        <w:ind w:left="5100" w:hanging="1440"/>
      </w:pPr>
    </w:lvl>
    <w:lvl w:ilvl="6">
      <w:start w:val="1"/>
      <w:numFmt w:val="decimal"/>
      <w:lvlText w:val="%1.%2.%3.%4.%5.%6.%7"/>
      <w:lvlJc w:val="left"/>
      <w:pPr>
        <w:ind w:left="5835" w:hanging="1440"/>
      </w:pPr>
    </w:lvl>
    <w:lvl w:ilvl="7">
      <w:start w:val="1"/>
      <w:numFmt w:val="decimal"/>
      <w:lvlText w:val="%1.%2.%3.%4.%5.%6.%7.%8"/>
      <w:lvlJc w:val="left"/>
      <w:pPr>
        <w:ind w:left="6930" w:hanging="1800"/>
      </w:pPr>
    </w:lvl>
    <w:lvl w:ilvl="8">
      <w:start w:val="1"/>
      <w:numFmt w:val="decimal"/>
      <w:lvlText w:val="%1.%2.%3.%4.%5.%6.%7.%8.%9"/>
      <w:lvlJc w:val="left"/>
      <w:pPr>
        <w:ind w:left="7665" w:hanging="1800"/>
      </w:pPr>
    </w:lvl>
  </w:abstractNum>
  <w:abstractNum w:abstractNumId="31" w15:restartNumberingAfterBreak="0">
    <w:nsid w:val="6B5F72F7"/>
    <w:multiLevelType w:val="hybridMultilevel"/>
    <w:tmpl w:val="45D424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710F27F3"/>
    <w:multiLevelType w:val="hybridMultilevel"/>
    <w:tmpl w:val="09FECB9C"/>
    <w:lvl w:ilvl="0" w:tplc="15ACDB84">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72DB12C7"/>
    <w:multiLevelType w:val="hybridMultilevel"/>
    <w:tmpl w:val="7166F6FC"/>
    <w:lvl w:ilvl="0" w:tplc="FC666F76">
      <w:start w:val="5"/>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4FA7014"/>
    <w:multiLevelType w:val="hybridMultilevel"/>
    <w:tmpl w:val="12FEF3F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9172F57"/>
    <w:multiLevelType w:val="hybridMultilevel"/>
    <w:tmpl w:val="90601CDC"/>
    <w:lvl w:ilvl="0" w:tplc="0C0A0001">
      <w:start w:val="1"/>
      <w:numFmt w:val="bullet"/>
      <w:lvlText w:val=""/>
      <w:lvlJc w:val="left"/>
      <w:pPr>
        <w:ind w:left="1800" w:hanging="360"/>
      </w:pPr>
      <w:rPr>
        <w:rFonts w:ascii="Symbol" w:hAnsi="Symbol" w:hint="default"/>
      </w:rPr>
    </w:lvl>
    <w:lvl w:ilvl="1" w:tplc="0C0A0003">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36" w15:restartNumberingAfterBreak="0">
    <w:nsid w:val="7940572B"/>
    <w:multiLevelType w:val="hybridMultilevel"/>
    <w:tmpl w:val="9646A8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7C064BEB"/>
    <w:multiLevelType w:val="multilevel"/>
    <w:tmpl w:val="758E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8869EE"/>
    <w:multiLevelType w:val="hybridMultilevel"/>
    <w:tmpl w:val="60EEE9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607614694">
    <w:abstractNumId w:val="33"/>
  </w:num>
  <w:num w:numId="2" w16cid:durableId="775253399">
    <w:abstractNumId w:val="32"/>
  </w:num>
  <w:num w:numId="3" w16cid:durableId="629017148">
    <w:abstractNumId w:val="7"/>
  </w:num>
  <w:num w:numId="4" w16cid:durableId="177499787">
    <w:abstractNumId w:val="29"/>
  </w:num>
  <w:num w:numId="5" w16cid:durableId="117121373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3790902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05424215">
    <w:abstractNumId w:val="14"/>
  </w:num>
  <w:num w:numId="8" w16cid:durableId="429814543">
    <w:abstractNumId w:val="27"/>
  </w:num>
  <w:num w:numId="9" w16cid:durableId="1413549429">
    <w:abstractNumId w:val="35"/>
  </w:num>
  <w:num w:numId="10" w16cid:durableId="806892437">
    <w:abstractNumId w:val="4"/>
  </w:num>
  <w:num w:numId="11" w16cid:durableId="1911648920">
    <w:abstractNumId w:val="34"/>
  </w:num>
  <w:num w:numId="12" w16cid:durableId="227764586">
    <w:abstractNumId w:val="28"/>
  </w:num>
  <w:num w:numId="13" w16cid:durableId="981958313">
    <w:abstractNumId w:val="25"/>
  </w:num>
  <w:num w:numId="14" w16cid:durableId="301233863">
    <w:abstractNumId w:val="1"/>
  </w:num>
  <w:num w:numId="15" w16cid:durableId="1454010568">
    <w:abstractNumId w:val="38"/>
  </w:num>
  <w:num w:numId="16" w16cid:durableId="426999590">
    <w:abstractNumId w:val="17"/>
  </w:num>
  <w:num w:numId="17" w16cid:durableId="966275560">
    <w:abstractNumId w:val="22"/>
  </w:num>
  <w:num w:numId="18" w16cid:durableId="629675810">
    <w:abstractNumId w:val="12"/>
  </w:num>
  <w:num w:numId="19" w16cid:durableId="835611515">
    <w:abstractNumId w:val="3"/>
  </w:num>
  <w:num w:numId="20" w16cid:durableId="1939677144">
    <w:abstractNumId w:val="26"/>
  </w:num>
  <w:num w:numId="21" w16cid:durableId="1870145726">
    <w:abstractNumId w:val="16"/>
  </w:num>
  <w:num w:numId="22" w16cid:durableId="2071613154">
    <w:abstractNumId w:val="31"/>
  </w:num>
  <w:num w:numId="23" w16cid:durableId="279990728">
    <w:abstractNumId w:val="18"/>
  </w:num>
  <w:num w:numId="24" w16cid:durableId="1300300146">
    <w:abstractNumId w:val="11"/>
  </w:num>
  <w:num w:numId="25" w16cid:durableId="1416517992">
    <w:abstractNumId w:val="15"/>
  </w:num>
  <w:num w:numId="26" w16cid:durableId="1742023930">
    <w:abstractNumId w:val="9"/>
  </w:num>
  <w:num w:numId="27" w16cid:durableId="1460369868">
    <w:abstractNumId w:val="21"/>
  </w:num>
  <w:num w:numId="28" w16cid:durableId="1544319981">
    <w:abstractNumId w:val="37"/>
  </w:num>
  <w:num w:numId="29" w16cid:durableId="92363421">
    <w:abstractNumId w:val="20"/>
  </w:num>
  <w:num w:numId="30" w16cid:durableId="346561566">
    <w:abstractNumId w:val="19"/>
  </w:num>
  <w:num w:numId="31" w16cid:durableId="450518300">
    <w:abstractNumId w:val="0"/>
  </w:num>
  <w:num w:numId="32" w16cid:durableId="1747413340">
    <w:abstractNumId w:val="2"/>
  </w:num>
  <w:num w:numId="33" w16cid:durableId="337386380">
    <w:abstractNumId w:val="23"/>
  </w:num>
  <w:num w:numId="34" w16cid:durableId="1289236095">
    <w:abstractNumId w:val="13"/>
  </w:num>
  <w:num w:numId="35" w16cid:durableId="967975396">
    <w:abstractNumId w:val="6"/>
  </w:num>
  <w:num w:numId="36" w16cid:durableId="988554981">
    <w:abstractNumId w:val="10"/>
  </w:num>
  <w:num w:numId="37" w16cid:durableId="2036230087">
    <w:abstractNumId w:val="36"/>
  </w:num>
  <w:num w:numId="38" w16cid:durableId="142624112">
    <w:abstractNumId w:val="8"/>
    <w:lvlOverride w:ilvl="0">
      <w:startOverride w:val="1"/>
    </w:lvlOverride>
  </w:num>
  <w:num w:numId="39" w16cid:durableId="1925339981">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17C"/>
    <w:rsid w:val="00002164"/>
    <w:rsid w:val="00005565"/>
    <w:rsid w:val="00027AD8"/>
    <w:rsid w:val="00030063"/>
    <w:rsid w:val="000317D2"/>
    <w:rsid w:val="0003468C"/>
    <w:rsid w:val="00036704"/>
    <w:rsid w:val="00043986"/>
    <w:rsid w:val="000469D8"/>
    <w:rsid w:val="000634E3"/>
    <w:rsid w:val="00065C1C"/>
    <w:rsid w:val="00066754"/>
    <w:rsid w:val="0007105E"/>
    <w:rsid w:val="000907F9"/>
    <w:rsid w:val="000A1B5C"/>
    <w:rsid w:val="000B0381"/>
    <w:rsid w:val="000B24CE"/>
    <w:rsid w:val="000D072B"/>
    <w:rsid w:val="000D5CB6"/>
    <w:rsid w:val="000E2284"/>
    <w:rsid w:val="000E2EC9"/>
    <w:rsid w:val="000E34DF"/>
    <w:rsid w:val="000E7DF3"/>
    <w:rsid w:val="000F1442"/>
    <w:rsid w:val="000F24E2"/>
    <w:rsid w:val="0010049B"/>
    <w:rsid w:val="001068CB"/>
    <w:rsid w:val="0011189B"/>
    <w:rsid w:val="001208FE"/>
    <w:rsid w:val="00126AD6"/>
    <w:rsid w:val="0013394A"/>
    <w:rsid w:val="00141845"/>
    <w:rsid w:val="00157548"/>
    <w:rsid w:val="001641AE"/>
    <w:rsid w:val="0016684F"/>
    <w:rsid w:val="0017089C"/>
    <w:rsid w:val="001762E5"/>
    <w:rsid w:val="00176978"/>
    <w:rsid w:val="00176A12"/>
    <w:rsid w:val="001939E6"/>
    <w:rsid w:val="001B138D"/>
    <w:rsid w:val="001B315D"/>
    <w:rsid w:val="001B4A72"/>
    <w:rsid w:val="001D2BC7"/>
    <w:rsid w:val="001E5968"/>
    <w:rsid w:val="001F51F5"/>
    <w:rsid w:val="00201C3D"/>
    <w:rsid w:val="00234230"/>
    <w:rsid w:val="00246D4E"/>
    <w:rsid w:val="00255D87"/>
    <w:rsid w:val="002607D3"/>
    <w:rsid w:val="0027726D"/>
    <w:rsid w:val="00277AC4"/>
    <w:rsid w:val="00280341"/>
    <w:rsid w:val="002833DB"/>
    <w:rsid w:val="00294F83"/>
    <w:rsid w:val="00295B4F"/>
    <w:rsid w:val="00296262"/>
    <w:rsid w:val="002A2A27"/>
    <w:rsid w:val="002A6E82"/>
    <w:rsid w:val="002B5592"/>
    <w:rsid w:val="002C6A77"/>
    <w:rsid w:val="002C7C79"/>
    <w:rsid w:val="002D0D4F"/>
    <w:rsid w:val="002D0DE0"/>
    <w:rsid w:val="002D12B8"/>
    <w:rsid w:val="002D5F74"/>
    <w:rsid w:val="002E553E"/>
    <w:rsid w:val="002F27E1"/>
    <w:rsid w:val="003027D1"/>
    <w:rsid w:val="00307582"/>
    <w:rsid w:val="00320BB5"/>
    <w:rsid w:val="0032199D"/>
    <w:rsid w:val="00322483"/>
    <w:rsid w:val="00344812"/>
    <w:rsid w:val="00362E6C"/>
    <w:rsid w:val="00365630"/>
    <w:rsid w:val="00374623"/>
    <w:rsid w:val="0038206C"/>
    <w:rsid w:val="00385455"/>
    <w:rsid w:val="003A017D"/>
    <w:rsid w:val="003A7232"/>
    <w:rsid w:val="003A7CAC"/>
    <w:rsid w:val="003B05B8"/>
    <w:rsid w:val="003C30E3"/>
    <w:rsid w:val="003C3D76"/>
    <w:rsid w:val="003D0536"/>
    <w:rsid w:val="003D5D84"/>
    <w:rsid w:val="003D69B7"/>
    <w:rsid w:val="003D6D26"/>
    <w:rsid w:val="003E3FDF"/>
    <w:rsid w:val="003E625B"/>
    <w:rsid w:val="003F1A71"/>
    <w:rsid w:val="003F3708"/>
    <w:rsid w:val="003F6824"/>
    <w:rsid w:val="00400967"/>
    <w:rsid w:val="00402EEA"/>
    <w:rsid w:val="0041193B"/>
    <w:rsid w:val="0041317C"/>
    <w:rsid w:val="0042004B"/>
    <w:rsid w:val="0042030E"/>
    <w:rsid w:val="00422446"/>
    <w:rsid w:val="0042747B"/>
    <w:rsid w:val="00433575"/>
    <w:rsid w:val="004428BC"/>
    <w:rsid w:val="00442A26"/>
    <w:rsid w:val="00443915"/>
    <w:rsid w:val="00445199"/>
    <w:rsid w:val="00452C69"/>
    <w:rsid w:val="004543C0"/>
    <w:rsid w:val="0045667D"/>
    <w:rsid w:val="00466D6B"/>
    <w:rsid w:val="00471093"/>
    <w:rsid w:val="00474A0C"/>
    <w:rsid w:val="00480394"/>
    <w:rsid w:val="00485D8B"/>
    <w:rsid w:val="004A6DB0"/>
    <w:rsid w:val="004B22DC"/>
    <w:rsid w:val="004C3B4B"/>
    <w:rsid w:val="004C7E1C"/>
    <w:rsid w:val="004D4661"/>
    <w:rsid w:val="004F1C54"/>
    <w:rsid w:val="005009FB"/>
    <w:rsid w:val="00511897"/>
    <w:rsid w:val="00521C6F"/>
    <w:rsid w:val="0054720D"/>
    <w:rsid w:val="0054747B"/>
    <w:rsid w:val="00553434"/>
    <w:rsid w:val="00556A65"/>
    <w:rsid w:val="00560A2B"/>
    <w:rsid w:val="00561614"/>
    <w:rsid w:val="005877DD"/>
    <w:rsid w:val="00593588"/>
    <w:rsid w:val="00597DFD"/>
    <w:rsid w:val="005A5291"/>
    <w:rsid w:val="005A623E"/>
    <w:rsid w:val="005C240E"/>
    <w:rsid w:val="005C4060"/>
    <w:rsid w:val="005C6E58"/>
    <w:rsid w:val="005D1F47"/>
    <w:rsid w:val="005D6A59"/>
    <w:rsid w:val="005E0E44"/>
    <w:rsid w:val="005E4477"/>
    <w:rsid w:val="005E5AB1"/>
    <w:rsid w:val="005E5C68"/>
    <w:rsid w:val="005F0FBC"/>
    <w:rsid w:val="005F3A5D"/>
    <w:rsid w:val="00602411"/>
    <w:rsid w:val="006046AC"/>
    <w:rsid w:val="00611023"/>
    <w:rsid w:val="0063008F"/>
    <w:rsid w:val="0064231E"/>
    <w:rsid w:val="00646098"/>
    <w:rsid w:val="00647D82"/>
    <w:rsid w:val="006508D7"/>
    <w:rsid w:val="00660013"/>
    <w:rsid w:val="006647B7"/>
    <w:rsid w:val="006804B8"/>
    <w:rsid w:val="00680DFA"/>
    <w:rsid w:val="006911E4"/>
    <w:rsid w:val="00692B03"/>
    <w:rsid w:val="00697F25"/>
    <w:rsid w:val="006A1C23"/>
    <w:rsid w:val="006B0C33"/>
    <w:rsid w:val="006B312C"/>
    <w:rsid w:val="006B69E6"/>
    <w:rsid w:val="006C4A3D"/>
    <w:rsid w:val="006E1629"/>
    <w:rsid w:val="006F0980"/>
    <w:rsid w:val="006F1BD6"/>
    <w:rsid w:val="006F2A1F"/>
    <w:rsid w:val="006F6374"/>
    <w:rsid w:val="00701939"/>
    <w:rsid w:val="00707A2D"/>
    <w:rsid w:val="00707D39"/>
    <w:rsid w:val="00711CC7"/>
    <w:rsid w:val="00716689"/>
    <w:rsid w:val="00723A38"/>
    <w:rsid w:val="00726786"/>
    <w:rsid w:val="00727D46"/>
    <w:rsid w:val="0073135A"/>
    <w:rsid w:val="00733DB3"/>
    <w:rsid w:val="00737AAC"/>
    <w:rsid w:val="00742AFF"/>
    <w:rsid w:val="00744527"/>
    <w:rsid w:val="007537C0"/>
    <w:rsid w:val="007604A1"/>
    <w:rsid w:val="00764B9D"/>
    <w:rsid w:val="0077365B"/>
    <w:rsid w:val="00780D5E"/>
    <w:rsid w:val="00782CFA"/>
    <w:rsid w:val="00782E10"/>
    <w:rsid w:val="00790329"/>
    <w:rsid w:val="00792707"/>
    <w:rsid w:val="007B470A"/>
    <w:rsid w:val="007B7798"/>
    <w:rsid w:val="007C6F08"/>
    <w:rsid w:val="007E0C96"/>
    <w:rsid w:val="007E7175"/>
    <w:rsid w:val="00805803"/>
    <w:rsid w:val="00813084"/>
    <w:rsid w:val="00815052"/>
    <w:rsid w:val="00815892"/>
    <w:rsid w:val="00832702"/>
    <w:rsid w:val="00845636"/>
    <w:rsid w:val="00846558"/>
    <w:rsid w:val="00863F03"/>
    <w:rsid w:val="0086708B"/>
    <w:rsid w:val="0087260A"/>
    <w:rsid w:val="00882959"/>
    <w:rsid w:val="00883797"/>
    <w:rsid w:val="00885EB8"/>
    <w:rsid w:val="008C7180"/>
    <w:rsid w:val="008D3E6A"/>
    <w:rsid w:val="008E4405"/>
    <w:rsid w:val="008E711B"/>
    <w:rsid w:val="008F3F5E"/>
    <w:rsid w:val="008F4761"/>
    <w:rsid w:val="008F6236"/>
    <w:rsid w:val="009034F7"/>
    <w:rsid w:val="00906A3D"/>
    <w:rsid w:val="00911950"/>
    <w:rsid w:val="00911B9E"/>
    <w:rsid w:val="00912705"/>
    <w:rsid w:val="0091312D"/>
    <w:rsid w:val="009132C1"/>
    <w:rsid w:val="00920810"/>
    <w:rsid w:val="00926670"/>
    <w:rsid w:val="00927C79"/>
    <w:rsid w:val="00930DC4"/>
    <w:rsid w:val="00932ED9"/>
    <w:rsid w:val="0094183F"/>
    <w:rsid w:val="00951E1F"/>
    <w:rsid w:val="0097714E"/>
    <w:rsid w:val="009830B6"/>
    <w:rsid w:val="009836CA"/>
    <w:rsid w:val="00983C5A"/>
    <w:rsid w:val="009901CA"/>
    <w:rsid w:val="009916E0"/>
    <w:rsid w:val="009A4557"/>
    <w:rsid w:val="009B061C"/>
    <w:rsid w:val="009B0789"/>
    <w:rsid w:val="009B7989"/>
    <w:rsid w:val="009C7F26"/>
    <w:rsid w:val="009E65A8"/>
    <w:rsid w:val="009F2C2D"/>
    <w:rsid w:val="00A23310"/>
    <w:rsid w:val="00A27003"/>
    <w:rsid w:val="00A37DD6"/>
    <w:rsid w:val="00A438BD"/>
    <w:rsid w:val="00A46F3A"/>
    <w:rsid w:val="00A51736"/>
    <w:rsid w:val="00A5465E"/>
    <w:rsid w:val="00A60A28"/>
    <w:rsid w:val="00A633EA"/>
    <w:rsid w:val="00A64BE2"/>
    <w:rsid w:val="00A73289"/>
    <w:rsid w:val="00A8377C"/>
    <w:rsid w:val="00A9303C"/>
    <w:rsid w:val="00AB4EBC"/>
    <w:rsid w:val="00AD05A1"/>
    <w:rsid w:val="00AD4B8A"/>
    <w:rsid w:val="00AD524B"/>
    <w:rsid w:val="00AE5358"/>
    <w:rsid w:val="00AE6570"/>
    <w:rsid w:val="00AE6DA1"/>
    <w:rsid w:val="00AF71A6"/>
    <w:rsid w:val="00AF73FD"/>
    <w:rsid w:val="00AF7C98"/>
    <w:rsid w:val="00B01745"/>
    <w:rsid w:val="00B11688"/>
    <w:rsid w:val="00B16648"/>
    <w:rsid w:val="00B215E3"/>
    <w:rsid w:val="00B24739"/>
    <w:rsid w:val="00B34DD3"/>
    <w:rsid w:val="00B42DF8"/>
    <w:rsid w:val="00B43854"/>
    <w:rsid w:val="00B55640"/>
    <w:rsid w:val="00B616B5"/>
    <w:rsid w:val="00B65CAF"/>
    <w:rsid w:val="00B72ABC"/>
    <w:rsid w:val="00B734E6"/>
    <w:rsid w:val="00B74397"/>
    <w:rsid w:val="00B83FF5"/>
    <w:rsid w:val="00B87D7D"/>
    <w:rsid w:val="00B90411"/>
    <w:rsid w:val="00B919A2"/>
    <w:rsid w:val="00B91BF7"/>
    <w:rsid w:val="00B93DC4"/>
    <w:rsid w:val="00B9548A"/>
    <w:rsid w:val="00BA2BF1"/>
    <w:rsid w:val="00BC50BD"/>
    <w:rsid w:val="00BD0ABB"/>
    <w:rsid w:val="00BD0F33"/>
    <w:rsid w:val="00BD31E0"/>
    <w:rsid w:val="00BD3BFC"/>
    <w:rsid w:val="00BE453A"/>
    <w:rsid w:val="00BE5AEC"/>
    <w:rsid w:val="00BE7067"/>
    <w:rsid w:val="00BF7654"/>
    <w:rsid w:val="00C00628"/>
    <w:rsid w:val="00C01A37"/>
    <w:rsid w:val="00C050E0"/>
    <w:rsid w:val="00C059C6"/>
    <w:rsid w:val="00C0648C"/>
    <w:rsid w:val="00C20070"/>
    <w:rsid w:val="00C22B62"/>
    <w:rsid w:val="00C40E2B"/>
    <w:rsid w:val="00C41B8D"/>
    <w:rsid w:val="00C421E8"/>
    <w:rsid w:val="00C4227A"/>
    <w:rsid w:val="00C44E98"/>
    <w:rsid w:val="00C5544F"/>
    <w:rsid w:val="00C6578E"/>
    <w:rsid w:val="00C72048"/>
    <w:rsid w:val="00C72C6A"/>
    <w:rsid w:val="00C752D7"/>
    <w:rsid w:val="00C80CFB"/>
    <w:rsid w:val="00C8542E"/>
    <w:rsid w:val="00C90491"/>
    <w:rsid w:val="00CA53D7"/>
    <w:rsid w:val="00CA5647"/>
    <w:rsid w:val="00CB0E3E"/>
    <w:rsid w:val="00CB6629"/>
    <w:rsid w:val="00CC0D4C"/>
    <w:rsid w:val="00CC76AC"/>
    <w:rsid w:val="00CC76D7"/>
    <w:rsid w:val="00CD2B1D"/>
    <w:rsid w:val="00CD2C51"/>
    <w:rsid w:val="00CD5E66"/>
    <w:rsid w:val="00CD60B0"/>
    <w:rsid w:val="00CE7278"/>
    <w:rsid w:val="00CE7DDB"/>
    <w:rsid w:val="00CF4016"/>
    <w:rsid w:val="00D00CA0"/>
    <w:rsid w:val="00D01A27"/>
    <w:rsid w:val="00D128BE"/>
    <w:rsid w:val="00D163E8"/>
    <w:rsid w:val="00D166D6"/>
    <w:rsid w:val="00D264E5"/>
    <w:rsid w:val="00D30CCE"/>
    <w:rsid w:val="00D375EB"/>
    <w:rsid w:val="00D45F2C"/>
    <w:rsid w:val="00D660B2"/>
    <w:rsid w:val="00D6656C"/>
    <w:rsid w:val="00D82D99"/>
    <w:rsid w:val="00D914A7"/>
    <w:rsid w:val="00D939D0"/>
    <w:rsid w:val="00D958BA"/>
    <w:rsid w:val="00DA0236"/>
    <w:rsid w:val="00DA1C47"/>
    <w:rsid w:val="00DA4647"/>
    <w:rsid w:val="00DA640B"/>
    <w:rsid w:val="00DB2951"/>
    <w:rsid w:val="00DC1903"/>
    <w:rsid w:val="00DE4BB8"/>
    <w:rsid w:val="00DE7752"/>
    <w:rsid w:val="00DF0082"/>
    <w:rsid w:val="00E02614"/>
    <w:rsid w:val="00E03F42"/>
    <w:rsid w:val="00E05DA3"/>
    <w:rsid w:val="00E11B34"/>
    <w:rsid w:val="00E159F4"/>
    <w:rsid w:val="00E22E3E"/>
    <w:rsid w:val="00E35A1B"/>
    <w:rsid w:val="00E35CB9"/>
    <w:rsid w:val="00E4266B"/>
    <w:rsid w:val="00E5436A"/>
    <w:rsid w:val="00E55647"/>
    <w:rsid w:val="00E5598A"/>
    <w:rsid w:val="00E650A6"/>
    <w:rsid w:val="00E745D8"/>
    <w:rsid w:val="00E77F44"/>
    <w:rsid w:val="00E837BF"/>
    <w:rsid w:val="00E92326"/>
    <w:rsid w:val="00EA1F79"/>
    <w:rsid w:val="00EA2502"/>
    <w:rsid w:val="00EA5725"/>
    <w:rsid w:val="00EA6936"/>
    <w:rsid w:val="00EC0C44"/>
    <w:rsid w:val="00EC2DFC"/>
    <w:rsid w:val="00EC4A6A"/>
    <w:rsid w:val="00EC4E3D"/>
    <w:rsid w:val="00EC68D9"/>
    <w:rsid w:val="00ED7A1B"/>
    <w:rsid w:val="00F02815"/>
    <w:rsid w:val="00F034BF"/>
    <w:rsid w:val="00F07399"/>
    <w:rsid w:val="00F077D2"/>
    <w:rsid w:val="00F10864"/>
    <w:rsid w:val="00F30694"/>
    <w:rsid w:val="00F40BDB"/>
    <w:rsid w:val="00F443F8"/>
    <w:rsid w:val="00F56974"/>
    <w:rsid w:val="00F5738C"/>
    <w:rsid w:val="00F6127A"/>
    <w:rsid w:val="00F926D1"/>
    <w:rsid w:val="00F96048"/>
    <w:rsid w:val="00F97341"/>
    <w:rsid w:val="00FA26DE"/>
    <w:rsid w:val="00FB3BC4"/>
    <w:rsid w:val="00FB7F6F"/>
    <w:rsid w:val="00FC34E8"/>
    <w:rsid w:val="00FD2773"/>
    <w:rsid w:val="00FD2CCF"/>
    <w:rsid w:val="00FD37D7"/>
    <w:rsid w:val="00FE2BBB"/>
    <w:rsid w:val="00FE4447"/>
    <w:rsid w:val="00FF6A3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2A2774"/>
  <w15:chartTrackingRefBased/>
  <w15:docId w15:val="{26A2C808-D189-41EB-B54A-9BED10F2F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F25"/>
  </w:style>
  <w:style w:type="paragraph" w:styleId="Ttulo1">
    <w:name w:val="heading 1"/>
    <w:basedOn w:val="Normal"/>
    <w:next w:val="Normal"/>
    <w:link w:val="Ttulo1Car"/>
    <w:uiPriority w:val="9"/>
    <w:qFormat/>
    <w:rsid w:val="004131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131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1317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1317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1317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1317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1317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1317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1317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1317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1317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1317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1317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1317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1317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1317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1317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1317C"/>
    <w:rPr>
      <w:rFonts w:eastAsiaTheme="majorEastAsia" w:cstheme="majorBidi"/>
      <w:color w:val="272727" w:themeColor="text1" w:themeTint="D8"/>
    </w:rPr>
  </w:style>
  <w:style w:type="paragraph" w:styleId="Ttulo">
    <w:name w:val="Title"/>
    <w:basedOn w:val="Normal"/>
    <w:next w:val="Normal"/>
    <w:link w:val="TtuloCar"/>
    <w:uiPriority w:val="10"/>
    <w:qFormat/>
    <w:rsid w:val="004131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1317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1317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1317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1317C"/>
    <w:pPr>
      <w:spacing w:before="160"/>
      <w:jc w:val="center"/>
    </w:pPr>
    <w:rPr>
      <w:i/>
      <w:iCs/>
      <w:color w:val="404040" w:themeColor="text1" w:themeTint="BF"/>
    </w:rPr>
  </w:style>
  <w:style w:type="character" w:customStyle="1" w:styleId="CitaCar">
    <w:name w:val="Cita Car"/>
    <w:basedOn w:val="Fuentedeprrafopredeter"/>
    <w:link w:val="Cita"/>
    <w:uiPriority w:val="29"/>
    <w:rsid w:val="0041317C"/>
    <w:rPr>
      <w:i/>
      <w:iCs/>
      <w:color w:val="404040" w:themeColor="text1" w:themeTint="BF"/>
    </w:rPr>
  </w:style>
  <w:style w:type="paragraph" w:styleId="Prrafodelista">
    <w:name w:val="List Paragraph"/>
    <w:basedOn w:val="Normal"/>
    <w:qFormat/>
    <w:rsid w:val="0041317C"/>
    <w:pPr>
      <w:ind w:left="720"/>
      <w:contextualSpacing/>
    </w:pPr>
  </w:style>
  <w:style w:type="character" w:styleId="nfasisintenso">
    <w:name w:val="Intense Emphasis"/>
    <w:basedOn w:val="Fuentedeprrafopredeter"/>
    <w:uiPriority w:val="21"/>
    <w:qFormat/>
    <w:rsid w:val="0041317C"/>
    <w:rPr>
      <w:i/>
      <w:iCs/>
      <w:color w:val="0F4761" w:themeColor="accent1" w:themeShade="BF"/>
    </w:rPr>
  </w:style>
  <w:style w:type="paragraph" w:styleId="Citadestacada">
    <w:name w:val="Intense Quote"/>
    <w:basedOn w:val="Normal"/>
    <w:next w:val="Normal"/>
    <w:link w:val="CitadestacadaCar"/>
    <w:uiPriority w:val="30"/>
    <w:qFormat/>
    <w:rsid w:val="004131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1317C"/>
    <w:rPr>
      <w:i/>
      <w:iCs/>
      <w:color w:val="0F4761" w:themeColor="accent1" w:themeShade="BF"/>
    </w:rPr>
  </w:style>
  <w:style w:type="character" w:styleId="Referenciaintensa">
    <w:name w:val="Intense Reference"/>
    <w:basedOn w:val="Fuentedeprrafopredeter"/>
    <w:uiPriority w:val="32"/>
    <w:qFormat/>
    <w:rsid w:val="0041317C"/>
    <w:rPr>
      <w:b/>
      <w:bCs/>
      <w:smallCaps/>
      <w:color w:val="0F4761" w:themeColor="accent1" w:themeShade="BF"/>
      <w:spacing w:val="5"/>
    </w:rPr>
  </w:style>
  <w:style w:type="character" w:styleId="Hipervnculo">
    <w:name w:val="Hyperlink"/>
    <w:basedOn w:val="Fuentedeprrafopredeter"/>
    <w:uiPriority w:val="99"/>
    <w:unhideWhenUsed/>
    <w:rsid w:val="0041317C"/>
    <w:rPr>
      <w:color w:val="467886" w:themeColor="hyperlink"/>
      <w:u w:val="single"/>
    </w:rPr>
  </w:style>
  <w:style w:type="character" w:styleId="Mencinsinresolver">
    <w:name w:val="Unresolved Mention"/>
    <w:basedOn w:val="Fuentedeprrafopredeter"/>
    <w:uiPriority w:val="99"/>
    <w:semiHidden/>
    <w:unhideWhenUsed/>
    <w:rsid w:val="0041317C"/>
    <w:rPr>
      <w:color w:val="605E5C"/>
      <w:shd w:val="clear" w:color="auto" w:fill="E1DFDD"/>
    </w:rPr>
  </w:style>
  <w:style w:type="paragraph" w:styleId="Encabezado">
    <w:name w:val="header"/>
    <w:basedOn w:val="Normal"/>
    <w:link w:val="EncabezadoCar"/>
    <w:uiPriority w:val="99"/>
    <w:unhideWhenUsed/>
    <w:rsid w:val="0041317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1317C"/>
  </w:style>
  <w:style w:type="paragraph" w:styleId="Piedepgina">
    <w:name w:val="footer"/>
    <w:basedOn w:val="Normal"/>
    <w:link w:val="PiedepginaCar"/>
    <w:uiPriority w:val="99"/>
    <w:unhideWhenUsed/>
    <w:rsid w:val="0041317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1317C"/>
  </w:style>
  <w:style w:type="table" w:styleId="Tablaconcuadrcula">
    <w:name w:val="Table Grid"/>
    <w:basedOn w:val="Tablanormal"/>
    <w:uiPriority w:val="39"/>
    <w:rsid w:val="004131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3A7CAC"/>
    <w:pPr>
      <w:spacing w:before="480" w:after="0" w:line="276" w:lineRule="auto"/>
      <w:outlineLvl w:val="9"/>
    </w:pPr>
    <w:rPr>
      <w:b/>
      <w:bCs/>
      <w:kern w:val="0"/>
      <w:sz w:val="28"/>
      <w:szCs w:val="28"/>
      <w:lang w:eastAsia="es-MX"/>
      <w14:ligatures w14:val="none"/>
    </w:rPr>
  </w:style>
  <w:style w:type="paragraph" w:styleId="TDC1">
    <w:name w:val="toc 1"/>
    <w:basedOn w:val="Normal"/>
    <w:next w:val="Normal"/>
    <w:autoRedefine/>
    <w:uiPriority w:val="39"/>
    <w:unhideWhenUsed/>
    <w:rsid w:val="003A7CAC"/>
    <w:pPr>
      <w:spacing w:before="120" w:after="0"/>
    </w:pPr>
    <w:rPr>
      <w:b/>
      <w:bCs/>
      <w:i/>
      <w:iCs/>
      <w:sz w:val="24"/>
      <w:szCs w:val="24"/>
    </w:rPr>
  </w:style>
  <w:style w:type="paragraph" w:styleId="TDC2">
    <w:name w:val="toc 2"/>
    <w:basedOn w:val="Normal"/>
    <w:next w:val="Normal"/>
    <w:autoRedefine/>
    <w:uiPriority w:val="39"/>
    <w:unhideWhenUsed/>
    <w:rsid w:val="003A7CAC"/>
    <w:pPr>
      <w:spacing w:before="120" w:after="0"/>
      <w:ind w:left="220"/>
    </w:pPr>
    <w:rPr>
      <w:b/>
      <w:bCs/>
    </w:rPr>
  </w:style>
  <w:style w:type="paragraph" w:styleId="TDC3">
    <w:name w:val="toc 3"/>
    <w:basedOn w:val="Normal"/>
    <w:next w:val="Normal"/>
    <w:autoRedefine/>
    <w:uiPriority w:val="39"/>
    <w:unhideWhenUsed/>
    <w:rsid w:val="003A7CAC"/>
    <w:pPr>
      <w:spacing w:after="0"/>
      <w:ind w:left="440"/>
    </w:pPr>
    <w:rPr>
      <w:sz w:val="20"/>
      <w:szCs w:val="20"/>
    </w:rPr>
  </w:style>
  <w:style w:type="paragraph" w:styleId="TDC4">
    <w:name w:val="toc 4"/>
    <w:basedOn w:val="Normal"/>
    <w:next w:val="Normal"/>
    <w:autoRedefine/>
    <w:uiPriority w:val="39"/>
    <w:semiHidden/>
    <w:unhideWhenUsed/>
    <w:rsid w:val="003A7CAC"/>
    <w:pPr>
      <w:spacing w:after="0"/>
      <w:ind w:left="660"/>
    </w:pPr>
    <w:rPr>
      <w:sz w:val="20"/>
      <w:szCs w:val="20"/>
    </w:rPr>
  </w:style>
  <w:style w:type="paragraph" w:styleId="TDC5">
    <w:name w:val="toc 5"/>
    <w:basedOn w:val="Normal"/>
    <w:next w:val="Normal"/>
    <w:autoRedefine/>
    <w:uiPriority w:val="39"/>
    <w:semiHidden/>
    <w:unhideWhenUsed/>
    <w:rsid w:val="003A7CAC"/>
    <w:pPr>
      <w:spacing w:after="0"/>
      <w:ind w:left="880"/>
    </w:pPr>
    <w:rPr>
      <w:sz w:val="20"/>
      <w:szCs w:val="20"/>
    </w:rPr>
  </w:style>
  <w:style w:type="paragraph" w:styleId="TDC6">
    <w:name w:val="toc 6"/>
    <w:basedOn w:val="Normal"/>
    <w:next w:val="Normal"/>
    <w:autoRedefine/>
    <w:uiPriority w:val="39"/>
    <w:semiHidden/>
    <w:unhideWhenUsed/>
    <w:rsid w:val="003A7CAC"/>
    <w:pPr>
      <w:spacing w:after="0"/>
      <w:ind w:left="1100"/>
    </w:pPr>
    <w:rPr>
      <w:sz w:val="20"/>
      <w:szCs w:val="20"/>
    </w:rPr>
  </w:style>
  <w:style w:type="paragraph" w:styleId="TDC7">
    <w:name w:val="toc 7"/>
    <w:basedOn w:val="Normal"/>
    <w:next w:val="Normal"/>
    <w:autoRedefine/>
    <w:uiPriority w:val="39"/>
    <w:semiHidden/>
    <w:unhideWhenUsed/>
    <w:rsid w:val="003A7CAC"/>
    <w:pPr>
      <w:spacing w:after="0"/>
      <w:ind w:left="1320"/>
    </w:pPr>
    <w:rPr>
      <w:sz w:val="20"/>
      <w:szCs w:val="20"/>
    </w:rPr>
  </w:style>
  <w:style w:type="paragraph" w:styleId="TDC8">
    <w:name w:val="toc 8"/>
    <w:basedOn w:val="Normal"/>
    <w:next w:val="Normal"/>
    <w:autoRedefine/>
    <w:uiPriority w:val="39"/>
    <w:semiHidden/>
    <w:unhideWhenUsed/>
    <w:rsid w:val="003A7CAC"/>
    <w:pPr>
      <w:spacing w:after="0"/>
      <w:ind w:left="1540"/>
    </w:pPr>
    <w:rPr>
      <w:sz w:val="20"/>
      <w:szCs w:val="20"/>
    </w:rPr>
  </w:style>
  <w:style w:type="paragraph" w:styleId="TDC9">
    <w:name w:val="toc 9"/>
    <w:basedOn w:val="Normal"/>
    <w:next w:val="Normal"/>
    <w:autoRedefine/>
    <w:uiPriority w:val="39"/>
    <w:semiHidden/>
    <w:unhideWhenUsed/>
    <w:rsid w:val="003A7CAC"/>
    <w:pPr>
      <w:spacing w:after="0"/>
      <w:ind w:left="1760"/>
    </w:pPr>
    <w:rPr>
      <w:sz w:val="20"/>
      <w:szCs w:val="20"/>
    </w:rPr>
  </w:style>
  <w:style w:type="paragraph" w:customStyle="1" w:styleId="p1">
    <w:name w:val="p1"/>
    <w:basedOn w:val="Normal"/>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customStyle="1" w:styleId="p2">
    <w:name w:val="p2"/>
    <w:basedOn w:val="Normal"/>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styleId="NormalWeb">
    <w:name w:val="Normal (Web)"/>
    <w:basedOn w:val="Normal"/>
    <w:uiPriority w:val="99"/>
    <w:unhideWhenUsed/>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customStyle="1" w:styleId="apple-converted-space">
    <w:name w:val="apple-converted-space"/>
    <w:basedOn w:val="Fuentedeprrafopredeter"/>
    <w:rsid w:val="00744527"/>
  </w:style>
  <w:style w:type="character" w:styleId="Textoennegrita">
    <w:name w:val="Strong"/>
    <w:basedOn w:val="Fuentedeprrafopredeter"/>
    <w:uiPriority w:val="22"/>
    <w:qFormat/>
    <w:rsid w:val="00744527"/>
    <w:rPr>
      <w:b/>
      <w:bCs/>
    </w:rPr>
  </w:style>
  <w:style w:type="character" w:styleId="nfasis">
    <w:name w:val="Emphasis"/>
    <w:basedOn w:val="Fuentedeprrafopredeter"/>
    <w:uiPriority w:val="20"/>
    <w:qFormat/>
    <w:rsid w:val="00744527"/>
    <w:rPr>
      <w:i/>
      <w:iCs/>
    </w:rPr>
  </w:style>
  <w:style w:type="character" w:customStyle="1" w:styleId="s1">
    <w:name w:val="s1"/>
    <w:basedOn w:val="Fuentedeprrafopredeter"/>
    <w:rsid w:val="00744527"/>
  </w:style>
  <w:style w:type="paragraph" w:customStyle="1" w:styleId="p3">
    <w:name w:val="p3"/>
    <w:basedOn w:val="Normal"/>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customStyle="1" w:styleId="p4">
    <w:name w:val="p4"/>
    <w:basedOn w:val="Normal"/>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Textodelmarcadordeposicin">
    <w:name w:val="Placeholder Text"/>
    <w:basedOn w:val="Fuentedeprrafopredeter"/>
    <w:uiPriority w:val="99"/>
    <w:semiHidden/>
    <w:rsid w:val="00D163E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856008">
      <w:bodyDiv w:val="1"/>
      <w:marLeft w:val="0"/>
      <w:marRight w:val="0"/>
      <w:marTop w:val="0"/>
      <w:marBottom w:val="0"/>
      <w:divBdr>
        <w:top w:val="none" w:sz="0" w:space="0" w:color="auto"/>
        <w:left w:val="none" w:sz="0" w:space="0" w:color="auto"/>
        <w:bottom w:val="none" w:sz="0" w:space="0" w:color="auto"/>
        <w:right w:val="none" w:sz="0" w:space="0" w:color="auto"/>
      </w:divBdr>
      <w:divsChild>
        <w:div w:id="538779964">
          <w:marLeft w:val="0"/>
          <w:marRight w:val="0"/>
          <w:marTop w:val="0"/>
          <w:marBottom w:val="0"/>
          <w:divBdr>
            <w:top w:val="none" w:sz="0" w:space="0" w:color="auto"/>
            <w:left w:val="none" w:sz="0" w:space="0" w:color="auto"/>
            <w:bottom w:val="none" w:sz="0" w:space="0" w:color="auto"/>
            <w:right w:val="none" w:sz="0" w:space="0" w:color="auto"/>
          </w:divBdr>
          <w:divsChild>
            <w:div w:id="2013560211">
              <w:marLeft w:val="0"/>
              <w:marRight w:val="0"/>
              <w:marTop w:val="0"/>
              <w:marBottom w:val="0"/>
              <w:divBdr>
                <w:top w:val="none" w:sz="0" w:space="0" w:color="auto"/>
                <w:left w:val="none" w:sz="0" w:space="0" w:color="auto"/>
                <w:bottom w:val="none" w:sz="0" w:space="0" w:color="auto"/>
                <w:right w:val="none" w:sz="0" w:space="0" w:color="auto"/>
              </w:divBdr>
              <w:divsChild>
                <w:div w:id="1203052145">
                  <w:marLeft w:val="0"/>
                  <w:marRight w:val="0"/>
                  <w:marTop w:val="0"/>
                  <w:marBottom w:val="0"/>
                  <w:divBdr>
                    <w:top w:val="none" w:sz="0" w:space="0" w:color="auto"/>
                    <w:left w:val="none" w:sz="0" w:space="0" w:color="auto"/>
                    <w:bottom w:val="none" w:sz="0" w:space="0" w:color="auto"/>
                    <w:right w:val="none" w:sz="0" w:space="0" w:color="auto"/>
                  </w:divBdr>
                  <w:divsChild>
                    <w:div w:id="1286158425">
                      <w:marLeft w:val="0"/>
                      <w:marRight w:val="0"/>
                      <w:marTop w:val="0"/>
                      <w:marBottom w:val="0"/>
                      <w:divBdr>
                        <w:top w:val="none" w:sz="0" w:space="0" w:color="auto"/>
                        <w:left w:val="none" w:sz="0" w:space="0" w:color="auto"/>
                        <w:bottom w:val="none" w:sz="0" w:space="0" w:color="auto"/>
                        <w:right w:val="none" w:sz="0" w:space="0" w:color="auto"/>
                      </w:divBdr>
                      <w:divsChild>
                        <w:div w:id="1787308490">
                          <w:marLeft w:val="0"/>
                          <w:marRight w:val="0"/>
                          <w:marTop w:val="0"/>
                          <w:marBottom w:val="0"/>
                          <w:divBdr>
                            <w:top w:val="none" w:sz="0" w:space="0" w:color="auto"/>
                            <w:left w:val="none" w:sz="0" w:space="0" w:color="auto"/>
                            <w:bottom w:val="none" w:sz="0" w:space="0" w:color="auto"/>
                            <w:right w:val="none" w:sz="0" w:space="0" w:color="auto"/>
                          </w:divBdr>
                          <w:divsChild>
                            <w:div w:id="49233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5554617">
      <w:bodyDiv w:val="1"/>
      <w:marLeft w:val="0"/>
      <w:marRight w:val="0"/>
      <w:marTop w:val="0"/>
      <w:marBottom w:val="0"/>
      <w:divBdr>
        <w:top w:val="none" w:sz="0" w:space="0" w:color="auto"/>
        <w:left w:val="none" w:sz="0" w:space="0" w:color="auto"/>
        <w:bottom w:val="none" w:sz="0" w:space="0" w:color="auto"/>
        <w:right w:val="none" w:sz="0" w:space="0" w:color="auto"/>
      </w:divBdr>
    </w:div>
    <w:div w:id="288972275">
      <w:bodyDiv w:val="1"/>
      <w:marLeft w:val="0"/>
      <w:marRight w:val="0"/>
      <w:marTop w:val="0"/>
      <w:marBottom w:val="0"/>
      <w:divBdr>
        <w:top w:val="none" w:sz="0" w:space="0" w:color="auto"/>
        <w:left w:val="none" w:sz="0" w:space="0" w:color="auto"/>
        <w:bottom w:val="none" w:sz="0" w:space="0" w:color="auto"/>
        <w:right w:val="none" w:sz="0" w:space="0" w:color="auto"/>
      </w:divBdr>
    </w:div>
    <w:div w:id="291596623">
      <w:bodyDiv w:val="1"/>
      <w:marLeft w:val="0"/>
      <w:marRight w:val="0"/>
      <w:marTop w:val="0"/>
      <w:marBottom w:val="0"/>
      <w:divBdr>
        <w:top w:val="none" w:sz="0" w:space="0" w:color="auto"/>
        <w:left w:val="none" w:sz="0" w:space="0" w:color="auto"/>
        <w:bottom w:val="none" w:sz="0" w:space="0" w:color="auto"/>
        <w:right w:val="none" w:sz="0" w:space="0" w:color="auto"/>
      </w:divBdr>
    </w:div>
    <w:div w:id="332950361">
      <w:bodyDiv w:val="1"/>
      <w:marLeft w:val="0"/>
      <w:marRight w:val="0"/>
      <w:marTop w:val="0"/>
      <w:marBottom w:val="0"/>
      <w:divBdr>
        <w:top w:val="none" w:sz="0" w:space="0" w:color="auto"/>
        <w:left w:val="none" w:sz="0" w:space="0" w:color="auto"/>
        <w:bottom w:val="none" w:sz="0" w:space="0" w:color="auto"/>
        <w:right w:val="none" w:sz="0" w:space="0" w:color="auto"/>
      </w:divBdr>
    </w:div>
    <w:div w:id="392117003">
      <w:bodyDiv w:val="1"/>
      <w:marLeft w:val="0"/>
      <w:marRight w:val="0"/>
      <w:marTop w:val="0"/>
      <w:marBottom w:val="0"/>
      <w:divBdr>
        <w:top w:val="none" w:sz="0" w:space="0" w:color="auto"/>
        <w:left w:val="none" w:sz="0" w:space="0" w:color="auto"/>
        <w:bottom w:val="none" w:sz="0" w:space="0" w:color="auto"/>
        <w:right w:val="none" w:sz="0" w:space="0" w:color="auto"/>
      </w:divBdr>
    </w:div>
    <w:div w:id="421528433">
      <w:bodyDiv w:val="1"/>
      <w:marLeft w:val="0"/>
      <w:marRight w:val="0"/>
      <w:marTop w:val="0"/>
      <w:marBottom w:val="0"/>
      <w:divBdr>
        <w:top w:val="none" w:sz="0" w:space="0" w:color="auto"/>
        <w:left w:val="none" w:sz="0" w:space="0" w:color="auto"/>
        <w:bottom w:val="none" w:sz="0" w:space="0" w:color="auto"/>
        <w:right w:val="none" w:sz="0" w:space="0" w:color="auto"/>
      </w:divBdr>
    </w:div>
    <w:div w:id="701712239">
      <w:bodyDiv w:val="1"/>
      <w:marLeft w:val="0"/>
      <w:marRight w:val="0"/>
      <w:marTop w:val="0"/>
      <w:marBottom w:val="0"/>
      <w:divBdr>
        <w:top w:val="none" w:sz="0" w:space="0" w:color="auto"/>
        <w:left w:val="none" w:sz="0" w:space="0" w:color="auto"/>
        <w:bottom w:val="none" w:sz="0" w:space="0" w:color="auto"/>
        <w:right w:val="none" w:sz="0" w:space="0" w:color="auto"/>
      </w:divBdr>
    </w:div>
    <w:div w:id="765615622">
      <w:bodyDiv w:val="1"/>
      <w:marLeft w:val="0"/>
      <w:marRight w:val="0"/>
      <w:marTop w:val="0"/>
      <w:marBottom w:val="0"/>
      <w:divBdr>
        <w:top w:val="none" w:sz="0" w:space="0" w:color="auto"/>
        <w:left w:val="none" w:sz="0" w:space="0" w:color="auto"/>
        <w:bottom w:val="none" w:sz="0" w:space="0" w:color="auto"/>
        <w:right w:val="none" w:sz="0" w:space="0" w:color="auto"/>
      </w:divBdr>
      <w:divsChild>
        <w:div w:id="1864204168">
          <w:marLeft w:val="0"/>
          <w:marRight w:val="0"/>
          <w:marTop w:val="0"/>
          <w:marBottom w:val="0"/>
          <w:divBdr>
            <w:top w:val="none" w:sz="0" w:space="0" w:color="auto"/>
            <w:left w:val="none" w:sz="0" w:space="0" w:color="auto"/>
            <w:bottom w:val="none" w:sz="0" w:space="0" w:color="auto"/>
            <w:right w:val="none" w:sz="0" w:space="0" w:color="auto"/>
          </w:divBdr>
          <w:divsChild>
            <w:div w:id="482894811">
              <w:marLeft w:val="0"/>
              <w:marRight w:val="0"/>
              <w:marTop w:val="0"/>
              <w:marBottom w:val="0"/>
              <w:divBdr>
                <w:top w:val="none" w:sz="0" w:space="0" w:color="auto"/>
                <w:left w:val="none" w:sz="0" w:space="0" w:color="auto"/>
                <w:bottom w:val="none" w:sz="0" w:space="0" w:color="auto"/>
                <w:right w:val="none" w:sz="0" w:space="0" w:color="auto"/>
              </w:divBdr>
              <w:divsChild>
                <w:div w:id="66921148">
                  <w:marLeft w:val="0"/>
                  <w:marRight w:val="0"/>
                  <w:marTop w:val="0"/>
                  <w:marBottom w:val="0"/>
                  <w:divBdr>
                    <w:top w:val="none" w:sz="0" w:space="0" w:color="auto"/>
                    <w:left w:val="none" w:sz="0" w:space="0" w:color="auto"/>
                    <w:bottom w:val="none" w:sz="0" w:space="0" w:color="auto"/>
                    <w:right w:val="none" w:sz="0" w:space="0" w:color="auto"/>
                  </w:divBdr>
                  <w:divsChild>
                    <w:div w:id="1268196598">
                      <w:marLeft w:val="0"/>
                      <w:marRight w:val="0"/>
                      <w:marTop w:val="0"/>
                      <w:marBottom w:val="0"/>
                      <w:divBdr>
                        <w:top w:val="none" w:sz="0" w:space="0" w:color="auto"/>
                        <w:left w:val="none" w:sz="0" w:space="0" w:color="auto"/>
                        <w:bottom w:val="none" w:sz="0" w:space="0" w:color="auto"/>
                        <w:right w:val="none" w:sz="0" w:space="0" w:color="auto"/>
                      </w:divBdr>
                      <w:divsChild>
                        <w:div w:id="1858958990">
                          <w:marLeft w:val="0"/>
                          <w:marRight w:val="0"/>
                          <w:marTop w:val="0"/>
                          <w:marBottom w:val="0"/>
                          <w:divBdr>
                            <w:top w:val="none" w:sz="0" w:space="0" w:color="auto"/>
                            <w:left w:val="none" w:sz="0" w:space="0" w:color="auto"/>
                            <w:bottom w:val="none" w:sz="0" w:space="0" w:color="auto"/>
                            <w:right w:val="none" w:sz="0" w:space="0" w:color="auto"/>
                          </w:divBdr>
                          <w:divsChild>
                            <w:div w:id="60846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5922939">
      <w:bodyDiv w:val="1"/>
      <w:marLeft w:val="0"/>
      <w:marRight w:val="0"/>
      <w:marTop w:val="0"/>
      <w:marBottom w:val="0"/>
      <w:divBdr>
        <w:top w:val="none" w:sz="0" w:space="0" w:color="auto"/>
        <w:left w:val="none" w:sz="0" w:space="0" w:color="auto"/>
        <w:bottom w:val="none" w:sz="0" w:space="0" w:color="auto"/>
        <w:right w:val="none" w:sz="0" w:space="0" w:color="auto"/>
      </w:divBdr>
      <w:divsChild>
        <w:div w:id="1916427649">
          <w:marLeft w:val="0"/>
          <w:marRight w:val="0"/>
          <w:marTop w:val="0"/>
          <w:marBottom w:val="0"/>
          <w:divBdr>
            <w:top w:val="none" w:sz="0" w:space="0" w:color="auto"/>
            <w:left w:val="none" w:sz="0" w:space="0" w:color="auto"/>
            <w:bottom w:val="none" w:sz="0" w:space="0" w:color="auto"/>
            <w:right w:val="none" w:sz="0" w:space="0" w:color="auto"/>
          </w:divBdr>
          <w:divsChild>
            <w:div w:id="1016082258">
              <w:marLeft w:val="0"/>
              <w:marRight w:val="0"/>
              <w:marTop w:val="0"/>
              <w:marBottom w:val="0"/>
              <w:divBdr>
                <w:top w:val="none" w:sz="0" w:space="0" w:color="auto"/>
                <w:left w:val="none" w:sz="0" w:space="0" w:color="auto"/>
                <w:bottom w:val="none" w:sz="0" w:space="0" w:color="auto"/>
                <w:right w:val="none" w:sz="0" w:space="0" w:color="auto"/>
              </w:divBdr>
              <w:divsChild>
                <w:div w:id="1955482818">
                  <w:marLeft w:val="0"/>
                  <w:marRight w:val="0"/>
                  <w:marTop w:val="0"/>
                  <w:marBottom w:val="0"/>
                  <w:divBdr>
                    <w:top w:val="none" w:sz="0" w:space="0" w:color="auto"/>
                    <w:left w:val="none" w:sz="0" w:space="0" w:color="auto"/>
                    <w:bottom w:val="none" w:sz="0" w:space="0" w:color="auto"/>
                    <w:right w:val="none" w:sz="0" w:space="0" w:color="auto"/>
                  </w:divBdr>
                  <w:divsChild>
                    <w:div w:id="137236624">
                      <w:marLeft w:val="0"/>
                      <w:marRight w:val="0"/>
                      <w:marTop w:val="0"/>
                      <w:marBottom w:val="0"/>
                      <w:divBdr>
                        <w:top w:val="none" w:sz="0" w:space="0" w:color="auto"/>
                        <w:left w:val="none" w:sz="0" w:space="0" w:color="auto"/>
                        <w:bottom w:val="none" w:sz="0" w:space="0" w:color="auto"/>
                        <w:right w:val="none" w:sz="0" w:space="0" w:color="auto"/>
                      </w:divBdr>
                      <w:divsChild>
                        <w:div w:id="313338546">
                          <w:marLeft w:val="0"/>
                          <w:marRight w:val="0"/>
                          <w:marTop w:val="0"/>
                          <w:marBottom w:val="0"/>
                          <w:divBdr>
                            <w:top w:val="none" w:sz="0" w:space="0" w:color="auto"/>
                            <w:left w:val="none" w:sz="0" w:space="0" w:color="auto"/>
                            <w:bottom w:val="none" w:sz="0" w:space="0" w:color="auto"/>
                            <w:right w:val="none" w:sz="0" w:space="0" w:color="auto"/>
                          </w:divBdr>
                          <w:divsChild>
                            <w:div w:id="11352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7088142">
      <w:bodyDiv w:val="1"/>
      <w:marLeft w:val="0"/>
      <w:marRight w:val="0"/>
      <w:marTop w:val="0"/>
      <w:marBottom w:val="0"/>
      <w:divBdr>
        <w:top w:val="none" w:sz="0" w:space="0" w:color="auto"/>
        <w:left w:val="none" w:sz="0" w:space="0" w:color="auto"/>
        <w:bottom w:val="none" w:sz="0" w:space="0" w:color="auto"/>
        <w:right w:val="none" w:sz="0" w:space="0" w:color="auto"/>
      </w:divBdr>
      <w:divsChild>
        <w:div w:id="54083930">
          <w:marLeft w:val="0"/>
          <w:marRight w:val="0"/>
          <w:marTop w:val="0"/>
          <w:marBottom w:val="0"/>
          <w:divBdr>
            <w:top w:val="none" w:sz="0" w:space="0" w:color="auto"/>
            <w:left w:val="none" w:sz="0" w:space="0" w:color="auto"/>
            <w:bottom w:val="none" w:sz="0" w:space="0" w:color="auto"/>
            <w:right w:val="none" w:sz="0" w:space="0" w:color="auto"/>
          </w:divBdr>
          <w:divsChild>
            <w:div w:id="414910051">
              <w:marLeft w:val="0"/>
              <w:marRight w:val="0"/>
              <w:marTop w:val="0"/>
              <w:marBottom w:val="0"/>
              <w:divBdr>
                <w:top w:val="none" w:sz="0" w:space="0" w:color="auto"/>
                <w:left w:val="none" w:sz="0" w:space="0" w:color="auto"/>
                <w:bottom w:val="none" w:sz="0" w:space="0" w:color="auto"/>
                <w:right w:val="none" w:sz="0" w:space="0" w:color="auto"/>
              </w:divBdr>
              <w:divsChild>
                <w:div w:id="1421875929">
                  <w:marLeft w:val="0"/>
                  <w:marRight w:val="0"/>
                  <w:marTop w:val="0"/>
                  <w:marBottom w:val="0"/>
                  <w:divBdr>
                    <w:top w:val="none" w:sz="0" w:space="0" w:color="auto"/>
                    <w:left w:val="none" w:sz="0" w:space="0" w:color="auto"/>
                    <w:bottom w:val="none" w:sz="0" w:space="0" w:color="auto"/>
                    <w:right w:val="none" w:sz="0" w:space="0" w:color="auto"/>
                  </w:divBdr>
                  <w:divsChild>
                    <w:div w:id="58212365">
                      <w:marLeft w:val="0"/>
                      <w:marRight w:val="0"/>
                      <w:marTop w:val="0"/>
                      <w:marBottom w:val="0"/>
                      <w:divBdr>
                        <w:top w:val="none" w:sz="0" w:space="0" w:color="auto"/>
                        <w:left w:val="none" w:sz="0" w:space="0" w:color="auto"/>
                        <w:bottom w:val="none" w:sz="0" w:space="0" w:color="auto"/>
                        <w:right w:val="none" w:sz="0" w:space="0" w:color="auto"/>
                      </w:divBdr>
                      <w:divsChild>
                        <w:div w:id="1297417780">
                          <w:marLeft w:val="0"/>
                          <w:marRight w:val="0"/>
                          <w:marTop w:val="0"/>
                          <w:marBottom w:val="0"/>
                          <w:divBdr>
                            <w:top w:val="none" w:sz="0" w:space="0" w:color="auto"/>
                            <w:left w:val="none" w:sz="0" w:space="0" w:color="auto"/>
                            <w:bottom w:val="none" w:sz="0" w:space="0" w:color="auto"/>
                            <w:right w:val="none" w:sz="0" w:space="0" w:color="auto"/>
                          </w:divBdr>
                          <w:divsChild>
                            <w:div w:id="208394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6880588">
      <w:bodyDiv w:val="1"/>
      <w:marLeft w:val="0"/>
      <w:marRight w:val="0"/>
      <w:marTop w:val="0"/>
      <w:marBottom w:val="0"/>
      <w:divBdr>
        <w:top w:val="none" w:sz="0" w:space="0" w:color="auto"/>
        <w:left w:val="none" w:sz="0" w:space="0" w:color="auto"/>
        <w:bottom w:val="none" w:sz="0" w:space="0" w:color="auto"/>
        <w:right w:val="none" w:sz="0" w:space="0" w:color="auto"/>
      </w:divBdr>
    </w:div>
    <w:div w:id="991445198">
      <w:bodyDiv w:val="1"/>
      <w:marLeft w:val="0"/>
      <w:marRight w:val="0"/>
      <w:marTop w:val="0"/>
      <w:marBottom w:val="0"/>
      <w:divBdr>
        <w:top w:val="none" w:sz="0" w:space="0" w:color="auto"/>
        <w:left w:val="none" w:sz="0" w:space="0" w:color="auto"/>
        <w:bottom w:val="none" w:sz="0" w:space="0" w:color="auto"/>
        <w:right w:val="none" w:sz="0" w:space="0" w:color="auto"/>
      </w:divBdr>
    </w:div>
    <w:div w:id="1182279702">
      <w:bodyDiv w:val="1"/>
      <w:marLeft w:val="0"/>
      <w:marRight w:val="0"/>
      <w:marTop w:val="0"/>
      <w:marBottom w:val="0"/>
      <w:divBdr>
        <w:top w:val="none" w:sz="0" w:space="0" w:color="auto"/>
        <w:left w:val="none" w:sz="0" w:space="0" w:color="auto"/>
        <w:bottom w:val="none" w:sz="0" w:space="0" w:color="auto"/>
        <w:right w:val="none" w:sz="0" w:space="0" w:color="auto"/>
      </w:divBdr>
    </w:div>
    <w:div w:id="1216703052">
      <w:bodyDiv w:val="1"/>
      <w:marLeft w:val="0"/>
      <w:marRight w:val="0"/>
      <w:marTop w:val="0"/>
      <w:marBottom w:val="0"/>
      <w:divBdr>
        <w:top w:val="none" w:sz="0" w:space="0" w:color="auto"/>
        <w:left w:val="none" w:sz="0" w:space="0" w:color="auto"/>
        <w:bottom w:val="none" w:sz="0" w:space="0" w:color="auto"/>
        <w:right w:val="none" w:sz="0" w:space="0" w:color="auto"/>
      </w:divBdr>
    </w:div>
    <w:div w:id="1532299586">
      <w:bodyDiv w:val="1"/>
      <w:marLeft w:val="0"/>
      <w:marRight w:val="0"/>
      <w:marTop w:val="0"/>
      <w:marBottom w:val="0"/>
      <w:divBdr>
        <w:top w:val="none" w:sz="0" w:space="0" w:color="auto"/>
        <w:left w:val="none" w:sz="0" w:space="0" w:color="auto"/>
        <w:bottom w:val="none" w:sz="0" w:space="0" w:color="auto"/>
        <w:right w:val="none" w:sz="0" w:space="0" w:color="auto"/>
      </w:divBdr>
    </w:div>
    <w:div w:id="1546331882">
      <w:bodyDiv w:val="1"/>
      <w:marLeft w:val="0"/>
      <w:marRight w:val="0"/>
      <w:marTop w:val="0"/>
      <w:marBottom w:val="0"/>
      <w:divBdr>
        <w:top w:val="none" w:sz="0" w:space="0" w:color="auto"/>
        <w:left w:val="none" w:sz="0" w:space="0" w:color="auto"/>
        <w:bottom w:val="none" w:sz="0" w:space="0" w:color="auto"/>
        <w:right w:val="none" w:sz="0" w:space="0" w:color="auto"/>
      </w:divBdr>
    </w:div>
    <w:div w:id="1710841936">
      <w:bodyDiv w:val="1"/>
      <w:marLeft w:val="0"/>
      <w:marRight w:val="0"/>
      <w:marTop w:val="0"/>
      <w:marBottom w:val="0"/>
      <w:divBdr>
        <w:top w:val="none" w:sz="0" w:space="0" w:color="auto"/>
        <w:left w:val="none" w:sz="0" w:space="0" w:color="auto"/>
        <w:bottom w:val="none" w:sz="0" w:space="0" w:color="auto"/>
        <w:right w:val="none" w:sz="0" w:space="0" w:color="auto"/>
      </w:divBdr>
    </w:div>
    <w:div w:id="1725136114">
      <w:bodyDiv w:val="1"/>
      <w:marLeft w:val="0"/>
      <w:marRight w:val="0"/>
      <w:marTop w:val="0"/>
      <w:marBottom w:val="0"/>
      <w:divBdr>
        <w:top w:val="none" w:sz="0" w:space="0" w:color="auto"/>
        <w:left w:val="none" w:sz="0" w:space="0" w:color="auto"/>
        <w:bottom w:val="none" w:sz="0" w:space="0" w:color="auto"/>
        <w:right w:val="none" w:sz="0" w:space="0" w:color="auto"/>
      </w:divBdr>
      <w:divsChild>
        <w:div w:id="1893224830">
          <w:marLeft w:val="0"/>
          <w:marRight w:val="0"/>
          <w:marTop w:val="0"/>
          <w:marBottom w:val="0"/>
          <w:divBdr>
            <w:top w:val="none" w:sz="0" w:space="0" w:color="auto"/>
            <w:left w:val="none" w:sz="0" w:space="0" w:color="auto"/>
            <w:bottom w:val="none" w:sz="0" w:space="0" w:color="auto"/>
            <w:right w:val="none" w:sz="0" w:space="0" w:color="auto"/>
          </w:divBdr>
          <w:divsChild>
            <w:div w:id="1243022896">
              <w:marLeft w:val="0"/>
              <w:marRight w:val="0"/>
              <w:marTop w:val="0"/>
              <w:marBottom w:val="0"/>
              <w:divBdr>
                <w:top w:val="none" w:sz="0" w:space="0" w:color="auto"/>
                <w:left w:val="none" w:sz="0" w:space="0" w:color="auto"/>
                <w:bottom w:val="none" w:sz="0" w:space="0" w:color="auto"/>
                <w:right w:val="none" w:sz="0" w:space="0" w:color="auto"/>
              </w:divBdr>
              <w:divsChild>
                <w:div w:id="229268845">
                  <w:marLeft w:val="0"/>
                  <w:marRight w:val="0"/>
                  <w:marTop w:val="0"/>
                  <w:marBottom w:val="0"/>
                  <w:divBdr>
                    <w:top w:val="none" w:sz="0" w:space="0" w:color="auto"/>
                    <w:left w:val="none" w:sz="0" w:space="0" w:color="auto"/>
                    <w:bottom w:val="none" w:sz="0" w:space="0" w:color="auto"/>
                    <w:right w:val="none" w:sz="0" w:space="0" w:color="auto"/>
                  </w:divBdr>
                  <w:divsChild>
                    <w:div w:id="1801418000">
                      <w:marLeft w:val="0"/>
                      <w:marRight w:val="0"/>
                      <w:marTop w:val="0"/>
                      <w:marBottom w:val="0"/>
                      <w:divBdr>
                        <w:top w:val="none" w:sz="0" w:space="0" w:color="auto"/>
                        <w:left w:val="none" w:sz="0" w:space="0" w:color="auto"/>
                        <w:bottom w:val="none" w:sz="0" w:space="0" w:color="auto"/>
                        <w:right w:val="none" w:sz="0" w:space="0" w:color="auto"/>
                      </w:divBdr>
                      <w:divsChild>
                        <w:div w:id="2109306477">
                          <w:marLeft w:val="0"/>
                          <w:marRight w:val="0"/>
                          <w:marTop w:val="0"/>
                          <w:marBottom w:val="0"/>
                          <w:divBdr>
                            <w:top w:val="none" w:sz="0" w:space="0" w:color="auto"/>
                            <w:left w:val="none" w:sz="0" w:space="0" w:color="auto"/>
                            <w:bottom w:val="none" w:sz="0" w:space="0" w:color="auto"/>
                            <w:right w:val="none" w:sz="0" w:space="0" w:color="auto"/>
                          </w:divBdr>
                          <w:divsChild>
                            <w:div w:id="28181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6776841">
      <w:bodyDiv w:val="1"/>
      <w:marLeft w:val="0"/>
      <w:marRight w:val="0"/>
      <w:marTop w:val="0"/>
      <w:marBottom w:val="0"/>
      <w:divBdr>
        <w:top w:val="none" w:sz="0" w:space="0" w:color="auto"/>
        <w:left w:val="none" w:sz="0" w:space="0" w:color="auto"/>
        <w:bottom w:val="none" w:sz="0" w:space="0" w:color="auto"/>
        <w:right w:val="none" w:sz="0" w:space="0" w:color="auto"/>
      </w:divBdr>
    </w:div>
    <w:div w:id="1848670653">
      <w:bodyDiv w:val="1"/>
      <w:marLeft w:val="0"/>
      <w:marRight w:val="0"/>
      <w:marTop w:val="0"/>
      <w:marBottom w:val="0"/>
      <w:divBdr>
        <w:top w:val="none" w:sz="0" w:space="0" w:color="auto"/>
        <w:left w:val="none" w:sz="0" w:space="0" w:color="auto"/>
        <w:bottom w:val="none" w:sz="0" w:space="0" w:color="auto"/>
        <w:right w:val="none" w:sz="0" w:space="0" w:color="auto"/>
      </w:divBdr>
      <w:divsChild>
        <w:div w:id="124473506">
          <w:marLeft w:val="0"/>
          <w:marRight w:val="0"/>
          <w:marTop w:val="0"/>
          <w:marBottom w:val="0"/>
          <w:divBdr>
            <w:top w:val="none" w:sz="0" w:space="0" w:color="auto"/>
            <w:left w:val="none" w:sz="0" w:space="0" w:color="auto"/>
            <w:bottom w:val="none" w:sz="0" w:space="0" w:color="auto"/>
            <w:right w:val="none" w:sz="0" w:space="0" w:color="auto"/>
          </w:divBdr>
          <w:divsChild>
            <w:div w:id="1638604632">
              <w:marLeft w:val="0"/>
              <w:marRight w:val="0"/>
              <w:marTop w:val="0"/>
              <w:marBottom w:val="0"/>
              <w:divBdr>
                <w:top w:val="none" w:sz="0" w:space="0" w:color="auto"/>
                <w:left w:val="none" w:sz="0" w:space="0" w:color="auto"/>
                <w:bottom w:val="none" w:sz="0" w:space="0" w:color="auto"/>
                <w:right w:val="none" w:sz="0" w:space="0" w:color="auto"/>
              </w:divBdr>
              <w:divsChild>
                <w:div w:id="243103364">
                  <w:marLeft w:val="0"/>
                  <w:marRight w:val="0"/>
                  <w:marTop w:val="0"/>
                  <w:marBottom w:val="0"/>
                  <w:divBdr>
                    <w:top w:val="none" w:sz="0" w:space="0" w:color="auto"/>
                    <w:left w:val="none" w:sz="0" w:space="0" w:color="auto"/>
                    <w:bottom w:val="none" w:sz="0" w:space="0" w:color="auto"/>
                    <w:right w:val="none" w:sz="0" w:space="0" w:color="auto"/>
                  </w:divBdr>
                  <w:divsChild>
                    <w:div w:id="61145889">
                      <w:marLeft w:val="0"/>
                      <w:marRight w:val="0"/>
                      <w:marTop w:val="0"/>
                      <w:marBottom w:val="0"/>
                      <w:divBdr>
                        <w:top w:val="none" w:sz="0" w:space="0" w:color="auto"/>
                        <w:left w:val="none" w:sz="0" w:space="0" w:color="auto"/>
                        <w:bottom w:val="none" w:sz="0" w:space="0" w:color="auto"/>
                        <w:right w:val="none" w:sz="0" w:space="0" w:color="auto"/>
                      </w:divBdr>
                      <w:divsChild>
                        <w:div w:id="1198006748">
                          <w:marLeft w:val="0"/>
                          <w:marRight w:val="0"/>
                          <w:marTop w:val="0"/>
                          <w:marBottom w:val="0"/>
                          <w:divBdr>
                            <w:top w:val="none" w:sz="0" w:space="0" w:color="auto"/>
                            <w:left w:val="none" w:sz="0" w:space="0" w:color="auto"/>
                            <w:bottom w:val="none" w:sz="0" w:space="0" w:color="auto"/>
                            <w:right w:val="none" w:sz="0" w:space="0" w:color="auto"/>
                          </w:divBdr>
                          <w:divsChild>
                            <w:div w:id="58931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1452983">
      <w:bodyDiv w:val="1"/>
      <w:marLeft w:val="0"/>
      <w:marRight w:val="0"/>
      <w:marTop w:val="0"/>
      <w:marBottom w:val="0"/>
      <w:divBdr>
        <w:top w:val="none" w:sz="0" w:space="0" w:color="auto"/>
        <w:left w:val="none" w:sz="0" w:space="0" w:color="auto"/>
        <w:bottom w:val="none" w:sz="0" w:space="0" w:color="auto"/>
        <w:right w:val="none" w:sz="0" w:space="0" w:color="auto"/>
      </w:divBdr>
    </w:div>
    <w:div w:id="1927301685">
      <w:bodyDiv w:val="1"/>
      <w:marLeft w:val="0"/>
      <w:marRight w:val="0"/>
      <w:marTop w:val="0"/>
      <w:marBottom w:val="0"/>
      <w:divBdr>
        <w:top w:val="none" w:sz="0" w:space="0" w:color="auto"/>
        <w:left w:val="none" w:sz="0" w:space="0" w:color="auto"/>
        <w:bottom w:val="none" w:sz="0" w:space="0" w:color="auto"/>
        <w:right w:val="none" w:sz="0" w:space="0" w:color="auto"/>
      </w:divBdr>
      <w:divsChild>
        <w:div w:id="403183223">
          <w:marLeft w:val="0"/>
          <w:marRight w:val="0"/>
          <w:marTop w:val="0"/>
          <w:marBottom w:val="0"/>
          <w:divBdr>
            <w:top w:val="none" w:sz="0" w:space="0" w:color="auto"/>
            <w:left w:val="none" w:sz="0" w:space="0" w:color="auto"/>
            <w:bottom w:val="none" w:sz="0" w:space="0" w:color="auto"/>
            <w:right w:val="none" w:sz="0" w:space="0" w:color="auto"/>
          </w:divBdr>
          <w:divsChild>
            <w:div w:id="2113044306">
              <w:marLeft w:val="0"/>
              <w:marRight w:val="0"/>
              <w:marTop w:val="0"/>
              <w:marBottom w:val="0"/>
              <w:divBdr>
                <w:top w:val="none" w:sz="0" w:space="0" w:color="auto"/>
                <w:left w:val="none" w:sz="0" w:space="0" w:color="auto"/>
                <w:bottom w:val="none" w:sz="0" w:space="0" w:color="auto"/>
                <w:right w:val="none" w:sz="0" w:space="0" w:color="auto"/>
              </w:divBdr>
              <w:divsChild>
                <w:div w:id="359403167">
                  <w:marLeft w:val="0"/>
                  <w:marRight w:val="0"/>
                  <w:marTop w:val="0"/>
                  <w:marBottom w:val="0"/>
                  <w:divBdr>
                    <w:top w:val="none" w:sz="0" w:space="0" w:color="auto"/>
                    <w:left w:val="none" w:sz="0" w:space="0" w:color="auto"/>
                    <w:bottom w:val="none" w:sz="0" w:space="0" w:color="auto"/>
                    <w:right w:val="none" w:sz="0" w:space="0" w:color="auto"/>
                  </w:divBdr>
                  <w:divsChild>
                    <w:div w:id="545067143">
                      <w:marLeft w:val="0"/>
                      <w:marRight w:val="0"/>
                      <w:marTop w:val="0"/>
                      <w:marBottom w:val="0"/>
                      <w:divBdr>
                        <w:top w:val="none" w:sz="0" w:space="0" w:color="auto"/>
                        <w:left w:val="none" w:sz="0" w:space="0" w:color="auto"/>
                        <w:bottom w:val="none" w:sz="0" w:space="0" w:color="auto"/>
                        <w:right w:val="none" w:sz="0" w:space="0" w:color="auto"/>
                      </w:divBdr>
                      <w:divsChild>
                        <w:div w:id="692342707">
                          <w:marLeft w:val="0"/>
                          <w:marRight w:val="0"/>
                          <w:marTop w:val="0"/>
                          <w:marBottom w:val="0"/>
                          <w:divBdr>
                            <w:top w:val="none" w:sz="0" w:space="0" w:color="auto"/>
                            <w:left w:val="none" w:sz="0" w:space="0" w:color="auto"/>
                            <w:bottom w:val="none" w:sz="0" w:space="0" w:color="auto"/>
                            <w:right w:val="none" w:sz="0" w:space="0" w:color="auto"/>
                          </w:divBdr>
                          <w:divsChild>
                            <w:div w:id="22591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9406175">
      <w:bodyDiv w:val="1"/>
      <w:marLeft w:val="0"/>
      <w:marRight w:val="0"/>
      <w:marTop w:val="0"/>
      <w:marBottom w:val="0"/>
      <w:divBdr>
        <w:top w:val="none" w:sz="0" w:space="0" w:color="auto"/>
        <w:left w:val="none" w:sz="0" w:space="0" w:color="auto"/>
        <w:bottom w:val="none" w:sz="0" w:space="0" w:color="auto"/>
        <w:right w:val="none" w:sz="0" w:space="0" w:color="auto"/>
      </w:divBdr>
    </w:div>
    <w:div w:id="1981616109">
      <w:bodyDiv w:val="1"/>
      <w:marLeft w:val="0"/>
      <w:marRight w:val="0"/>
      <w:marTop w:val="0"/>
      <w:marBottom w:val="0"/>
      <w:divBdr>
        <w:top w:val="none" w:sz="0" w:space="0" w:color="auto"/>
        <w:left w:val="none" w:sz="0" w:space="0" w:color="auto"/>
        <w:bottom w:val="none" w:sz="0" w:space="0" w:color="auto"/>
        <w:right w:val="none" w:sz="0" w:space="0" w:color="auto"/>
      </w:divBdr>
      <w:divsChild>
        <w:div w:id="245463068">
          <w:marLeft w:val="0"/>
          <w:marRight w:val="0"/>
          <w:marTop w:val="0"/>
          <w:marBottom w:val="0"/>
          <w:divBdr>
            <w:top w:val="none" w:sz="0" w:space="0" w:color="auto"/>
            <w:left w:val="none" w:sz="0" w:space="0" w:color="auto"/>
            <w:bottom w:val="none" w:sz="0" w:space="0" w:color="auto"/>
            <w:right w:val="none" w:sz="0" w:space="0" w:color="auto"/>
          </w:divBdr>
          <w:divsChild>
            <w:div w:id="1172061272">
              <w:marLeft w:val="0"/>
              <w:marRight w:val="0"/>
              <w:marTop w:val="0"/>
              <w:marBottom w:val="0"/>
              <w:divBdr>
                <w:top w:val="none" w:sz="0" w:space="0" w:color="auto"/>
                <w:left w:val="none" w:sz="0" w:space="0" w:color="auto"/>
                <w:bottom w:val="none" w:sz="0" w:space="0" w:color="auto"/>
                <w:right w:val="none" w:sz="0" w:space="0" w:color="auto"/>
              </w:divBdr>
              <w:divsChild>
                <w:div w:id="1224295097">
                  <w:marLeft w:val="0"/>
                  <w:marRight w:val="0"/>
                  <w:marTop w:val="0"/>
                  <w:marBottom w:val="0"/>
                  <w:divBdr>
                    <w:top w:val="none" w:sz="0" w:space="0" w:color="auto"/>
                    <w:left w:val="none" w:sz="0" w:space="0" w:color="auto"/>
                    <w:bottom w:val="none" w:sz="0" w:space="0" w:color="auto"/>
                    <w:right w:val="none" w:sz="0" w:space="0" w:color="auto"/>
                  </w:divBdr>
                  <w:divsChild>
                    <w:div w:id="570045809">
                      <w:marLeft w:val="0"/>
                      <w:marRight w:val="0"/>
                      <w:marTop w:val="0"/>
                      <w:marBottom w:val="0"/>
                      <w:divBdr>
                        <w:top w:val="none" w:sz="0" w:space="0" w:color="auto"/>
                        <w:left w:val="none" w:sz="0" w:space="0" w:color="auto"/>
                        <w:bottom w:val="none" w:sz="0" w:space="0" w:color="auto"/>
                        <w:right w:val="none" w:sz="0" w:space="0" w:color="auto"/>
                      </w:divBdr>
                      <w:divsChild>
                        <w:div w:id="338388476">
                          <w:marLeft w:val="0"/>
                          <w:marRight w:val="0"/>
                          <w:marTop w:val="0"/>
                          <w:marBottom w:val="0"/>
                          <w:divBdr>
                            <w:top w:val="none" w:sz="0" w:space="0" w:color="auto"/>
                            <w:left w:val="none" w:sz="0" w:space="0" w:color="auto"/>
                            <w:bottom w:val="none" w:sz="0" w:space="0" w:color="auto"/>
                            <w:right w:val="none" w:sz="0" w:space="0" w:color="auto"/>
                          </w:divBdr>
                          <w:divsChild>
                            <w:div w:id="73243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9285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C7C349-D7C2-4CD1-8F73-AA0979E11B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Fernanda Garces Florez</dc:creator>
  <cp:keywords/>
  <dc:description/>
  <cp:lastModifiedBy>Especialista de Negocios Verdes</cp:lastModifiedBy>
  <cp:revision>2</cp:revision>
  <cp:lastPrinted>2026-03-10T12:18:00Z</cp:lastPrinted>
  <dcterms:created xsi:type="dcterms:W3CDTF">2026-03-18T03:24:00Z</dcterms:created>
  <dcterms:modified xsi:type="dcterms:W3CDTF">2026-03-18T03:24:00Z</dcterms:modified>
</cp:coreProperties>
</file>