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Evaluación Integradora</w:t>
        <w:br/>
      </w:r>
      <w:r>
        <w:rPr>
          <w:b/>
          <w:color w:val="444444"/>
          <w:sz w:val="26"/>
        </w:rPr>
        <w:t>Módulo 2 · Fundamentos del Proyecto y Carbono</w:t>
        <w:br/>
      </w:r>
      <w:r>
        <w:rPr>
          <w:b w:val="0"/>
          <w:i w:val="0"/>
          <w:sz w:val="20"/>
        </w:rPr>
        <w:t>Coffee Biochar  ·  Biodiversal SAS BIC × Cirkular Agro  ·  2025</w:t>
      </w:r>
    </w:p>
    <w:p/>
    <w:p>
      <w:pPr>
        <w:spacing w:after="80"/>
      </w:pPr>
      <w:r>
        <w:t>Nombre: _______________________________</w:t>
      </w:r>
    </w:p>
    <w:p>
      <w:pPr>
        <w:spacing w:after="80"/>
      </w:pPr>
      <w:r>
        <w:t>Cluster: _______________________________</w:t>
      </w:r>
    </w:p>
    <w:p>
      <w:pPr>
        <w:spacing w:after="80"/>
      </w:pPr>
      <w:r>
        <w:t>Fecha: _______________________________</w:t>
      </w:r>
    </w:p>
    <w:p>
      <w:pPr>
        <w:spacing w:after="80"/>
      </w:pPr>
      <w:r>
        <w:t>Evaluador: _______________________________</w:t>
      </w:r>
    </w:p>
    <w:p/>
    <w:p>
      <w:pPr>
        <w:spacing w:before="280" w:after="80"/>
        <w:jc w:val="left"/>
      </w:pPr>
      <w:r>
        <w:rPr>
          <w:b/>
          <w:color w:val="1A1A1A"/>
          <w:sz w:val="26"/>
        </w:rPr>
        <w:t>INSTRUCCIONES</w:t>
      </w:r>
    </w:p>
    <w:p>
      <w:r>
        <w:rPr>
          <w:b w:val="0"/>
          <w:i w:val="0"/>
          <w:sz w:val="20"/>
        </w:rPr>
        <w:t>Tiempo: 35 minutos. Lee cada pregunta con atención. Para preguntas de selección múltiple, marca una sola opción. Puntaje: 1 punto por pregunta. Total: 10 puntos. Puntaje mínimo de aprobación: 7/10.</w:t>
      </w:r>
    </w:p>
    <w:p/>
    <w:p>
      <w:pPr>
        <w:spacing w:before="280" w:after="80"/>
        <w:jc w:val="left"/>
      </w:pPr>
      <w:r>
        <w:rPr>
          <w:b/>
          <w:color w:val="1A1A1A"/>
          <w:sz w:val="26"/>
        </w:rPr>
        <w:t>Distribución de preguntas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A1A1A"/>
          </w:tcPr>
          <w:p>
            <w:r>
              <w:rPr>
                <w:b/>
                <w:color w:val="FFFFFF"/>
                <w:sz w:val="18"/>
              </w:rPr>
              <w:t>#</w:t>
            </w:r>
          </w:p>
        </w:tc>
        <w:tc>
          <w:tcPr>
            <w:tcW w:type="dxa" w:w="1881"/>
            <w:shd w:val="clear" w:color="auto" w:fill="1A1A1A"/>
          </w:tcPr>
          <w:p>
            <w:r>
              <w:rPr>
                <w:b/>
                <w:color w:val="FFFFFF"/>
                <w:sz w:val="18"/>
              </w:rPr>
              <w:t>SESIÓN / TEMA</w:t>
            </w:r>
          </w:p>
        </w:tc>
        <w:tc>
          <w:tcPr>
            <w:tcW w:type="dxa" w:w="1881"/>
            <w:shd w:val="clear" w:color="auto" w:fill="1A1A1A"/>
          </w:tcPr>
          <w:p>
            <w:r>
              <w:rPr>
                <w:b/>
                <w:color w:val="FFFFFF"/>
                <w:sz w:val="18"/>
              </w:rPr>
              <w:t>TIPO</w:t>
            </w:r>
          </w:p>
        </w:tc>
        <w:tc>
          <w:tcPr>
            <w:tcW w:type="dxa" w:w="1881"/>
            <w:shd w:val="clear" w:color="auto" w:fill="1A1A1A"/>
          </w:tcPr>
          <w:p>
            <w:r>
              <w:rPr>
                <w:b/>
                <w:color w:val="FFFFFF"/>
                <w:sz w:val="18"/>
              </w:rPr>
              <w:t>NIVEL</w:t>
            </w:r>
          </w:p>
        </w:tc>
        <w:tc>
          <w:tcPr>
            <w:tcW w:type="dxa" w:w="1881"/>
            <w:shd w:val="clear" w:color="auto" w:fill="1A1A1A"/>
          </w:tcPr>
          <w:p>
            <w:r>
              <w:rPr>
                <w:b/>
                <w:color w:val="FFFFFF"/>
                <w:sz w:val="18"/>
              </w:rPr>
              <w:t>PUNTAJE</w:t>
            </w:r>
          </w:p>
        </w:tc>
      </w:tr>
      <w:tr>
        <w:tc>
          <w:tcPr>
            <w:tcW w:type="dxa" w:w="1881"/>
            <w:shd w:val="clear" w:color="auto" w:fill="F7F3EE"/>
          </w:tcPr>
          <w:p>
            <w:r>
              <w:rPr>
                <w:sz w:val="18"/>
              </w:rPr>
              <w:t>1</w:t>
            </w:r>
          </w:p>
        </w:tc>
        <w:tc>
          <w:tcPr>
            <w:tcW w:type="dxa" w:w="1881"/>
            <w:shd w:val="clear" w:color="auto" w:fill="F7F3EE"/>
          </w:tcPr>
          <w:p>
            <w:r>
              <w:rPr>
                <w:sz w:val="18"/>
              </w:rPr>
              <w:t>S2.1 — Efecto invernadero y CO₂</w:t>
            </w:r>
          </w:p>
        </w:tc>
        <w:tc>
          <w:tcPr>
            <w:tcW w:type="dxa" w:w="1881"/>
            <w:shd w:val="clear" w:color="auto" w:fill="F7F3EE"/>
          </w:tcPr>
          <w:p>
            <w:r>
              <w:rPr>
                <w:sz w:val="18"/>
              </w:rPr>
              <w:t>Selección múltiple</w:t>
            </w:r>
          </w:p>
        </w:tc>
        <w:tc>
          <w:tcPr>
            <w:tcW w:type="dxa" w:w="1881"/>
            <w:shd w:val="clear" w:color="auto" w:fill="F7F3EE"/>
          </w:tcPr>
          <w:p>
            <w:r>
              <w:rPr>
                <w:sz w:val="18"/>
              </w:rPr>
              <w:t>Comprensión</w:t>
            </w:r>
          </w:p>
        </w:tc>
        <w:tc>
          <w:tcPr>
            <w:tcW w:type="dxa" w:w="1881"/>
            <w:shd w:val="clear" w:color="auto" w:fill="F7F3EE"/>
          </w:tcPr>
          <w:p>
            <w:r>
              <w:rPr>
                <w:sz w:val="18"/>
              </w:rPr>
              <w:t>1 pt</w:t>
            </w:r>
          </w:p>
        </w:tc>
      </w:tr>
      <w:tr>
        <w:tc>
          <w:tcPr>
            <w:tcW w:type="dxa" w:w="1881"/>
          </w:tcPr>
          <w:p>
            <w:r>
              <w:rPr>
                <w:sz w:val="18"/>
              </w:rPr>
              <w:t>2</w:t>
            </w:r>
          </w:p>
        </w:tc>
        <w:tc>
          <w:tcPr>
            <w:tcW w:type="dxa" w:w="1881"/>
          </w:tcPr>
          <w:p>
            <w:r>
              <w:rPr>
                <w:sz w:val="18"/>
              </w:rPr>
              <w:t>S2.1 — El suelo como sumidero</w:t>
            </w:r>
          </w:p>
        </w:tc>
        <w:tc>
          <w:tcPr>
            <w:tcW w:type="dxa" w:w="1881"/>
          </w:tcPr>
          <w:p>
            <w:r>
              <w:rPr>
                <w:sz w:val="18"/>
              </w:rPr>
              <w:t>Selección múltiple</w:t>
            </w:r>
          </w:p>
        </w:tc>
        <w:tc>
          <w:tcPr>
            <w:tcW w:type="dxa" w:w="1881"/>
          </w:tcPr>
          <w:p>
            <w:r>
              <w:rPr>
                <w:sz w:val="18"/>
              </w:rPr>
              <w:t>Comprensión</w:t>
            </w:r>
          </w:p>
        </w:tc>
        <w:tc>
          <w:tcPr>
            <w:tcW w:type="dxa" w:w="1881"/>
          </w:tcPr>
          <w:p>
            <w:r>
              <w:rPr>
                <w:sz w:val="18"/>
              </w:rPr>
              <w:t>1 pt</w:t>
            </w:r>
          </w:p>
        </w:tc>
      </w:tr>
      <w:tr>
        <w:tc>
          <w:tcPr>
            <w:tcW w:type="dxa" w:w="1881"/>
            <w:shd w:val="clear" w:color="auto" w:fill="F7F3EE"/>
          </w:tcPr>
          <w:p>
            <w:r>
              <w:rPr>
                <w:sz w:val="18"/>
              </w:rPr>
              <w:t>3</w:t>
            </w:r>
          </w:p>
        </w:tc>
        <w:tc>
          <w:tcPr>
            <w:tcW w:type="dxa" w:w="1881"/>
            <w:shd w:val="clear" w:color="auto" w:fill="F7F3EE"/>
          </w:tcPr>
          <w:p>
            <w:r>
              <w:rPr>
                <w:sz w:val="18"/>
              </w:rPr>
              <w:t>S2.2 — Los 8 pasos del modelo</w:t>
            </w:r>
          </w:p>
        </w:tc>
        <w:tc>
          <w:tcPr>
            <w:tcW w:type="dxa" w:w="1881"/>
            <w:shd w:val="clear" w:color="auto" w:fill="F7F3EE"/>
          </w:tcPr>
          <w:p>
            <w:r>
              <w:rPr>
                <w:sz w:val="18"/>
              </w:rPr>
              <w:t>Selección múltiple</w:t>
            </w:r>
          </w:p>
        </w:tc>
        <w:tc>
          <w:tcPr>
            <w:tcW w:type="dxa" w:w="1881"/>
            <w:shd w:val="clear" w:color="auto" w:fill="F7F3EE"/>
          </w:tcPr>
          <w:p>
            <w:r>
              <w:rPr>
                <w:sz w:val="18"/>
              </w:rPr>
              <w:t>Recordación</w:t>
            </w:r>
          </w:p>
        </w:tc>
        <w:tc>
          <w:tcPr>
            <w:tcW w:type="dxa" w:w="1881"/>
            <w:shd w:val="clear" w:color="auto" w:fill="F7F3EE"/>
          </w:tcPr>
          <w:p>
            <w:r>
              <w:rPr>
                <w:sz w:val="18"/>
              </w:rPr>
              <w:t>1 pt</w:t>
            </w:r>
          </w:p>
        </w:tc>
      </w:tr>
      <w:tr>
        <w:tc>
          <w:tcPr>
            <w:tcW w:type="dxa" w:w="1881"/>
          </w:tcPr>
          <w:p>
            <w:r>
              <w:rPr>
                <w:sz w:val="18"/>
              </w:rPr>
              <w:t>4</w:t>
            </w:r>
          </w:p>
        </w:tc>
        <w:tc>
          <w:tcPr>
            <w:tcW w:type="dxa" w:w="1881"/>
          </w:tcPr>
          <w:p>
            <w:r>
              <w:rPr>
                <w:sz w:val="18"/>
              </w:rPr>
              <w:t>S2.2 — Roles de los actores</w:t>
            </w:r>
          </w:p>
        </w:tc>
        <w:tc>
          <w:tcPr>
            <w:tcW w:type="dxa" w:w="1881"/>
          </w:tcPr>
          <w:p>
            <w:r>
              <w:rPr>
                <w:sz w:val="18"/>
              </w:rPr>
              <w:t>Selección múltiple</w:t>
            </w:r>
          </w:p>
        </w:tc>
        <w:tc>
          <w:tcPr>
            <w:tcW w:type="dxa" w:w="1881"/>
          </w:tcPr>
          <w:p>
            <w:r>
              <w:rPr>
                <w:sz w:val="18"/>
              </w:rPr>
              <w:t>Análisis</w:t>
            </w:r>
          </w:p>
        </w:tc>
        <w:tc>
          <w:tcPr>
            <w:tcW w:type="dxa" w:w="1881"/>
          </w:tcPr>
          <w:p>
            <w:r>
              <w:rPr>
                <w:sz w:val="18"/>
              </w:rPr>
              <w:t>1 pt</w:t>
            </w:r>
          </w:p>
        </w:tc>
      </w:tr>
      <w:tr>
        <w:tc>
          <w:tcPr>
            <w:tcW w:type="dxa" w:w="1881"/>
            <w:shd w:val="clear" w:color="auto" w:fill="F7F3EE"/>
          </w:tcPr>
          <w:p>
            <w:r>
              <w:rPr>
                <w:sz w:val="18"/>
              </w:rPr>
              <w:t>5</w:t>
            </w:r>
          </w:p>
        </w:tc>
        <w:tc>
          <w:tcPr>
            <w:tcW w:type="dxa" w:w="1881"/>
            <w:shd w:val="clear" w:color="auto" w:fill="F7F3EE"/>
          </w:tcPr>
          <w:p>
            <w:r>
              <w:rPr>
                <w:sz w:val="18"/>
              </w:rPr>
              <w:t>S2.2 — Cálculo de créditos no generados</w:t>
            </w:r>
          </w:p>
        </w:tc>
        <w:tc>
          <w:tcPr>
            <w:tcW w:type="dxa" w:w="1881"/>
            <w:shd w:val="clear" w:color="auto" w:fill="F7F3EE"/>
          </w:tcPr>
          <w:p>
            <w:r>
              <w:rPr>
                <w:sz w:val="18"/>
              </w:rPr>
              <w:t>Selección múltiple</w:t>
            </w:r>
          </w:p>
        </w:tc>
        <w:tc>
          <w:tcPr>
            <w:tcW w:type="dxa" w:w="1881"/>
            <w:shd w:val="clear" w:color="auto" w:fill="F7F3EE"/>
          </w:tcPr>
          <w:p>
            <w:r>
              <w:rPr>
                <w:sz w:val="18"/>
              </w:rPr>
              <w:t>Aplicación</w:t>
            </w:r>
          </w:p>
        </w:tc>
        <w:tc>
          <w:tcPr>
            <w:tcW w:type="dxa" w:w="1881"/>
            <w:shd w:val="clear" w:color="auto" w:fill="F7F3EE"/>
          </w:tcPr>
          <w:p>
            <w:r>
              <w:rPr>
                <w:sz w:val="18"/>
              </w:rPr>
              <w:t>1 pt</w:t>
            </w:r>
          </w:p>
        </w:tc>
      </w:tr>
      <w:tr>
        <w:tc>
          <w:tcPr>
            <w:tcW w:type="dxa" w:w="1881"/>
          </w:tcPr>
          <w:p>
            <w:r>
              <w:rPr>
                <w:sz w:val="18"/>
              </w:rPr>
              <w:t>6</w:t>
            </w:r>
          </w:p>
        </w:tc>
        <w:tc>
          <w:tcPr>
            <w:tcW w:type="dxa" w:w="1881"/>
          </w:tcPr>
          <w:p>
            <w:r>
              <w:rPr>
                <w:sz w:val="18"/>
              </w:rPr>
              <w:t>S2.3 — Registro válido en Planboo</w:t>
            </w:r>
          </w:p>
        </w:tc>
        <w:tc>
          <w:tcPr>
            <w:tcW w:type="dxa" w:w="1881"/>
          </w:tcPr>
          <w:p>
            <w:r>
              <w:rPr>
                <w:sz w:val="18"/>
              </w:rPr>
              <w:t>Selección múltiple</w:t>
            </w:r>
          </w:p>
        </w:tc>
        <w:tc>
          <w:tcPr>
            <w:tcW w:type="dxa" w:w="1881"/>
          </w:tcPr>
          <w:p>
            <w:r>
              <w:rPr>
                <w:sz w:val="18"/>
              </w:rPr>
              <w:t>Comprensión</w:t>
            </w:r>
          </w:p>
        </w:tc>
        <w:tc>
          <w:tcPr>
            <w:tcW w:type="dxa" w:w="1881"/>
          </w:tcPr>
          <w:p>
            <w:r>
              <w:rPr>
                <w:sz w:val="18"/>
              </w:rPr>
              <w:t>1 pt</w:t>
            </w:r>
          </w:p>
        </w:tc>
      </w:tr>
      <w:tr>
        <w:tc>
          <w:tcPr>
            <w:tcW w:type="dxa" w:w="1881"/>
            <w:shd w:val="clear" w:color="auto" w:fill="F7F3EE"/>
          </w:tcPr>
          <w:p>
            <w:r>
              <w:rPr>
                <w:sz w:val="18"/>
              </w:rPr>
              <w:t>7</w:t>
            </w:r>
          </w:p>
        </w:tc>
        <w:tc>
          <w:tcPr>
            <w:tcW w:type="dxa" w:w="1881"/>
            <w:shd w:val="clear" w:color="auto" w:fill="F7F3EE"/>
          </w:tcPr>
          <w:p>
            <w:r>
              <w:rPr>
                <w:sz w:val="18"/>
              </w:rPr>
              <w:t>S2.3 — Dimensiones de la integridad del dato</w:t>
            </w:r>
          </w:p>
        </w:tc>
        <w:tc>
          <w:tcPr>
            <w:tcW w:type="dxa" w:w="1881"/>
            <w:shd w:val="clear" w:color="auto" w:fill="F7F3EE"/>
          </w:tcPr>
          <w:p>
            <w:r>
              <w:rPr>
                <w:sz w:val="18"/>
              </w:rPr>
              <w:t>Selección múltiple</w:t>
            </w:r>
          </w:p>
        </w:tc>
        <w:tc>
          <w:tcPr>
            <w:tcW w:type="dxa" w:w="1881"/>
            <w:shd w:val="clear" w:color="auto" w:fill="F7F3EE"/>
          </w:tcPr>
          <w:p>
            <w:r>
              <w:rPr>
                <w:sz w:val="18"/>
              </w:rPr>
              <w:t>Análisis</w:t>
            </w:r>
          </w:p>
        </w:tc>
        <w:tc>
          <w:tcPr>
            <w:tcW w:type="dxa" w:w="1881"/>
            <w:shd w:val="clear" w:color="auto" w:fill="F7F3EE"/>
          </w:tcPr>
          <w:p>
            <w:r>
              <w:rPr>
                <w:sz w:val="18"/>
              </w:rPr>
              <w:t>1 pt</w:t>
            </w:r>
          </w:p>
        </w:tc>
      </w:tr>
      <w:tr>
        <w:tc>
          <w:tcPr>
            <w:tcW w:type="dxa" w:w="1881"/>
          </w:tcPr>
          <w:p>
            <w:r>
              <w:rPr>
                <w:sz w:val="18"/>
              </w:rPr>
              <w:t>8</w:t>
            </w:r>
          </w:p>
        </w:tc>
        <w:tc>
          <w:tcPr>
            <w:tcW w:type="dxa" w:w="1881"/>
          </w:tcPr>
          <w:p>
            <w:r>
              <w:rPr>
                <w:sz w:val="18"/>
              </w:rPr>
              <w:t>Integradora — Declaración de honor y adicionalidad</w:t>
            </w:r>
          </w:p>
        </w:tc>
        <w:tc>
          <w:tcPr>
            <w:tcW w:type="dxa" w:w="1881"/>
          </w:tcPr>
          <w:p>
            <w:r>
              <w:rPr>
                <w:sz w:val="18"/>
              </w:rPr>
              <w:t>Selección múltiple</w:t>
            </w:r>
          </w:p>
        </w:tc>
        <w:tc>
          <w:tcPr>
            <w:tcW w:type="dxa" w:w="1881"/>
          </w:tcPr>
          <w:p>
            <w:r>
              <w:rPr>
                <w:sz w:val="18"/>
              </w:rPr>
              <w:t>Evaluación</w:t>
            </w:r>
          </w:p>
        </w:tc>
        <w:tc>
          <w:tcPr>
            <w:tcW w:type="dxa" w:w="1881"/>
          </w:tcPr>
          <w:p>
            <w:r>
              <w:rPr>
                <w:sz w:val="18"/>
              </w:rPr>
              <w:t>1 pt</w:t>
            </w:r>
          </w:p>
        </w:tc>
      </w:tr>
      <w:tr>
        <w:tc>
          <w:tcPr>
            <w:tcW w:type="dxa" w:w="1881"/>
            <w:shd w:val="clear" w:color="auto" w:fill="F7F3EE"/>
          </w:tcPr>
          <w:p>
            <w:r>
              <w:rPr>
                <w:sz w:val="18"/>
              </w:rPr>
              <w:t>9</w:t>
            </w:r>
          </w:p>
        </w:tc>
        <w:tc>
          <w:tcPr>
            <w:tcW w:type="dxa" w:w="1881"/>
            <w:shd w:val="clear" w:color="auto" w:fill="F7F3EE"/>
          </w:tcPr>
          <w:p>
            <w:r>
              <w:rPr>
                <w:sz w:val="18"/>
              </w:rPr>
              <w:t>Integradora — Cadena de consecuencias del dato</w:t>
            </w:r>
          </w:p>
        </w:tc>
        <w:tc>
          <w:tcPr>
            <w:tcW w:type="dxa" w:w="1881"/>
            <w:shd w:val="clear" w:color="auto" w:fill="F7F3EE"/>
          </w:tcPr>
          <w:p>
            <w:r>
              <w:rPr>
                <w:sz w:val="18"/>
              </w:rPr>
              <w:t>Selección múltiple</w:t>
            </w:r>
          </w:p>
        </w:tc>
        <w:tc>
          <w:tcPr>
            <w:tcW w:type="dxa" w:w="1881"/>
            <w:shd w:val="clear" w:color="auto" w:fill="F7F3EE"/>
          </w:tcPr>
          <w:p>
            <w:r>
              <w:rPr>
                <w:sz w:val="18"/>
              </w:rPr>
              <w:t>Síntesis</w:t>
            </w:r>
          </w:p>
        </w:tc>
        <w:tc>
          <w:tcPr>
            <w:tcW w:type="dxa" w:w="1881"/>
            <w:shd w:val="clear" w:color="auto" w:fill="F7F3EE"/>
          </w:tcPr>
          <w:p>
            <w:r>
              <w:rPr>
                <w:sz w:val="18"/>
              </w:rPr>
              <w:t>1 pt</w:t>
            </w:r>
          </w:p>
        </w:tc>
      </w:tr>
      <w:tr>
        <w:tc>
          <w:tcPr>
            <w:tcW w:type="dxa" w:w="1881"/>
          </w:tcPr>
          <w:p>
            <w:r>
              <w:rPr>
                <w:sz w:val="18"/>
              </w:rPr>
              <w:t>10</w:t>
            </w:r>
          </w:p>
        </w:tc>
        <w:tc>
          <w:tcPr>
            <w:tcW w:type="dxa" w:w="1881"/>
          </w:tcPr>
          <w:p>
            <w:r>
              <w:rPr>
                <w:sz w:val="18"/>
              </w:rPr>
              <w:t>Integradora — Caso completo</w:t>
            </w:r>
          </w:p>
        </w:tc>
        <w:tc>
          <w:tcPr>
            <w:tcW w:type="dxa" w:w="1881"/>
          </w:tcPr>
          <w:p>
            <w:r>
              <w:rPr>
                <w:sz w:val="18"/>
              </w:rPr>
              <w:t>Selección múltiple</w:t>
            </w:r>
          </w:p>
        </w:tc>
        <w:tc>
          <w:tcPr>
            <w:tcW w:type="dxa" w:w="1881"/>
          </w:tcPr>
          <w:p>
            <w:r>
              <w:rPr>
                <w:sz w:val="18"/>
              </w:rPr>
              <w:t>Evaluación</w:t>
            </w:r>
          </w:p>
        </w:tc>
        <w:tc>
          <w:tcPr>
            <w:tcW w:type="dxa" w:w="1881"/>
          </w:tcPr>
          <w:p>
            <w:r>
              <w:rPr>
                <w:sz w:val="18"/>
              </w:rPr>
              <w:t>1 pt</w:t>
            </w:r>
          </w:p>
        </w:tc>
      </w:tr>
    </w:tbl>
    <w:p/>
    <w:p>
      <w:pPr>
        <w:spacing w:before="240"/>
      </w:pPr>
      <w:r>
        <w:rPr>
          <w:b/>
          <w:color w:val="C04A2A"/>
          <w:sz w:val="32"/>
        </w:rPr>
        <w:t xml:space="preserve">1   </w:t>
      </w:r>
      <w:r>
        <w:rPr>
          <w:b/>
          <w:color w:val="888888"/>
          <w:sz w:val="18"/>
        </w:rPr>
        <w:t>S2.1</w:t>
      </w:r>
    </w:p>
    <w:p>
      <w:pPr>
        <w:spacing w:before="80" w:after="120"/>
      </w:pPr>
      <w:r>
        <w:rPr>
          <w:b w:val="0"/>
          <w:i w:val="0"/>
          <w:sz w:val="22"/>
        </w:rPr>
        <w:t>¿Cuál es la diferencia entre el efecto invernadero natural y el efecto invernadero amplificado que genera el cambio climático actual?</w:t>
      </w:r>
    </w:p>
    <w:p>
      <w:pPr>
        <w:spacing w:after="40"/>
        <w:ind w:left="454"/>
      </w:pPr>
      <w:r>
        <w:rPr>
          <w:b w:val="0"/>
          <w:i w:val="0"/>
          <w:sz w:val="20"/>
        </w:rPr>
        <w:t xml:space="preserve">○  A.  </w:t>
      </w:r>
      <w:r>
        <w:rPr>
          <w:b w:val="0"/>
          <w:i w:val="0"/>
          <w:sz w:val="20"/>
        </w:rPr>
        <w:t>El efecto natural mantiene la Tierra habitable (~15 °C promedio); el amplificado ocurre cuando el exceso de CO₂ y otros gases retiene más calor del necesario, elevando las temperaturas globales.</w:t>
      </w:r>
    </w:p>
    <w:p>
      <w:pPr>
        <w:spacing w:after="40"/>
        <w:ind w:left="454"/>
      </w:pPr>
      <w:r>
        <w:rPr>
          <w:b w:val="0"/>
          <w:i w:val="0"/>
          <w:sz w:val="20"/>
        </w:rPr>
        <w:t xml:space="preserve">○  B.  </w:t>
      </w:r>
      <w:r>
        <w:rPr>
          <w:b w:val="0"/>
          <w:i w:val="0"/>
          <w:sz w:val="20"/>
        </w:rPr>
        <w:t>El efecto natural es perjudicial para todos los ecosistemas; el amplificado es el resultado de tecnologías de captura de carbono que intentan compensarlo.</w:t>
      </w:r>
    </w:p>
    <w:p>
      <w:pPr>
        <w:spacing w:after="40"/>
        <w:ind w:left="454"/>
      </w:pPr>
      <w:r>
        <w:rPr>
          <w:b w:val="0"/>
          <w:i w:val="0"/>
          <w:sz w:val="20"/>
        </w:rPr>
        <w:t xml:space="preserve">○  C.  </w:t>
      </w:r>
      <w:r>
        <w:rPr>
          <w:b w:val="0"/>
          <w:i w:val="0"/>
          <w:sz w:val="20"/>
        </w:rPr>
        <w:t>Ambos son igualmente problemáticos; la diferencia es solo de escala geográfica — el natural es global y el amplificado es estrictamente local.</w:t>
      </w:r>
    </w:p>
    <w:p>
      <w:pPr>
        <w:spacing w:after="40"/>
        <w:ind w:left="454"/>
      </w:pPr>
      <w:r>
        <w:rPr>
          <w:b w:val="0"/>
          <w:i w:val="0"/>
          <w:sz w:val="20"/>
        </w:rPr>
        <w:t xml:space="preserve">○  D.  </w:t>
      </w:r>
      <w:r>
        <w:rPr>
          <w:b w:val="0"/>
          <w:i w:val="0"/>
          <w:sz w:val="20"/>
        </w:rPr>
        <w:t>El efecto amplificado solo afecta a los océanos; los ecosistemas terrestres como los cafetales no se ven impactados directamente.</w:t>
      </w:r>
    </w:p>
    <w:p>
      <w:pPr>
        <w:spacing w:before="160" w:after="40"/>
      </w:pPr>
      <w:r>
        <w:rPr>
          <w:color w:val="DDDDDD"/>
          <w:sz w:val="14"/>
        </w:rPr>
        <w:t>──────────────────────────────────────────────────────────────────────────────────────────</w:t>
      </w:r>
    </w:p>
    <w:p>
      <w:pPr>
        <w:spacing w:before="240"/>
      </w:pPr>
      <w:r>
        <w:rPr>
          <w:b/>
          <w:color w:val="C04A2A"/>
          <w:sz w:val="32"/>
        </w:rPr>
        <w:t xml:space="preserve">2   </w:t>
      </w:r>
      <w:r>
        <w:rPr>
          <w:b/>
          <w:color w:val="888888"/>
          <w:sz w:val="18"/>
        </w:rPr>
        <w:t>S2.1</w:t>
      </w:r>
    </w:p>
    <w:p>
      <w:pPr>
        <w:spacing w:before="80" w:after="120"/>
      </w:pPr>
      <w:r>
        <w:rPr>
          <w:b w:val="0"/>
          <w:i w:val="0"/>
          <w:sz w:val="22"/>
        </w:rPr>
        <w:t>Un productor le pregunta: "¿Qué pasa con el carbono de la zoca si la quemo en campo?" ¿Cuál es la respuesta técnicamente correcta?</w:t>
      </w:r>
    </w:p>
    <w:p>
      <w:pPr>
        <w:spacing w:after="40"/>
        <w:ind w:left="454"/>
      </w:pPr>
      <w:r>
        <w:rPr>
          <w:b w:val="0"/>
          <w:i w:val="0"/>
          <w:sz w:val="20"/>
        </w:rPr>
        <w:t xml:space="preserve">○  A.  </w:t>
      </w:r>
      <w:r>
        <w:rPr>
          <w:b w:val="0"/>
          <w:i w:val="0"/>
          <w:sz w:val="20"/>
        </w:rPr>
        <w:t>La quema libera el carbono de la zoca principalmente como CO₂, CH₄ y N₂O — gases de efecto invernadero con potencial de calentamiento mucho mayor que el CO₂ solo.</w:t>
      </w:r>
    </w:p>
    <w:p>
      <w:pPr>
        <w:spacing w:after="40"/>
        <w:ind w:left="454"/>
      </w:pPr>
      <w:r>
        <w:rPr>
          <w:b w:val="0"/>
          <w:i w:val="0"/>
          <w:sz w:val="20"/>
        </w:rPr>
        <w:t xml:space="preserve">○  B.  </w:t>
      </w:r>
      <w:r>
        <w:rPr>
          <w:b w:val="0"/>
          <w:i w:val="0"/>
          <w:sz w:val="20"/>
        </w:rPr>
        <w:t>La quema convierte la zoca en biochar de alta calidad que puede aplicarse directamente al suelo sin necesidad del proceso de pirólisis.</w:t>
      </w:r>
    </w:p>
    <w:p>
      <w:pPr>
        <w:spacing w:after="40"/>
        <w:ind w:left="454"/>
      </w:pPr>
      <w:r>
        <w:rPr>
          <w:b w:val="0"/>
          <w:i w:val="0"/>
          <w:sz w:val="20"/>
        </w:rPr>
        <w:t xml:space="preserve">○  C.  </w:t>
      </w:r>
      <w:r>
        <w:rPr>
          <w:b w:val="0"/>
          <w:i w:val="0"/>
          <w:sz w:val="20"/>
        </w:rPr>
        <w:t>La quema elimina el carbono de la zoca permanentemente, sin impacto en el ciclo global del carbono.</w:t>
      </w:r>
    </w:p>
    <w:p>
      <w:pPr>
        <w:spacing w:after="40"/>
        <w:ind w:left="454"/>
      </w:pPr>
      <w:r>
        <w:rPr>
          <w:b w:val="0"/>
          <w:i w:val="0"/>
          <w:sz w:val="20"/>
        </w:rPr>
        <w:t xml:space="preserve">○  D.  </w:t>
      </w:r>
      <w:r>
        <w:rPr>
          <w:b w:val="0"/>
          <w:i w:val="0"/>
          <w:sz w:val="20"/>
        </w:rPr>
        <w:t>La quema solo libera CO₂; el CH₄ y el N₂O únicamente se generan en procesos industriales, no en quemas agrícolas.</w:t>
      </w:r>
    </w:p>
    <w:p>
      <w:pPr>
        <w:spacing w:before="160" w:after="40"/>
      </w:pPr>
      <w:r>
        <w:rPr>
          <w:color w:val="DDDDDD"/>
          <w:sz w:val="14"/>
        </w:rPr>
        <w:t>──────────────────────────────────────────────────────────────────────────────────────────</w:t>
      </w:r>
    </w:p>
    <w:p>
      <w:pPr>
        <w:spacing w:before="240"/>
      </w:pPr>
      <w:r>
        <w:rPr>
          <w:b/>
          <w:color w:val="C04A2A"/>
          <w:sz w:val="32"/>
        </w:rPr>
        <w:t xml:space="preserve">3   </w:t>
      </w:r>
      <w:r>
        <w:rPr>
          <w:b/>
          <w:color w:val="888888"/>
          <w:sz w:val="18"/>
        </w:rPr>
        <w:t>S2.2</w:t>
      </w:r>
    </w:p>
    <w:p>
      <w:pPr>
        <w:spacing w:before="80" w:after="120"/>
      </w:pPr>
      <w:r>
        <w:rPr>
          <w:b w:val="0"/>
          <w:i w:val="0"/>
          <w:sz w:val="22"/>
        </w:rPr>
        <w:t>¿Cuáles son los pasos 4 y 5 del modelo Coffee Biochar, en orden correcto?</w:t>
      </w:r>
    </w:p>
    <w:p>
      <w:pPr>
        <w:spacing w:after="40"/>
        <w:ind w:left="454"/>
      </w:pPr>
      <w:r>
        <w:rPr>
          <w:b w:val="0"/>
          <w:i w:val="0"/>
          <w:sz w:val="20"/>
        </w:rPr>
        <w:t xml:space="preserve">○  A.  </w:t>
      </w:r>
      <w:r>
        <w:rPr>
          <w:b w:val="0"/>
          <w:i w:val="0"/>
          <w:sz w:val="20"/>
        </w:rPr>
        <w:t>Pirólisis (producción de biochar) → Registro en Planboo.</w:t>
      </w:r>
    </w:p>
    <w:p>
      <w:pPr>
        <w:spacing w:after="40"/>
        <w:ind w:left="454"/>
      </w:pPr>
      <w:r>
        <w:rPr>
          <w:b w:val="0"/>
          <w:i w:val="0"/>
          <w:sz w:val="20"/>
        </w:rPr>
        <w:t xml:space="preserve">○  B.  </w:t>
      </w:r>
      <w:r>
        <w:rPr>
          <w:b w:val="0"/>
          <w:i w:val="0"/>
          <w:sz w:val="20"/>
        </w:rPr>
        <w:t>Análisis de calidad del biochar → Aplicación al suelo con documentación.</w:t>
      </w:r>
    </w:p>
    <w:p>
      <w:pPr>
        <w:spacing w:after="40"/>
        <w:ind w:left="454"/>
      </w:pPr>
      <w:r>
        <w:rPr>
          <w:b w:val="0"/>
          <w:i w:val="0"/>
          <w:sz w:val="20"/>
        </w:rPr>
        <w:t xml:space="preserve">○  C.  </w:t>
      </w:r>
      <w:r>
        <w:rPr>
          <w:b w:val="0"/>
          <w:i w:val="0"/>
          <w:sz w:val="20"/>
        </w:rPr>
        <w:t>Colecta de biomasa → Análisis de calidad del biochar.</w:t>
      </w:r>
    </w:p>
    <w:p>
      <w:pPr>
        <w:spacing w:after="40"/>
        <w:ind w:left="454"/>
      </w:pPr>
      <w:r>
        <w:rPr>
          <w:b w:val="0"/>
          <w:i w:val="0"/>
          <w:sz w:val="20"/>
        </w:rPr>
        <w:t xml:space="preserve">○  D.  </w:t>
      </w:r>
      <w:r>
        <w:rPr>
          <w:b w:val="0"/>
          <w:i w:val="0"/>
          <w:sz w:val="20"/>
        </w:rPr>
        <w:t>Verificación por CERES → Emisión del crédito en el Registro Global C-Sink.</w:t>
      </w:r>
    </w:p>
    <w:p>
      <w:pPr>
        <w:spacing w:before="160" w:after="40"/>
      </w:pPr>
      <w:r>
        <w:rPr>
          <w:color w:val="DDDDDD"/>
          <w:sz w:val="14"/>
        </w:rPr>
        <w:t>──────────────────────────────────────────────────────────────────────────────────────────</w:t>
      </w:r>
    </w:p>
    <w:p>
      <w:pPr>
        <w:spacing w:before="240"/>
      </w:pPr>
      <w:r>
        <w:rPr>
          <w:b/>
          <w:color w:val="C04A2A"/>
          <w:sz w:val="32"/>
        </w:rPr>
        <w:t xml:space="preserve">4   </w:t>
      </w:r>
      <w:r>
        <w:rPr>
          <w:b/>
          <w:color w:val="888888"/>
          <w:sz w:val="18"/>
        </w:rPr>
        <w:t>S2.2</w:t>
      </w:r>
    </w:p>
    <w:p>
      <w:pPr>
        <w:spacing w:before="80" w:after="120"/>
      </w:pPr>
      <w:r>
        <w:rPr>
          <w:b w:val="0"/>
          <w:i w:val="0"/>
          <w:sz w:val="22"/>
        </w:rPr>
        <w:t>¿Cuál es la diferencia de roles entre Carbon Standards International (CSI) y CERES en el modelo Coffee Biochar?</w:t>
      </w:r>
    </w:p>
    <w:p>
      <w:pPr>
        <w:spacing w:after="40"/>
        <w:ind w:left="454"/>
      </w:pPr>
      <w:r>
        <w:rPr>
          <w:b w:val="0"/>
          <w:i w:val="0"/>
          <w:sz w:val="20"/>
        </w:rPr>
        <w:t xml:space="preserve">○  A.  </w:t>
      </w:r>
      <w:r>
        <w:rPr>
          <w:b w:val="0"/>
          <w:i w:val="0"/>
          <w:sz w:val="20"/>
        </w:rPr>
        <w:t>CSI produce el biochar en campo y CERES lo aplica al suelo siguiendo el protocolo agronómico.</w:t>
      </w:r>
    </w:p>
    <w:p>
      <w:pPr>
        <w:spacing w:after="40"/>
        <w:ind w:left="454"/>
      </w:pPr>
      <w:r>
        <w:rPr>
          <w:b w:val="0"/>
          <w:i w:val="0"/>
          <w:sz w:val="20"/>
        </w:rPr>
        <w:t xml:space="preserve">○  B.  </w:t>
      </w:r>
      <w:r>
        <w:rPr>
          <w:b w:val="0"/>
          <w:i w:val="0"/>
          <w:sz w:val="20"/>
        </w:rPr>
        <w:t>CSI define y gestiona el estándar Global Artisan C-Sink; CERES es el certificador externo independiente que verifica que el proyecto cumple ese estándar.</w:t>
      </w:r>
    </w:p>
    <w:p>
      <w:pPr>
        <w:spacing w:after="40"/>
        <w:ind w:left="454"/>
      </w:pPr>
      <w:r>
        <w:rPr>
          <w:b w:val="0"/>
          <w:i w:val="0"/>
          <w:sz w:val="20"/>
        </w:rPr>
        <w:t xml:space="preserve">○  C.  </w:t>
      </w:r>
      <w:r>
        <w:rPr>
          <w:b w:val="0"/>
          <w:i w:val="0"/>
          <w:sz w:val="20"/>
        </w:rPr>
        <w:t>CSI financia el proyecto a través de instrumentos de impact-linked finance; CERES lo opera en campo junto con los extensionistas.</w:t>
      </w:r>
    </w:p>
    <w:p>
      <w:pPr>
        <w:spacing w:after="40"/>
        <w:ind w:left="454"/>
      </w:pPr>
      <w:r>
        <w:rPr>
          <w:b w:val="0"/>
          <w:i w:val="0"/>
          <w:sz w:val="20"/>
        </w:rPr>
        <w:t xml:space="preserve">○  D.  </w:t>
      </w:r>
      <w:r>
        <w:rPr>
          <w:b w:val="0"/>
          <w:i w:val="0"/>
          <w:sz w:val="20"/>
        </w:rPr>
        <w:t>Ambos cumplen la misma función verificadora — son dos nombres para la misma organización.</w:t>
      </w:r>
    </w:p>
    <w:p>
      <w:pPr>
        <w:spacing w:before="160" w:after="40"/>
      </w:pPr>
      <w:r>
        <w:rPr>
          <w:color w:val="DDDDDD"/>
          <w:sz w:val="14"/>
        </w:rPr>
        <w:t>──────────────────────────────────────────────────────────────────────────────────────────</w:t>
      </w:r>
    </w:p>
    <w:p>
      <w:pPr>
        <w:spacing w:before="240"/>
      </w:pPr>
      <w:r>
        <w:rPr>
          <w:b/>
          <w:color w:val="C04A2A"/>
          <w:sz w:val="32"/>
        </w:rPr>
        <w:t xml:space="preserve">5   </w:t>
      </w:r>
      <w:r>
        <w:rPr>
          <w:b/>
          <w:color w:val="888888"/>
          <w:sz w:val="18"/>
        </w:rPr>
        <w:t>S2.2</w:t>
      </w:r>
    </w:p>
    <w:p>
      <w:pPr>
        <w:spacing w:before="80" w:after="120"/>
      </w:pPr>
      <w:r>
        <w:rPr>
          <w:b w:val="0"/>
          <w:i w:val="0"/>
          <w:sz w:val="22"/>
        </w:rPr>
        <w:t>Un clúster aplicó 15.000 litros de biochar al suelo en el período. La meta era 18.500 litros. Considerando una densidad aproximada de 0,3 kg/litro y que cada tonelada de biochar aplicada equivale a 2,1 tCO₂e de remoción, ¿cuántas toneladas de CO₂e dejaron de removerse aproximadamente?</w:t>
      </w:r>
    </w:p>
    <w:p>
      <w:pPr>
        <w:spacing w:after="40"/>
        <w:ind w:left="454"/>
      </w:pPr>
      <w:r>
        <w:rPr>
          <w:b w:val="0"/>
          <w:i w:val="0"/>
          <w:sz w:val="20"/>
        </w:rPr>
        <w:t xml:space="preserve">○  A.  </w:t>
      </w:r>
      <w:r>
        <w:rPr>
          <w:b w:val="0"/>
          <w:i w:val="0"/>
          <w:sz w:val="20"/>
        </w:rPr>
        <w:t>~0,7 tCO₂e — se calcula sobre la meta total, no sobre la diferencia.</w:t>
      </w:r>
    </w:p>
    <w:p>
      <w:pPr>
        <w:spacing w:after="40"/>
        <w:ind w:left="454"/>
      </w:pPr>
      <w:r>
        <w:rPr>
          <w:b w:val="0"/>
          <w:i w:val="0"/>
          <w:sz w:val="20"/>
        </w:rPr>
        <w:t xml:space="preserve">○  B.  </w:t>
      </w:r>
      <w:r>
        <w:rPr>
          <w:b w:val="0"/>
          <w:i w:val="0"/>
          <w:sz w:val="20"/>
        </w:rPr>
        <w:t>~2,2 tCO₂e — calculado sobre los 3.500 L no producidos × 0,3 kg/L × 2,1 tCO₂e/t.</w:t>
      </w:r>
    </w:p>
    <w:p>
      <w:pPr>
        <w:spacing w:after="40"/>
        <w:ind w:left="454"/>
      </w:pPr>
      <w:r>
        <w:rPr>
          <w:b w:val="0"/>
          <w:i w:val="0"/>
          <w:sz w:val="20"/>
        </w:rPr>
        <w:t xml:space="preserve">○  C.  </w:t>
      </w:r>
      <w:r>
        <w:rPr>
          <w:b w:val="0"/>
          <w:i w:val="0"/>
          <w:sz w:val="20"/>
        </w:rPr>
        <w:t>~7,4 tCO₂e — se aplica un factor de 1 L = 1 kg de biochar.</w:t>
      </w:r>
    </w:p>
    <w:p>
      <w:pPr>
        <w:spacing w:after="40"/>
        <w:ind w:left="454"/>
      </w:pPr>
      <w:r>
        <w:rPr>
          <w:b w:val="0"/>
          <w:i w:val="0"/>
          <w:sz w:val="20"/>
        </w:rPr>
        <w:t xml:space="preserve">○  D.  </w:t>
      </w:r>
      <w:r>
        <w:rPr>
          <w:b w:val="0"/>
          <w:i w:val="0"/>
          <w:sz w:val="20"/>
        </w:rPr>
        <w:t>~11,0 tCO₂e — se multiplican los litros faltantes directamente por 2,1 sin convertir a toneladas.</w:t>
      </w:r>
    </w:p>
    <w:p>
      <w:pPr>
        <w:spacing w:before="160" w:after="40"/>
      </w:pPr>
      <w:r>
        <w:rPr>
          <w:color w:val="DDDDDD"/>
          <w:sz w:val="14"/>
        </w:rPr>
        <w:t>──────────────────────────────────────────────────────────────────────────────────────────</w:t>
      </w:r>
    </w:p>
    <w:p>
      <w:pPr>
        <w:spacing w:before="240"/>
      </w:pPr>
      <w:r>
        <w:rPr>
          <w:b/>
          <w:color w:val="C04A2A"/>
          <w:sz w:val="32"/>
        </w:rPr>
        <w:t xml:space="preserve">6   </w:t>
      </w:r>
      <w:r>
        <w:rPr>
          <w:b/>
          <w:color w:val="888888"/>
          <w:sz w:val="18"/>
        </w:rPr>
        <w:t>S2.3</w:t>
      </w:r>
    </w:p>
    <w:p>
      <w:pPr>
        <w:spacing w:before="80" w:after="120"/>
      </w:pPr>
      <w:r>
        <w:rPr>
          <w:b w:val="0"/>
          <w:i w:val="0"/>
          <w:sz w:val="22"/>
        </w:rPr>
        <w:t>¿Cuál de los siguientes registros en Planboo es el único válido para el estándar Global Artisan C-Sink?</w:t>
      </w:r>
    </w:p>
    <w:p>
      <w:pPr>
        <w:spacing w:after="40"/>
        <w:ind w:left="454"/>
      </w:pPr>
      <w:r>
        <w:rPr>
          <w:b w:val="0"/>
          <w:i w:val="0"/>
          <w:sz w:val="20"/>
        </w:rPr>
        <w:t xml:space="preserve">○  A.  </w:t>
      </w:r>
      <w:r>
        <w:rPr>
          <w:b w:val="0"/>
          <w:i w:val="0"/>
          <w:sz w:val="20"/>
        </w:rPr>
        <w:t>Registro cargado 3 días después de la quema, con foto y GPS activo, porque el productor estaba enfermo.</w:t>
      </w:r>
    </w:p>
    <w:p>
      <w:pPr>
        <w:spacing w:after="40"/>
        <w:ind w:left="454"/>
      </w:pPr>
      <w:r>
        <w:rPr>
          <w:b w:val="0"/>
          <w:i w:val="0"/>
          <w:sz w:val="20"/>
        </w:rPr>
        <w:t xml:space="preserve">○  B.  </w:t>
      </w:r>
      <w:r>
        <w:rPr>
          <w:b w:val="0"/>
          <w:i w:val="0"/>
          <w:sz w:val="20"/>
        </w:rPr>
        <w:t>Registro cargado el mismo día de la quema, con los litros estimados visualmente y foto con GPS activo.</w:t>
      </w:r>
    </w:p>
    <w:p>
      <w:pPr>
        <w:spacing w:after="40"/>
        <w:ind w:left="454"/>
      </w:pPr>
      <w:r>
        <w:rPr>
          <w:b w:val="0"/>
          <w:i w:val="0"/>
          <w:sz w:val="20"/>
        </w:rPr>
        <w:t xml:space="preserve">○  C.  </w:t>
      </w:r>
      <w:r>
        <w:rPr>
          <w:b w:val="0"/>
          <w:i w:val="0"/>
          <w:sz w:val="20"/>
        </w:rPr>
        <w:t>Registro cargado al día hábil siguiente, con litros medidos con recipiente calibrado y foto con GPS activo.</w:t>
      </w:r>
    </w:p>
    <w:p>
      <w:pPr>
        <w:spacing w:after="40"/>
        <w:ind w:left="454"/>
      </w:pPr>
      <w:r>
        <w:rPr>
          <w:b w:val="0"/>
          <w:i w:val="0"/>
          <w:sz w:val="20"/>
        </w:rPr>
        <w:t xml:space="preserve">○  D.  </w:t>
      </w:r>
      <w:r>
        <w:rPr>
          <w:b w:val="0"/>
          <w:i w:val="0"/>
          <w:sz w:val="20"/>
        </w:rPr>
        <w:t>Registro cargado el mismo día, con litros medidos correctamente, pero sin foto — solo con coordenadas GPS escritas a mano.</w:t>
      </w:r>
    </w:p>
    <w:p>
      <w:pPr>
        <w:spacing w:before="160" w:after="40"/>
      </w:pPr>
      <w:r>
        <w:rPr>
          <w:color w:val="DDDDDD"/>
          <w:sz w:val="14"/>
        </w:rPr>
        <w:t>──────────────────────────────────────────────────────────────────────────────────────────</w:t>
      </w:r>
    </w:p>
    <w:p>
      <w:pPr>
        <w:spacing w:before="240"/>
      </w:pPr>
      <w:r>
        <w:rPr>
          <w:b/>
          <w:color w:val="C04A2A"/>
          <w:sz w:val="32"/>
        </w:rPr>
        <w:t xml:space="preserve">7   </w:t>
      </w:r>
      <w:r>
        <w:rPr>
          <w:b/>
          <w:color w:val="888888"/>
          <w:sz w:val="18"/>
        </w:rPr>
        <w:t>S2.3</w:t>
      </w:r>
    </w:p>
    <w:p>
      <w:pPr>
        <w:spacing w:before="80" w:after="120"/>
      </w:pPr>
      <w:r>
        <w:rPr>
          <w:b w:val="0"/>
          <w:i w:val="0"/>
          <w:sz w:val="22"/>
        </w:rPr>
        <w:t>Un extensionista registra una quema en Planboo el mismo día, con los litros correctamente medidos, pero no activó el GPS antes de tomar la foto. ¿Qué dimensión de integridad del dato está comprometida y por qué?</w:t>
      </w:r>
    </w:p>
    <w:p>
      <w:pPr>
        <w:spacing w:after="40"/>
        <w:ind w:left="454"/>
      </w:pPr>
      <w:r>
        <w:rPr>
          <w:b w:val="0"/>
          <w:i w:val="0"/>
          <w:sz w:val="20"/>
        </w:rPr>
        <w:t xml:space="preserve">○  A.  </w:t>
      </w:r>
      <w:r>
        <w:rPr>
          <w:b w:val="0"/>
          <w:i w:val="0"/>
          <w:sz w:val="20"/>
        </w:rPr>
        <w:t>Exactitud — sin GPS el sistema no puede confirmar que el peso medido es correcto.</w:t>
      </w:r>
    </w:p>
    <w:p>
      <w:pPr>
        <w:spacing w:after="40"/>
        <w:ind w:left="454"/>
      </w:pPr>
      <w:r>
        <w:rPr>
          <w:b w:val="0"/>
          <w:i w:val="0"/>
          <w:sz w:val="20"/>
        </w:rPr>
        <w:t xml:space="preserve">○  B.  </w:t>
      </w:r>
      <w:r>
        <w:rPr>
          <w:b w:val="0"/>
          <w:i w:val="0"/>
          <w:sz w:val="20"/>
        </w:rPr>
        <w:t>Oportunidad — sin GPS activo el sistema interpreta el registro como tardío.</w:t>
      </w:r>
    </w:p>
    <w:p>
      <w:pPr>
        <w:spacing w:after="40"/>
        <w:ind w:left="454"/>
      </w:pPr>
      <w:r>
        <w:rPr>
          <w:b w:val="0"/>
          <w:i w:val="0"/>
          <w:sz w:val="20"/>
        </w:rPr>
        <w:t xml:space="preserve">○  C.  </w:t>
      </w:r>
      <w:r>
        <w:rPr>
          <w:b w:val="0"/>
          <w:i w:val="0"/>
          <w:sz w:val="20"/>
        </w:rPr>
        <w:t>Trazabilidad — sin GPS en la foto no puede vincularse el registro a una quema verificable en el lote correcto.</w:t>
      </w:r>
    </w:p>
    <w:p>
      <w:pPr>
        <w:spacing w:after="40"/>
        <w:ind w:left="454"/>
      </w:pPr>
      <w:r>
        <w:rPr>
          <w:b w:val="0"/>
          <w:i w:val="0"/>
          <w:sz w:val="20"/>
        </w:rPr>
        <w:t xml:space="preserve">○  D.  </w:t>
      </w:r>
      <w:r>
        <w:rPr>
          <w:b w:val="0"/>
          <w:i w:val="0"/>
          <w:sz w:val="20"/>
        </w:rPr>
        <w:t>Completitud — la ausencia de GPS automáticamente invalida todos los demás campos del registro.</w:t>
      </w:r>
    </w:p>
    <w:p>
      <w:pPr>
        <w:spacing w:before="160" w:after="40"/>
      </w:pPr>
      <w:r>
        <w:rPr>
          <w:color w:val="DDDDDD"/>
          <w:sz w:val="14"/>
        </w:rPr>
        <w:t>──────────────────────────────────────────────────────────────────────────────────────────</w:t>
      </w:r>
    </w:p>
    <w:p>
      <w:pPr>
        <w:spacing w:before="240"/>
      </w:pPr>
      <w:r>
        <w:rPr>
          <w:b/>
          <w:color w:val="C04A2A"/>
          <w:sz w:val="32"/>
        </w:rPr>
        <w:t xml:space="preserve">8   </w:t>
      </w:r>
      <w:r>
        <w:rPr>
          <w:b/>
          <w:color w:val="888888"/>
          <w:sz w:val="18"/>
        </w:rPr>
        <w:t>Integradora</w:t>
      </w:r>
    </w:p>
    <w:p>
      <w:pPr>
        <w:spacing w:before="80" w:after="120"/>
      </w:pPr>
      <w:r>
        <w:rPr>
          <w:b w:val="0"/>
          <w:i w:val="0"/>
          <w:sz w:val="22"/>
        </w:rPr>
        <w:t>Un productor le dice al extensionista: "Tengo zoca acumulada en otro lote y la voy a quemar en campo esta semana porque necesito limpiar antes de la siembra." El productor firmó la declaración de honor al inicio del proyecto. ¿Cuál es la implicación y qué debe hacer el extensionista?</w:t>
      </w:r>
    </w:p>
    <w:p>
      <w:pPr>
        <w:spacing w:after="40"/>
        <w:ind w:left="454"/>
      </w:pPr>
      <w:r>
        <w:rPr>
          <w:b w:val="0"/>
          <w:i w:val="0"/>
          <w:sz w:val="20"/>
        </w:rPr>
        <w:t xml:space="preserve">○  A.  </w:t>
      </w:r>
      <w:r>
        <w:rPr>
          <w:b w:val="0"/>
          <w:i w:val="0"/>
          <w:sz w:val="20"/>
        </w:rPr>
        <w:t>No tiene implicación directa si el productor sigue produciendo biochar con el horno asignado — la declaración de honor es solo un trámite administrativo.</w:t>
      </w:r>
    </w:p>
    <w:p>
      <w:pPr>
        <w:spacing w:after="40"/>
        <w:ind w:left="454"/>
      </w:pPr>
      <w:r>
        <w:rPr>
          <w:b w:val="0"/>
          <w:i w:val="0"/>
          <w:sz w:val="20"/>
        </w:rPr>
        <w:t xml:space="preserve">○  B.  </w:t>
      </w:r>
      <w:r>
        <w:rPr>
          <w:b w:val="0"/>
          <w:i w:val="0"/>
          <w:sz w:val="20"/>
        </w:rPr>
        <w:t>La quema paralela viola el principio de adicionalidad del estándar. Sin adicionalidad, los créditos de ese productor no pueden venderse en el mercado voluntario. El extensionista debe explicarlo claramente y escalar al líder si el productor insiste.</w:t>
      </w:r>
    </w:p>
    <w:p>
      <w:pPr>
        <w:spacing w:after="40"/>
        <w:ind w:left="454"/>
      </w:pPr>
      <w:r>
        <w:rPr>
          <w:b w:val="0"/>
          <w:i w:val="0"/>
          <w:sz w:val="20"/>
        </w:rPr>
        <w:t xml:space="preserve">○  C.  </w:t>
      </w:r>
      <w:r>
        <w:rPr>
          <w:b w:val="0"/>
          <w:i w:val="0"/>
          <w:sz w:val="20"/>
        </w:rPr>
        <w:t>El extensionista debe reportar de inmediato directamente a CSI, sin pasar por el líder de clúster, para que el crédito ya emitido no sea anulado retroactivamente.</w:t>
      </w:r>
    </w:p>
    <w:p>
      <w:pPr>
        <w:spacing w:after="40"/>
        <w:ind w:left="454"/>
      </w:pPr>
      <w:r>
        <w:rPr>
          <w:b w:val="0"/>
          <w:i w:val="0"/>
          <w:sz w:val="20"/>
        </w:rPr>
        <w:t xml:space="preserve">○  D.  </w:t>
      </w:r>
      <w:r>
        <w:rPr>
          <w:b w:val="0"/>
          <w:i w:val="0"/>
          <w:sz w:val="20"/>
        </w:rPr>
        <w:t>La declaración de honor solo aplica durante el período formal de verificación de CERES; fuera de ese período el productor puede quemar libremente.</w:t>
      </w:r>
    </w:p>
    <w:p>
      <w:pPr>
        <w:spacing w:before="160" w:after="40"/>
      </w:pPr>
      <w:r>
        <w:rPr>
          <w:color w:val="DDDDDD"/>
          <w:sz w:val="14"/>
        </w:rPr>
        <w:t>──────────────────────────────────────────────────────────────────────────────────────────</w:t>
      </w:r>
    </w:p>
    <w:p>
      <w:pPr>
        <w:spacing w:before="240"/>
      </w:pPr>
      <w:r>
        <w:rPr>
          <w:b/>
          <w:color w:val="C04A2A"/>
          <w:sz w:val="32"/>
        </w:rPr>
        <w:t xml:space="preserve">9   </w:t>
      </w:r>
      <w:r>
        <w:rPr>
          <w:b/>
          <w:color w:val="888888"/>
          <w:sz w:val="18"/>
        </w:rPr>
        <w:t>Integradora</w:t>
      </w:r>
    </w:p>
    <w:p>
      <w:pPr>
        <w:spacing w:before="80" w:after="120"/>
      </w:pPr>
      <w:r>
        <w:rPr>
          <w:b w:val="0"/>
          <w:i w:val="0"/>
          <w:sz w:val="22"/>
        </w:rPr>
        <w:t>Si un extensionista no registra en Planboo 5 quemas que sí ocurrieron en campo, ¿cuál es la cadena de consecuencias correcta para el productor?</w:t>
      </w:r>
    </w:p>
    <w:p>
      <w:pPr>
        <w:spacing w:after="40"/>
        <w:ind w:left="454"/>
      </w:pPr>
      <w:r>
        <w:rPr>
          <w:b w:val="0"/>
          <w:i w:val="0"/>
          <w:sz w:val="20"/>
        </w:rPr>
        <w:t xml:space="preserve">○  A.  </w:t>
      </w:r>
      <w:r>
        <w:rPr>
          <w:b w:val="0"/>
          <w:i w:val="0"/>
          <w:sz w:val="20"/>
        </w:rPr>
        <w:t>Las quemas no registradas no generan crédito → el biochar producido no cuenta para la certificación → los KPIs del período bajan → la tasa de Incofin podría no disminuir → el ingreso del productor no mejora como esperado.</w:t>
      </w:r>
    </w:p>
    <w:p>
      <w:pPr>
        <w:spacing w:after="40"/>
        <w:ind w:left="454"/>
      </w:pPr>
      <w:r>
        <w:rPr>
          <w:b w:val="0"/>
          <w:i w:val="0"/>
          <w:sz w:val="20"/>
        </w:rPr>
        <w:t xml:space="preserve">○  B.  </w:t>
      </w:r>
      <w:r>
        <w:rPr>
          <w:b w:val="0"/>
          <w:i w:val="0"/>
          <w:sz w:val="20"/>
        </w:rPr>
        <w:t>Las quemas no registradas se pueden recuperar retroactivamente si el extensionista lo reporta en el siguiente mes, sin impacto en los créditos ya calculados.</w:t>
      </w:r>
    </w:p>
    <w:p>
      <w:pPr>
        <w:spacing w:after="40"/>
        <w:ind w:left="454"/>
      </w:pPr>
      <w:r>
        <w:rPr>
          <w:b w:val="0"/>
          <w:i w:val="0"/>
          <w:sz w:val="20"/>
        </w:rPr>
        <w:t xml:space="preserve">○  C.  </w:t>
      </w:r>
      <w:r>
        <w:rPr>
          <w:b w:val="0"/>
          <w:i w:val="0"/>
          <w:sz w:val="20"/>
        </w:rPr>
        <w:t>Solo las quemas de los primeros 10 días del batch son críticas para el crédito; las del resto del período tienen menor peso en la certificación.</w:t>
      </w:r>
    </w:p>
    <w:p>
      <w:pPr>
        <w:spacing w:after="40"/>
        <w:ind w:left="454"/>
      </w:pPr>
      <w:r>
        <w:rPr>
          <w:b w:val="0"/>
          <w:i w:val="0"/>
          <w:sz w:val="20"/>
        </w:rPr>
        <w:t xml:space="preserve">○  D.  </w:t>
      </w:r>
      <w:r>
        <w:rPr>
          <w:b w:val="0"/>
          <w:i w:val="0"/>
          <w:sz w:val="20"/>
        </w:rPr>
        <w:t>El impacto es solo interno para Biodiversal; los productores no se ven afectados porque el pago se calcula sobre la producción total declarada por el productor.</w:t>
      </w:r>
    </w:p>
    <w:p>
      <w:pPr>
        <w:spacing w:before="160" w:after="40"/>
      </w:pPr>
      <w:r>
        <w:rPr>
          <w:color w:val="DDDDDD"/>
          <w:sz w:val="14"/>
        </w:rPr>
        <w:t>──────────────────────────────────────────────────────────────────────────────────────────</w:t>
      </w:r>
    </w:p>
    <w:p>
      <w:pPr>
        <w:spacing w:before="240"/>
      </w:pPr>
      <w:r>
        <w:rPr>
          <w:b/>
          <w:color w:val="C04A2A"/>
          <w:sz w:val="32"/>
        </w:rPr>
        <w:t xml:space="preserve">10   </w:t>
      </w:r>
      <w:r>
        <w:rPr>
          <w:b/>
          <w:color w:val="888888"/>
          <w:sz w:val="18"/>
        </w:rPr>
        <w:t>Integradora</w:t>
      </w:r>
    </w:p>
    <w:p>
      <w:pPr>
        <w:spacing w:before="80" w:after="120"/>
      </w:pPr>
      <w:r>
        <w:rPr>
          <w:b w:val="0"/>
          <w:i w:val="0"/>
          <w:sz w:val="22"/>
        </w:rPr>
        <w:t>Don Rodrigo opera dos hornos. El extensionista detecta en Planboo que tres registros del horno 2 no tienen foto, que el peso declarado en cada uno (2.100 L) supera la capacidad máxima del horno (1.400 L/quema), y que los registros fueron hechos desde un número de teléfono diferente al de Don Rodrigo. Don Rodrigo explica que prestó su celular a un vecino y registró desde el celular de su hijo. ¿Cuál es la acción correcta del extensionista?</w:t>
      </w:r>
    </w:p>
    <w:p>
      <w:pPr>
        <w:spacing w:after="40"/>
        <w:ind w:left="454"/>
      </w:pPr>
      <w:r>
        <w:rPr>
          <w:b w:val="0"/>
          <w:i w:val="0"/>
          <w:sz w:val="20"/>
        </w:rPr>
        <w:t xml:space="preserve">○  A.  </w:t>
      </w:r>
      <w:r>
        <w:rPr>
          <w:b w:val="0"/>
          <w:i w:val="0"/>
          <w:sz w:val="20"/>
        </w:rPr>
        <w:t>Validar los tres registros porque Don Rodrigo tiene una explicación razonable — la situación del celular justifica todas las inconsistencias.</w:t>
      </w:r>
    </w:p>
    <w:p>
      <w:pPr>
        <w:spacing w:after="40"/>
        <w:ind w:left="454"/>
      </w:pPr>
      <w:r>
        <w:rPr>
          <w:b w:val="0"/>
          <w:i w:val="0"/>
          <w:sz w:val="20"/>
        </w:rPr>
        <w:t xml:space="preserve">○  B.  </w:t>
      </w:r>
      <w:r>
        <w:rPr>
          <w:b w:val="0"/>
          <w:i w:val="0"/>
          <w:sz w:val="20"/>
        </w:rPr>
        <w:t>Documentar las tres inconsistencias detectadas (sin foto, peso inflado, dispositivo diferente), hablar con Don Rodrigo sobre cada punto, y escalar al líder de clúster con todos los datos antes de validar o modificar cualquier registro.</w:t>
      </w:r>
    </w:p>
    <w:p>
      <w:pPr>
        <w:spacing w:after="40"/>
        <w:ind w:left="454"/>
      </w:pPr>
      <w:r>
        <w:rPr>
          <w:b w:val="0"/>
          <w:i w:val="0"/>
          <w:sz w:val="20"/>
        </w:rPr>
        <w:t xml:space="preserve">○  C.  </w:t>
      </w:r>
      <w:r>
        <w:rPr>
          <w:b w:val="0"/>
          <w:i w:val="0"/>
          <w:sz w:val="20"/>
        </w:rPr>
        <w:t>Eliminar los tres registros de Planboo y pedirle a Don Rodrigo que los vuelva a cargar correctamente desde su propio celular.</w:t>
      </w:r>
    </w:p>
    <w:p>
      <w:pPr>
        <w:spacing w:after="40"/>
        <w:ind w:left="454"/>
      </w:pPr>
      <w:r>
        <w:rPr>
          <w:b w:val="0"/>
          <w:i w:val="0"/>
          <w:sz w:val="20"/>
        </w:rPr>
        <w:t xml:space="preserve">○  D.  </w:t>
      </w:r>
      <w:r>
        <w:rPr>
          <w:b w:val="0"/>
          <w:i w:val="0"/>
          <w:sz w:val="20"/>
        </w:rPr>
        <w:t>Anotar las inconsistencias en un cuaderno personal y esperar a que CERES las detecte en la verificación anual.</w:t>
      </w:r>
    </w:p>
    <w:p>
      <w:pPr>
        <w:spacing w:before="160" w:after="40"/>
      </w:pPr>
      <w:r>
        <w:rPr>
          <w:color w:val="DDDDDD"/>
          <w:sz w:val="14"/>
        </w:rPr>
        <w:t>──────────────────────────────────────────────────────────────────────────────────────────</w:t>
      </w:r>
    </w:p>
    <w:p/>
    <w:p>
      <w:pPr>
        <w:spacing w:before="280" w:after="80"/>
        <w:jc w:val="left"/>
      </w:pPr>
      <w:r>
        <w:rPr>
          <w:b/>
          <w:color w:val="1A1A1A"/>
          <w:sz w:val="26"/>
        </w:rPr>
        <w:t>ESCALA DE PUNTAJE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1A"/>
          </w:tcPr>
          <w:p>
            <w:r>
              <w:rPr>
                <w:b/>
                <w:color w:val="FFFFFF"/>
                <w:sz w:val="18"/>
              </w:rPr>
              <w:t>PUNTAJE</w:t>
            </w:r>
          </w:p>
        </w:tc>
        <w:tc>
          <w:tcPr>
            <w:tcW w:type="dxa" w:w="3135"/>
            <w:shd w:val="clear" w:color="auto" w:fill="1A1A1A"/>
          </w:tcPr>
          <w:p>
            <w:r>
              <w:rPr>
                <w:b/>
                <w:color w:val="FFFFFF"/>
                <w:sz w:val="18"/>
              </w:rPr>
              <w:t>RESULTADO</w:t>
            </w:r>
          </w:p>
        </w:tc>
        <w:tc>
          <w:tcPr>
            <w:tcW w:type="dxa" w:w="3135"/>
            <w:shd w:val="clear" w:color="auto" w:fill="1A1A1A"/>
          </w:tcPr>
          <w:p>
            <w:r>
              <w:rPr>
                <w:b/>
                <w:color w:val="FFFFFF"/>
                <w:sz w:val="18"/>
              </w:rPr>
              <w:t>IMPLICACIÓN</w:t>
            </w:r>
          </w:p>
        </w:tc>
      </w:tr>
      <w:tr>
        <w:tc>
          <w:tcPr>
            <w:tcW w:type="dxa" w:w="3135"/>
            <w:shd w:val="clear" w:color="auto" w:fill="F0FFF4"/>
          </w:tcPr>
          <w:p>
            <w:r>
              <w:rPr>
                <w:sz w:val="20"/>
              </w:rPr>
              <w:t>9–10</w:t>
            </w:r>
          </w:p>
        </w:tc>
        <w:tc>
          <w:tcPr>
            <w:tcW w:type="dxa" w:w="3135"/>
            <w:shd w:val="clear" w:color="auto" w:fill="F0FFF4"/>
          </w:tcPr>
          <w:p>
            <w:r>
              <w:rPr>
                <w:b/>
                <w:sz w:val="20"/>
              </w:rPr>
              <w:t>✓ Destacado</w:t>
            </w:r>
          </w:p>
        </w:tc>
        <w:tc>
          <w:tcPr>
            <w:tcW w:type="dxa" w:w="3135"/>
            <w:shd w:val="clear" w:color="auto" w:fill="F0FFF4"/>
          </w:tcPr>
          <w:p>
            <w:r>
              <w:rPr>
                <w:sz w:val="20"/>
              </w:rPr>
              <w:t>Continúa a Módulo 3 sin observaciones.</w:t>
            </w:r>
          </w:p>
        </w:tc>
      </w:tr>
      <w:tr>
        <w:tc>
          <w:tcPr>
            <w:tcW w:type="dxa" w:w="3135"/>
            <w:shd w:val="clear" w:color="auto" w:fill="F0FFF4"/>
          </w:tcPr>
          <w:p>
            <w:r>
              <w:rPr>
                <w:sz w:val="20"/>
              </w:rPr>
              <w:t>7–8</w:t>
            </w:r>
          </w:p>
        </w:tc>
        <w:tc>
          <w:tcPr>
            <w:tcW w:type="dxa" w:w="3135"/>
            <w:shd w:val="clear" w:color="auto" w:fill="F0FFF4"/>
          </w:tcPr>
          <w:p>
            <w:r>
              <w:rPr>
                <w:b/>
                <w:sz w:val="20"/>
              </w:rPr>
              <w:t>✓ Aprobado</w:t>
            </w:r>
          </w:p>
        </w:tc>
        <w:tc>
          <w:tcPr>
            <w:tcW w:type="dxa" w:w="3135"/>
            <w:shd w:val="clear" w:color="auto" w:fill="F0FFF4"/>
          </w:tcPr>
          <w:p>
            <w:r>
              <w:rPr>
                <w:sz w:val="20"/>
              </w:rPr>
              <w:t>Continúa a Módulo 3. Refuerzo puntual en ítems incorrectos.</w:t>
            </w:r>
          </w:p>
        </w:tc>
      </w:tr>
      <w:tr>
        <w:tc>
          <w:tcPr>
            <w:tcW w:type="dxa" w:w="3135"/>
            <w:shd w:val="clear" w:color="auto" w:fill="FFFFF0"/>
          </w:tcPr>
          <w:p>
            <w:r>
              <w:rPr>
                <w:sz w:val="20"/>
              </w:rPr>
              <w:t>5–6</w:t>
            </w:r>
          </w:p>
        </w:tc>
        <w:tc>
          <w:tcPr>
            <w:tcW w:type="dxa" w:w="3135"/>
            <w:shd w:val="clear" w:color="auto" w:fill="FFFFF0"/>
          </w:tcPr>
          <w:p>
            <w:r>
              <w:rPr>
                <w:b/>
                <w:sz w:val="20"/>
              </w:rPr>
              <w:t>⚠ Condicional</w:t>
            </w:r>
          </w:p>
        </w:tc>
        <w:tc>
          <w:tcPr>
            <w:tcW w:type="dxa" w:w="3135"/>
            <w:shd w:val="clear" w:color="auto" w:fill="FFFFF0"/>
          </w:tcPr>
          <w:p>
            <w:r>
              <w:rPr>
                <w:sz w:val="20"/>
              </w:rPr>
              <w:t>Revisión focada con el líder de clúster antes de avanzar.</w:t>
            </w:r>
          </w:p>
        </w:tc>
      </w:tr>
      <w:tr>
        <w:tc>
          <w:tcPr>
            <w:tcW w:type="dxa" w:w="3135"/>
            <w:shd w:val="clear" w:color="auto" w:fill="FFF0F0"/>
          </w:tcPr>
          <w:p>
            <w:r>
              <w:rPr>
                <w:sz w:val="20"/>
              </w:rPr>
              <w:t>&lt; 5</w:t>
            </w:r>
          </w:p>
        </w:tc>
        <w:tc>
          <w:tcPr>
            <w:tcW w:type="dxa" w:w="3135"/>
            <w:shd w:val="clear" w:color="auto" w:fill="FFF0F0"/>
          </w:tcPr>
          <w:p>
            <w:r>
              <w:rPr>
                <w:b/>
                <w:sz w:val="20"/>
              </w:rPr>
              <w:t>✗ No aprobado</w:t>
            </w:r>
          </w:p>
        </w:tc>
        <w:tc>
          <w:tcPr>
            <w:tcW w:type="dxa" w:w="3135"/>
            <w:shd w:val="clear" w:color="auto" w:fill="FFF0F0"/>
          </w:tcPr>
          <w:p>
            <w:r>
              <w:rPr>
                <w:sz w:val="20"/>
              </w:rPr>
              <w:t>Plan de refuerzo. Módulo 2 se repite antes de avanzar.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