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Evaluación Integradora</w:t>
        <w:br/>
      </w:r>
      <w:r>
        <w:rPr>
          <w:b/>
          <w:color w:val="444444"/>
          <w:sz w:val="26"/>
        </w:rPr>
        <w:t>Módulo 2 · Fundamentos del Proyecto y Carbono</w:t>
        <w:br/>
      </w:r>
      <w:r>
        <w:rPr>
          <w:b/>
          <w:color w:val="C04A2A"/>
          <w:sz w:val="22"/>
        </w:rPr>
        <w:t>GUÍA DEL EVALUADOR — USO INTERNO</w:t>
      </w:r>
    </w:p>
    <w:p/>
    <w:p>
      <w:pPr>
        <w:spacing w:before="280" w:after="80"/>
        <w:jc w:val="left"/>
      </w:pPr>
      <w:r>
        <w:rPr>
          <w:b/>
          <w:color w:val="1A1A1A"/>
          <w:sz w:val="26"/>
        </w:rPr>
        <w:t>INSTRUCCIONES PARA EL EVALUADOR</w:t>
      </w:r>
    </w:p>
    <w:p>
      <w:r>
        <w:rPr>
          <w:b w:val="0"/>
          <w:i w:val="0"/>
          <w:sz w:val="20"/>
        </w:rPr>
        <w:t>Tiempo sugerido: 35–40 minutos. Todas las preguntas son de selección múltiple. Puntaje: 1 punto por pregunta. Total: 10 puntos. Aprobación: ≥ 7/10. Puntaje por debajo de 5 en preguntas integradoras (P8–P10) activa plan de refuerzo independientemente del puntaje total.</w:t>
      </w:r>
    </w:p>
    <w:p/>
    <w:p>
      <w:pPr>
        <w:spacing w:before="280" w:after="80"/>
        <w:jc w:val="left"/>
      </w:pPr>
      <w:r>
        <w:rPr>
          <w:b/>
          <w:color w:val="1A1A1A"/>
          <w:sz w:val="26"/>
        </w:rPr>
        <w:t>Distribución de preguntas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A1A1A"/>
          </w:tcPr>
          <w:p>
            <w:r>
              <w:rPr>
                <w:b/>
                <w:color w:val="FFFFFF"/>
                <w:sz w:val="18"/>
              </w:rPr>
              <w:t>#</w:t>
            </w:r>
          </w:p>
        </w:tc>
        <w:tc>
          <w:tcPr>
            <w:tcW w:type="dxa" w:w="1881"/>
            <w:shd w:val="clear" w:color="auto" w:fill="1A1A1A"/>
          </w:tcPr>
          <w:p>
            <w:r>
              <w:rPr>
                <w:b/>
                <w:color w:val="FFFFFF"/>
                <w:sz w:val="18"/>
              </w:rPr>
              <w:t>SESIÓN / TEMA</w:t>
            </w:r>
          </w:p>
        </w:tc>
        <w:tc>
          <w:tcPr>
            <w:tcW w:type="dxa" w:w="1881"/>
            <w:shd w:val="clear" w:color="auto" w:fill="1A1A1A"/>
          </w:tcPr>
          <w:p>
            <w:r>
              <w:rPr>
                <w:b/>
                <w:color w:val="FFFFFF"/>
                <w:sz w:val="18"/>
              </w:rPr>
              <w:t>TIPO</w:t>
            </w:r>
          </w:p>
        </w:tc>
        <w:tc>
          <w:tcPr>
            <w:tcW w:type="dxa" w:w="1881"/>
            <w:shd w:val="clear" w:color="auto" w:fill="1A1A1A"/>
          </w:tcPr>
          <w:p>
            <w:r>
              <w:rPr>
                <w:b/>
                <w:color w:val="FFFFFF"/>
                <w:sz w:val="18"/>
              </w:rPr>
              <w:t>NIVEL</w:t>
            </w:r>
          </w:p>
        </w:tc>
        <w:tc>
          <w:tcPr>
            <w:tcW w:type="dxa" w:w="1881"/>
            <w:shd w:val="clear" w:color="auto" w:fill="1A1A1A"/>
          </w:tcPr>
          <w:p>
            <w:r>
              <w:rPr>
                <w:b/>
                <w:color w:val="FFFFFF"/>
                <w:sz w:val="18"/>
              </w:rPr>
              <w:t>PUNTAJE</w:t>
            </w:r>
          </w:p>
        </w:tc>
      </w:tr>
      <w:tr>
        <w:tc>
          <w:tcPr>
            <w:tcW w:type="dxa" w:w="1881"/>
            <w:shd w:val="clear" w:color="auto" w:fill="F7F3EE"/>
          </w:tcPr>
          <w:p>
            <w:r>
              <w:rPr>
                <w:sz w:val="18"/>
              </w:rPr>
              <w:t>1</w:t>
            </w:r>
          </w:p>
        </w:tc>
        <w:tc>
          <w:tcPr>
            <w:tcW w:type="dxa" w:w="1881"/>
            <w:shd w:val="clear" w:color="auto" w:fill="F7F3EE"/>
          </w:tcPr>
          <w:p>
            <w:r>
              <w:rPr>
                <w:sz w:val="18"/>
              </w:rPr>
              <w:t>S2.1 — Efecto invernadero y CO₂</w:t>
            </w:r>
          </w:p>
        </w:tc>
        <w:tc>
          <w:tcPr>
            <w:tcW w:type="dxa" w:w="1881"/>
            <w:shd w:val="clear" w:color="auto" w:fill="F7F3EE"/>
          </w:tcPr>
          <w:p>
            <w:r>
              <w:rPr>
                <w:sz w:val="18"/>
              </w:rPr>
              <w:t>Selección múltiple</w:t>
            </w:r>
          </w:p>
        </w:tc>
        <w:tc>
          <w:tcPr>
            <w:tcW w:type="dxa" w:w="1881"/>
            <w:shd w:val="clear" w:color="auto" w:fill="F7F3EE"/>
          </w:tcPr>
          <w:p>
            <w:r>
              <w:rPr>
                <w:sz w:val="18"/>
              </w:rPr>
              <w:t>Comprensión</w:t>
            </w:r>
          </w:p>
        </w:tc>
        <w:tc>
          <w:tcPr>
            <w:tcW w:type="dxa" w:w="1881"/>
            <w:shd w:val="clear" w:color="auto" w:fill="F7F3EE"/>
          </w:tcPr>
          <w:p>
            <w:r>
              <w:rPr>
                <w:sz w:val="18"/>
              </w:rPr>
              <w:t>1 pt</w:t>
            </w:r>
          </w:p>
        </w:tc>
      </w:tr>
      <w:tr>
        <w:tc>
          <w:tcPr>
            <w:tcW w:type="dxa" w:w="1881"/>
          </w:tcPr>
          <w:p>
            <w:r>
              <w:rPr>
                <w:sz w:val="18"/>
              </w:rPr>
              <w:t>2</w:t>
            </w:r>
          </w:p>
        </w:tc>
        <w:tc>
          <w:tcPr>
            <w:tcW w:type="dxa" w:w="1881"/>
          </w:tcPr>
          <w:p>
            <w:r>
              <w:rPr>
                <w:sz w:val="18"/>
              </w:rPr>
              <w:t>S2.1 — El suelo como sumidero</w:t>
            </w:r>
          </w:p>
        </w:tc>
        <w:tc>
          <w:tcPr>
            <w:tcW w:type="dxa" w:w="1881"/>
          </w:tcPr>
          <w:p>
            <w:r>
              <w:rPr>
                <w:sz w:val="18"/>
              </w:rPr>
              <w:t>Selección múltiple</w:t>
            </w:r>
          </w:p>
        </w:tc>
        <w:tc>
          <w:tcPr>
            <w:tcW w:type="dxa" w:w="1881"/>
          </w:tcPr>
          <w:p>
            <w:r>
              <w:rPr>
                <w:sz w:val="18"/>
              </w:rPr>
              <w:t>Comprensión</w:t>
            </w:r>
          </w:p>
        </w:tc>
        <w:tc>
          <w:tcPr>
            <w:tcW w:type="dxa" w:w="1881"/>
          </w:tcPr>
          <w:p>
            <w:r>
              <w:rPr>
                <w:sz w:val="18"/>
              </w:rPr>
              <w:t>1 pt</w:t>
            </w:r>
          </w:p>
        </w:tc>
      </w:tr>
      <w:tr>
        <w:tc>
          <w:tcPr>
            <w:tcW w:type="dxa" w:w="1881"/>
            <w:shd w:val="clear" w:color="auto" w:fill="F7F3EE"/>
          </w:tcPr>
          <w:p>
            <w:r>
              <w:rPr>
                <w:sz w:val="18"/>
              </w:rPr>
              <w:t>3</w:t>
            </w:r>
          </w:p>
        </w:tc>
        <w:tc>
          <w:tcPr>
            <w:tcW w:type="dxa" w:w="1881"/>
            <w:shd w:val="clear" w:color="auto" w:fill="F7F3EE"/>
          </w:tcPr>
          <w:p>
            <w:r>
              <w:rPr>
                <w:sz w:val="18"/>
              </w:rPr>
              <w:t>S2.2 — Los 8 pasos del modelo</w:t>
            </w:r>
          </w:p>
        </w:tc>
        <w:tc>
          <w:tcPr>
            <w:tcW w:type="dxa" w:w="1881"/>
            <w:shd w:val="clear" w:color="auto" w:fill="F7F3EE"/>
          </w:tcPr>
          <w:p>
            <w:r>
              <w:rPr>
                <w:sz w:val="18"/>
              </w:rPr>
              <w:t>Selección múltiple</w:t>
            </w:r>
          </w:p>
        </w:tc>
        <w:tc>
          <w:tcPr>
            <w:tcW w:type="dxa" w:w="1881"/>
            <w:shd w:val="clear" w:color="auto" w:fill="F7F3EE"/>
          </w:tcPr>
          <w:p>
            <w:r>
              <w:rPr>
                <w:sz w:val="18"/>
              </w:rPr>
              <w:t>Recordación</w:t>
            </w:r>
          </w:p>
        </w:tc>
        <w:tc>
          <w:tcPr>
            <w:tcW w:type="dxa" w:w="1881"/>
            <w:shd w:val="clear" w:color="auto" w:fill="F7F3EE"/>
          </w:tcPr>
          <w:p>
            <w:r>
              <w:rPr>
                <w:sz w:val="18"/>
              </w:rPr>
              <w:t>1 pt</w:t>
            </w:r>
          </w:p>
        </w:tc>
      </w:tr>
      <w:tr>
        <w:tc>
          <w:tcPr>
            <w:tcW w:type="dxa" w:w="1881"/>
          </w:tcPr>
          <w:p>
            <w:r>
              <w:rPr>
                <w:sz w:val="18"/>
              </w:rPr>
              <w:t>4</w:t>
            </w:r>
          </w:p>
        </w:tc>
        <w:tc>
          <w:tcPr>
            <w:tcW w:type="dxa" w:w="1881"/>
          </w:tcPr>
          <w:p>
            <w:r>
              <w:rPr>
                <w:sz w:val="18"/>
              </w:rPr>
              <w:t>S2.2 — Roles de los actores</w:t>
            </w:r>
          </w:p>
        </w:tc>
        <w:tc>
          <w:tcPr>
            <w:tcW w:type="dxa" w:w="1881"/>
          </w:tcPr>
          <w:p>
            <w:r>
              <w:rPr>
                <w:sz w:val="18"/>
              </w:rPr>
              <w:t>Selección múltiple</w:t>
            </w:r>
          </w:p>
        </w:tc>
        <w:tc>
          <w:tcPr>
            <w:tcW w:type="dxa" w:w="1881"/>
          </w:tcPr>
          <w:p>
            <w:r>
              <w:rPr>
                <w:sz w:val="18"/>
              </w:rPr>
              <w:t>Análisis</w:t>
            </w:r>
          </w:p>
        </w:tc>
        <w:tc>
          <w:tcPr>
            <w:tcW w:type="dxa" w:w="1881"/>
          </w:tcPr>
          <w:p>
            <w:r>
              <w:rPr>
                <w:sz w:val="18"/>
              </w:rPr>
              <w:t>1 pt</w:t>
            </w:r>
          </w:p>
        </w:tc>
      </w:tr>
      <w:tr>
        <w:tc>
          <w:tcPr>
            <w:tcW w:type="dxa" w:w="1881"/>
            <w:shd w:val="clear" w:color="auto" w:fill="F7F3EE"/>
          </w:tcPr>
          <w:p>
            <w:r>
              <w:rPr>
                <w:sz w:val="18"/>
              </w:rPr>
              <w:t>5</w:t>
            </w:r>
          </w:p>
        </w:tc>
        <w:tc>
          <w:tcPr>
            <w:tcW w:type="dxa" w:w="1881"/>
            <w:shd w:val="clear" w:color="auto" w:fill="F7F3EE"/>
          </w:tcPr>
          <w:p>
            <w:r>
              <w:rPr>
                <w:sz w:val="18"/>
              </w:rPr>
              <w:t>S2.2 — Cálculo de créditos no generados</w:t>
            </w:r>
          </w:p>
        </w:tc>
        <w:tc>
          <w:tcPr>
            <w:tcW w:type="dxa" w:w="1881"/>
            <w:shd w:val="clear" w:color="auto" w:fill="F7F3EE"/>
          </w:tcPr>
          <w:p>
            <w:r>
              <w:rPr>
                <w:sz w:val="18"/>
              </w:rPr>
              <w:t>Selección múltiple</w:t>
            </w:r>
          </w:p>
        </w:tc>
        <w:tc>
          <w:tcPr>
            <w:tcW w:type="dxa" w:w="1881"/>
            <w:shd w:val="clear" w:color="auto" w:fill="F7F3EE"/>
          </w:tcPr>
          <w:p>
            <w:r>
              <w:rPr>
                <w:sz w:val="18"/>
              </w:rPr>
              <w:t>Aplicación</w:t>
            </w:r>
          </w:p>
        </w:tc>
        <w:tc>
          <w:tcPr>
            <w:tcW w:type="dxa" w:w="1881"/>
            <w:shd w:val="clear" w:color="auto" w:fill="F7F3EE"/>
          </w:tcPr>
          <w:p>
            <w:r>
              <w:rPr>
                <w:sz w:val="18"/>
              </w:rPr>
              <w:t>1 pt</w:t>
            </w:r>
          </w:p>
        </w:tc>
      </w:tr>
      <w:tr>
        <w:tc>
          <w:tcPr>
            <w:tcW w:type="dxa" w:w="1881"/>
          </w:tcPr>
          <w:p>
            <w:r>
              <w:rPr>
                <w:sz w:val="18"/>
              </w:rPr>
              <w:t>6</w:t>
            </w:r>
          </w:p>
        </w:tc>
        <w:tc>
          <w:tcPr>
            <w:tcW w:type="dxa" w:w="1881"/>
          </w:tcPr>
          <w:p>
            <w:r>
              <w:rPr>
                <w:sz w:val="18"/>
              </w:rPr>
              <w:t>S2.3 — Registro válido en Planboo</w:t>
            </w:r>
          </w:p>
        </w:tc>
        <w:tc>
          <w:tcPr>
            <w:tcW w:type="dxa" w:w="1881"/>
          </w:tcPr>
          <w:p>
            <w:r>
              <w:rPr>
                <w:sz w:val="18"/>
              </w:rPr>
              <w:t>Selección múltiple</w:t>
            </w:r>
          </w:p>
        </w:tc>
        <w:tc>
          <w:tcPr>
            <w:tcW w:type="dxa" w:w="1881"/>
          </w:tcPr>
          <w:p>
            <w:r>
              <w:rPr>
                <w:sz w:val="18"/>
              </w:rPr>
              <w:t>Comprensión</w:t>
            </w:r>
          </w:p>
        </w:tc>
        <w:tc>
          <w:tcPr>
            <w:tcW w:type="dxa" w:w="1881"/>
          </w:tcPr>
          <w:p>
            <w:r>
              <w:rPr>
                <w:sz w:val="18"/>
              </w:rPr>
              <w:t>1 pt</w:t>
            </w:r>
          </w:p>
        </w:tc>
      </w:tr>
      <w:tr>
        <w:tc>
          <w:tcPr>
            <w:tcW w:type="dxa" w:w="1881"/>
            <w:shd w:val="clear" w:color="auto" w:fill="F7F3EE"/>
          </w:tcPr>
          <w:p>
            <w:r>
              <w:rPr>
                <w:sz w:val="18"/>
              </w:rPr>
              <w:t>7</w:t>
            </w:r>
          </w:p>
        </w:tc>
        <w:tc>
          <w:tcPr>
            <w:tcW w:type="dxa" w:w="1881"/>
            <w:shd w:val="clear" w:color="auto" w:fill="F7F3EE"/>
          </w:tcPr>
          <w:p>
            <w:r>
              <w:rPr>
                <w:sz w:val="18"/>
              </w:rPr>
              <w:t>S2.3 — Dimensiones de la integridad del dato</w:t>
            </w:r>
          </w:p>
        </w:tc>
        <w:tc>
          <w:tcPr>
            <w:tcW w:type="dxa" w:w="1881"/>
            <w:shd w:val="clear" w:color="auto" w:fill="F7F3EE"/>
          </w:tcPr>
          <w:p>
            <w:r>
              <w:rPr>
                <w:sz w:val="18"/>
              </w:rPr>
              <w:t>Selección múltiple</w:t>
            </w:r>
          </w:p>
        </w:tc>
        <w:tc>
          <w:tcPr>
            <w:tcW w:type="dxa" w:w="1881"/>
            <w:shd w:val="clear" w:color="auto" w:fill="F7F3EE"/>
          </w:tcPr>
          <w:p>
            <w:r>
              <w:rPr>
                <w:sz w:val="18"/>
              </w:rPr>
              <w:t>Análisis</w:t>
            </w:r>
          </w:p>
        </w:tc>
        <w:tc>
          <w:tcPr>
            <w:tcW w:type="dxa" w:w="1881"/>
            <w:shd w:val="clear" w:color="auto" w:fill="F7F3EE"/>
          </w:tcPr>
          <w:p>
            <w:r>
              <w:rPr>
                <w:sz w:val="18"/>
              </w:rPr>
              <w:t>1 pt</w:t>
            </w:r>
          </w:p>
        </w:tc>
      </w:tr>
      <w:tr>
        <w:tc>
          <w:tcPr>
            <w:tcW w:type="dxa" w:w="1881"/>
          </w:tcPr>
          <w:p>
            <w:r>
              <w:rPr>
                <w:sz w:val="18"/>
              </w:rPr>
              <w:t>8</w:t>
            </w:r>
          </w:p>
        </w:tc>
        <w:tc>
          <w:tcPr>
            <w:tcW w:type="dxa" w:w="1881"/>
          </w:tcPr>
          <w:p>
            <w:r>
              <w:rPr>
                <w:sz w:val="18"/>
              </w:rPr>
              <w:t>Integradora — Declaración de honor y adicionalidad</w:t>
            </w:r>
          </w:p>
        </w:tc>
        <w:tc>
          <w:tcPr>
            <w:tcW w:type="dxa" w:w="1881"/>
          </w:tcPr>
          <w:p>
            <w:r>
              <w:rPr>
                <w:sz w:val="18"/>
              </w:rPr>
              <w:t>Selección múltiple</w:t>
            </w:r>
          </w:p>
        </w:tc>
        <w:tc>
          <w:tcPr>
            <w:tcW w:type="dxa" w:w="1881"/>
          </w:tcPr>
          <w:p>
            <w:r>
              <w:rPr>
                <w:sz w:val="18"/>
              </w:rPr>
              <w:t>Evaluación</w:t>
            </w:r>
          </w:p>
        </w:tc>
        <w:tc>
          <w:tcPr>
            <w:tcW w:type="dxa" w:w="1881"/>
          </w:tcPr>
          <w:p>
            <w:r>
              <w:rPr>
                <w:sz w:val="18"/>
              </w:rPr>
              <w:t>1 pt</w:t>
            </w:r>
          </w:p>
        </w:tc>
      </w:tr>
      <w:tr>
        <w:tc>
          <w:tcPr>
            <w:tcW w:type="dxa" w:w="1881"/>
            <w:shd w:val="clear" w:color="auto" w:fill="F7F3EE"/>
          </w:tcPr>
          <w:p>
            <w:r>
              <w:rPr>
                <w:sz w:val="18"/>
              </w:rPr>
              <w:t>9</w:t>
            </w:r>
          </w:p>
        </w:tc>
        <w:tc>
          <w:tcPr>
            <w:tcW w:type="dxa" w:w="1881"/>
            <w:shd w:val="clear" w:color="auto" w:fill="F7F3EE"/>
          </w:tcPr>
          <w:p>
            <w:r>
              <w:rPr>
                <w:sz w:val="18"/>
              </w:rPr>
              <w:t>Integradora — Cadena de consecuencias del dato</w:t>
            </w:r>
          </w:p>
        </w:tc>
        <w:tc>
          <w:tcPr>
            <w:tcW w:type="dxa" w:w="1881"/>
            <w:shd w:val="clear" w:color="auto" w:fill="F7F3EE"/>
          </w:tcPr>
          <w:p>
            <w:r>
              <w:rPr>
                <w:sz w:val="18"/>
              </w:rPr>
              <w:t>Selección múltiple</w:t>
            </w:r>
          </w:p>
        </w:tc>
        <w:tc>
          <w:tcPr>
            <w:tcW w:type="dxa" w:w="1881"/>
            <w:shd w:val="clear" w:color="auto" w:fill="F7F3EE"/>
          </w:tcPr>
          <w:p>
            <w:r>
              <w:rPr>
                <w:sz w:val="18"/>
              </w:rPr>
              <w:t>Síntesis</w:t>
            </w:r>
          </w:p>
        </w:tc>
        <w:tc>
          <w:tcPr>
            <w:tcW w:type="dxa" w:w="1881"/>
            <w:shd w:val="clear" w:color="auto" w:fill="F7F3EE"/>
          </w:tcPr>
          <w:p>
            <w:r>
              <w:rPr>
                <w:sz w:val="18"/>
              </w:rPr>
              <w:t>1 pt</w:t>
            </w:r>
          </w:p>
        </w:tc>
      </w:tr>
      <w:tr>
        <w:tc>
          <w:tcPr>
            <w:tcW w:type="dxa" w:w="1881"/>
          </w:tcPr>
          <w:p>
            <w:r>
              <w:rPr>
                <w:sz w:val="18"/>
              </w:rPr>
              <w:t>10</w:t>
            </w:r>
          </w:p>
        </w:tc>
        <w:tc>
          <w:tcPr>
            <w:tcW w:type="dxa" w:w="1881"/>
          </w:tcPr>
          <w:p>
            <w:r>
              <w:rPr>
                <w:sz w:val="18"/>
              </w:rPr>
              <w:t>Integradora — Caso completo</w:t>
            </w:r>
          </w:p>
        </w:tc>
        <w:tc>
          <w:tcPr>
            <w:tcW w:type="dxa" w:w="1881"/>
          </w:tcPr>
          <w:p>
            <w:r>
              <w:rPr>
                <w:sz w:val="18"/>
              </w:rPr>
              <w:t>Selección múltiple</w:t>
            </w:r>
          </w:p>
        </w:tc>
        <w:tc>
          <w:tcPr>
            <w:tcW w:type="dxa" w:w="1881"/>
          </w:tcPr>
          <w:p>
            <w:r>
              <w:rPr>
                <w:sz w:val="18"/>
              </w:rPr>
              <w:t>Evaluación</w:t>
            </w:r>
          </w:p>
        </w:tc>
        <w:tc>
          <w:tcPr>
            <w:tcW w:type="dxa" w:w="1881"/>
          </w:tcPr>
          <w:p>
            <w:r>
              <w:rPr>
                <w:sz w:val="18"/>
              </w:rPr>
              <w:t>1 pt</w:t>
            </w:r>
          </w:p>
        </w:tc>
      </w:tr>
    </w:tbl>
    <w:p/>
    <w:p>
      <w:pPr>
        <w:spacing w:before="240"/>
      </w:pPr>
      <w:r>
        <w:rPr>
          <w:b/>
          <w:color w:val="C04A2A"/>
          <w:sz w:val="32"/>
        </w:rPr>
        <w:t xml:space="preserve">1   </w:t>
      </w:r>
      <w:r>
        <w:rPr>
          <w:b/>
          <w:color w:val="888888"/>
          <w:sz w:val="18"/>
        </w:rPr>
        <w:t>S2.1</w:t>
      </w:r>
    </w:p>
    <w:p>
      <w:pPr>
        <w:spacing w:before="80" w:after="120"/>
      </w:pPr>
      <w:r>
        <w:rPr>
          <w:b w:val="0"/>
          <w:i w:val="0"/>
          <w:sz w:val="22"/>
        </w:rPr>
        <w:t>¿Cuál es la diferencia entre el efecto invernadero natural y el efecto invernadero amplificado que genera el cambio climático actual?</w:t>
      </w:r>
    </w:p>
    <w:p>
      <w:pPr>
        <w:spacing w:after="40"/>
        <w:ind w:left="454"/>
      </w:pPr>
      <w:r>
        <w:rPr>
          <w:b/>
          <w:color w:val="2D6A4F"/>
          <w:sz w:val="20"/>
        </w:rPr>
        <w:t xml:space="preserve">●  A.  </w:t>
      </w:r>
      <w:r>
        <w:rPr>
          <w:b/>
          <w:color w:val="2D6A4F"/>
          <w:sz w:val="20"/>
        </w:rPr>
        <w:t>El efecto natural mantiene la Tierra habitable (~15 °C promedio); el amplificado ocurre cuando el exceso de CO₂ y otros gases retiene más calor del necesario, elevando las temperaturas globales.</w:t>
      </w:r>
    </w:p>
    <w:p>
      <w:pPr>
        <w:spacing w:after="40"/>
        <w:ind w:left="454"/>
      </w:pPr>
      <w:r>
        <w:rPr>
          <w:b w:val="0"/>
          <w:i w:val="0"/>
          <w:sz w:val="20"/>
        </w:rPr>
        <w:t xml:space="preserve">○  B.  </w:t>
      </w:r>
      <w:r>
        <w:rPr>
          <w:b w:val="0"/>
          <w:i w:val="0"/>
          <w:sz w:val="20"/>
        </w:rPr>
        <w:t>El efecto natural es perjudicial para todos los ecosistemas; el amplificado es el resultado de tecnologías de captura de carbono que intentan compensarlo.</w:t>
      </w:r>
    </w:p>
    <w:p>
      <w:pPr>
        <w:spacing w:after="40"/>
        <w:ind w:left="454"/>
      </w:pPr>
      <w:r>
        <w:rPr>
          <w:b w:val="0"/>
          <w:i w:val="0"/>
          <w:sz w:val="20"/>
        </w:rPr>
        <w:t xml:space="preserve">○  C.  </w:t>
      </w:r>
      <w:r>
        <w:rPr>
          <w:b w:val="0"/>
          <w:i w:val="0"/>
          <w:sz w:val="20"/>
        </w:rPr>
        <w:t>Ambos son igualmente problemáticos; la diferencia es solo de escala geográfica — el natural es global y el amplificado es estrictamente local.</w:t>
      </w:r>
    </w:p>
    <w:p>
      <w:pPr>
        <w:spacing w:after="40"/>
        <w:ind w:left="454"/>
      </w:pPr>
      <w:r>
        <w:rPr>
          <w:b w:val="0"/>
          <w:i w:val="0"/>
          <w:sz w:val="20"/>
        </w:rPr>
        <w:t xml:space="preserve">○  D.  </w:t>
      </w:r>
      <w:r>
        <w:rPr>
          <w:b w:val="0"/>
          <w:i w:val="0"/>
          <w:sz w:val="20"/>
        </w:rPr>
        <w:t>El efecto amplificado solo afecta a los océanos; los ecosistemas terrestres como los cafetales no se ven impactados directamente.</w:t>
      </w:r>
    </w:p>
    <w:p>
      <w:pPr>
        <w:spacing w:before="120"/>
        <w:ind w:left="454"/>
      </w:pPr>
      <w:r>
        <w:rPr>
          <w:b/>
          <w:color w:val="2D6A4F"/>
          <w:sz w:val="18"/>
        </w:rPr>
        <w:t>RESPUESTA CORRECTA:</w:t>
      </w:r>
      <w:r>
        <w:rPr>
          <w:b w:val="0"/>
          <w:i w:val="0"/>
          <w:sz w:val="18"/>
        </w:rPr>
        <w:t xml:space="preserve">  A</w:t>
      </w:r>
    </w:p>
    <w:p>
      <w:pPr>
        <w:spacing w:after="80"/>
        <w:ind w:left="454"/>
      </w:pPr>
      <w:r>
        <w:rPr>
          <w:b/>
          <w:color w:val="555555"/>
          <w:sz w:val="18"/>
        </w:rPr>
        <w:t>CRITERIOS DE EVALUACIÓN:</w:t>
      </w:r>
      <w:r>
        <w:rPr>
          <w:b w:val="0"/>
          <w:i/>
          <w:sz w:val="18"/>
        </w:rPr>
        <w:br/>
        <w:t>S2.1 establece que el efecto invernadero natural es necesario — sin él la temperatura promedio sería −18 °C. El problema es el exceso de CO₂ antropogénico (424 ppm actuales vs. 280 ppm preindustriales) que amplifica ese efecto. La B invierte la lógica. La C es incorrecta — el calentamiento es un fenómeno global. La D ignora el impacto documentado en cultivos de altura como el café.</w:t>
      </w:r>
    </w:p>
    <w:p>
      <w:pPr>
        <w:spacing w:before="160" w:after="40"/>
      </w:pPr>
      <w:r>
        <w:rPr>
          <w:color w:val="DDDDDD"/>
          <w:sz w:val="14"/>
        </w:rPr>
        <w:t>──────────────────────────────────────────────────────────────────────────────────────────</w:t>
      </w:r>
    </w:p>
    <w:p>
      <w:pPr>
        <w:spacing w:before="240"/>
      </w:pPr>
      <w:r>
        <w:rPr>
          <w:b/>
          <w:color w:val="C04A2A"/>
          <w:sz w:val="32"/>
        </w:rPr>
        <w:t xml:space="preserve">2   </w:t>
      </w:r>
      <w:r>
        <w:rPr>
          <w:b/>
          <w:color w:val="888888"/>
          <w:sz w:val="18"/>
        </w:rPr>
        <w:t>S2.1</w:t>
      </w:r>
    </w:p>
    <w:p>
      <w:pPr>
        <w:spacing w:before="80" w:after="120"/>
      </w:pPr>
      <w:r>
        <w:rPr>
          <w:b w:val="0"/>
          <w:i w:val="0"/>
          <w:sz w:val="22"/>
        </w:rPr>
        <w:t>Un productor le pregunta: "¿Qué pasa con el carbono de la zoca si la quemo en campo?" ¿Cuál es la respuesta técnicamente correcta?</w:t>
      </w:r>
    </w:p>
    <w:p>
      <w:pPr>
        <w:spacing w:after="40"/>
        <w:ind w:left="454"/>
      </w:pPr>
      <w:r>
        <w:rPr>
          <w:b/>
          <w:color w:val="2D6A4F"/>
          <w:sz w:val="20"/>
        </w:rPr>
        <w:t xml:space="preserve">●  A.  </w:t>
      </w:r>
      <w:r>
        <w:rPr>
          <w:b/>
          <w:color w:val="2D6A4F"/>
          <w:sz w:val="20"/>
        </w:rPr>
        <w:t>La quema libera el carbono de la zoca principalmente como CO₂, CH₄ y N₂O — gases de efecto invernadero con potencial de calentamiento mucho mayor que el CO₂ solo.</w:t>
      </w:r>
    </w:p>
    <w:p>
      <w:pPr>
        <w:spacing w:after="40"/>
        <w:ind w:left="454"/>
      </w:pPr>
      <w:r>
        <w:rPr>
          <w:b w:val="0"/>
          <w:i w:val="0"/>
          <w:sz w:val="20"/>
        </w:rPr>
        <w:t xml:space="preserve">○  B.  </w:t>
      </w:r>
      <w:r>
        <w:rPr>
          <w:b w:val="0"/>
          <w:i w:val="0"/>
          <w:sz w:val="20"/>
        </w:rPr>
        <w:t>La quema convierte la zoca en biochar de alta calidad que puede aplicarse directamente al suelo sin necesidad del proceso de pirólisis.</w:t>
      </w:r>
    </w:p>
    <w:p>
      <w:pPr>
        <w:spacing w:after="40"/>
        <w:ind w:left="454"/>
      </w:pPr>
      <w:r>
        <w:rPr>
          <w:b w:val="0"/>
          <w:i w:val="0"/>
          <w:sz w:val="20"/>
        </w:rPr>
        <w:t xml:space="preserve">○  C.  </w:t>
      </w:r>
      <w:r>
        <w:rPr>
          <w:b w:val="0"/>
          <w:i w:val="0"/>
          <w:sz w:val="20"/>
        </w:rPr>
        <w:t>La quema elimina el carbono de la zoca permanentemente, sin impacto en el ciclo global del carbono.</w:t>
      </w:r>
    </w:p>
    <w:p>
      <w:pPr>
        <w:spacing w:after="40"/>
        <w:ind w:left="454"/>
      </w:pPr>
      <w:r>
        <w:rPr>
          <w:b w:val="0"/>
          <w:i w:val="0"/>
          <w:sz w:val="20"/>
        </w:rPr>
        <w:t xml:space="preserve">○  D.  </w:t>
      </w:r>
      <w:r>
        <w:rPr>
          <w:b w:val="0"/>
          <w:i w:val="0"/>
          <w:sz w:val="20"/>
        </w:rPr>
        <w:t>La quema solo libera CO₂; el CH₄ y el N₂O únicamente se generan en procesos industriales, no en quemas agrícolas.</w:t>
      </w:r>
    </w:p>
    <w:p>
      <w:pPr>
        <w:spacing w:before="120"/>
        <w:ind w:left="454"/>
      </w:pPr>
      <w:r>
        <w:rPr>
          <w:b/>
          <w:color w:val="2D6A4F"/>
          <w:sz w:val="18"/>
        </w:rPr>
        <w:t>RESPUESTA CORRECTA:</w:t>
      </w:r>
      <w:r>
        <w:rPr>
          <w:b w:val="0"/>
          <w:i w:val="0"/>
          <w:sz w:val="18"/>
        </w:rPr>
        <w:t xml:space="preserve">  A</w:t>
      </w:r>
    </w:p>
    <w:p>
      <w:pPr>
        <w:spacing w:after="80"/>
        <w:ind w:left="454"/>
      </w:pPr>
      <w:r>
        <w:rPr>
          <w:b/>
          <w:color w:val="555555"/>
          <w:sz w:val="18"/>
        </w:rPr>
        <w:t>CRITERIOS DE EVALUACIÓN:</w:t>
      </w:r>
      <w:r>
        <w:rPr>
          <w:b w:val="0"/>
          <w:i/>
          <w:sz w:val="18"/>
        </w:rPr>
        <w:br/>
        <w:t>La quema de biomasa agrícola libera CO₂, metano (CH₄, con potencial de calentamiento 28× el del CO₂) y óxido nitroso (N₂O, 265× el del CO₂). La B confunde quema abierta con pirólisis — son procesos opuestos. La C es incorrecta: el carbono se libera a la atmósfera, no desaparece. La D es falsa — CH₄ y N₂O se generan ampliamente en quemas agrícolas.</w:t>
      </w:r>
    </w:p>
    <w:p>
      <w:pPr>
        <w:spacing w:before="160" w:after="40"/>
      </w:pPr>
      <w:r>
        <w:rPr>
          <w:color w:val="DDDDDD"/>
          <w:sz w:val="14"/>
        </w:rPr>
        <w:t>──────────────────────────────────────────────────────────────────────────────────────────</w:t>
      </w:r>
    </w:p>
    <w:p>
      <w:pPr>
        <w:spacing w:before="240"/>
      </w:pPr>
      <w:r>
        <w:rPr>
          <w:b/>
          <w:color w:val="C04A2A"/>
          <w:sz w:val="32"/>
        </w:rPr>
        <w:t xml:space="preserve">3   </w:t>
      </w:r>
      <w:r>
        <w:rPr>
          <w:b/>
          <w:color w:val="888888"/>
          <w:sz w:val="18"/>
        </w:rPr>
        <w:t>S2.2</w:t>
      </w:r>
    </w:p>
    <w:p>
      <w:pPr>
        <w:spacing w:before="80" w:after="120"/>
      </w:pPr>
      <w:r>
        <w:rPr>
          <w:b w:val="0"/>
          <w:i w:val="0"/>
          <w:sz w:val="22"/>
        </w:rPr>
        <w:t>¿Cuáles son los pasos 4 y 5 del modelo Coffee Biochar, en orden correcto?</w:t>
      </w:r>
    </w:p>
    <w:p>
      <w:pPr>
        <w:spacing w:after="40"/>
        <w:ind w:left="454"/>
      </w:pPr>
      <w:r>
        <w:rPr>
          <w:b w:val="0"/>
          <w:i w:val="0"/>
          <w:sz w:val="20"/>
        </w:rPr>
        <w:t xml:space="preserve">○  A.  </w:t>
      </w:r>
      <w:r>
        <w:rPr>
          <w:b w:val="0"/>
          <w:i w:val="0"/>
          <w:sz w:val="20"/>
        </w:rPr>
        <w:t>Pirólisis (producción de biochar) → Registro en Planboo.</w:t>
      </w:r>
    </w:p>
    <w:p>
      <w:pPr>
        <w:spacing w:after="40"/>
        <w:ind w:left="454"/>
      </w:pPr>
      <w:r>
        <w:rPr>
          <w:b/>
          <w:color w:val="2D6A4F"/>
          <w:sz w:val="20"/>
        </w:rPr>
        <w:t xml:space="preserve">●  B.  </w:t>
      </w:r>
      <w:r>
        <w:rPr>
          <w:b/>
          <w:color w:val="2D6A4F"/>
          <w:sz w:val="20"/>
        </w:rPr>
        <w:t>Análisis de calidad del biochar → Aplicación al suelo con documentación.</w:t>
      </w:r>
    </w:p>
    <w:p>
      <w:pPr>
        <w:spacing w:after="40"/>
        <w:ind w:left="454"/>
      </w:pPr>
      <w:r>
        <w:rPr>
          <w:b w:val="0"/>
          <w:i w:val="0"/>
          <w:sz w:val="20"/>
        </w:rPr>
        <w:t xml:space="preserve">○  C.  </w:t>
      </w:r>
      <w:r>
        <w:rPr>
          <w:b w:val="0"/>
          <w:i w:val="0"/>
          <w:sz w:val="20"/>
        </w:rPr>
        <w:t>Colecta de biomasa → Análisis de calidad del biochar.</w:t>
      </w:r>
    </w:p>
    <w:p>
      <w:pPr>
        <w:spacing w:after="40"/>
        <w:ind w:left="454"/>
      </w:pPr>
      <w:r>
        <w:rPr>
          <w:b w:val="0"/>
          <w:i w:val="0"/>
          <w:sz w:val="20"/>
        </w:rPr>
        <w:t xml:space="preserve">○  D.  </w:t>
      </w:r>
      <w:r>
        <w:rPr>
          <w:b w:val="0"/>
          <w:i w:val="0"/>
          <w:sz w:val="20"/>
        </w:rPr>
        <w:t>Verificación por CERES → Emisión del crédito en el Registro Global C-Sink.</w:t>
      </w:r>
    </w:p>
    <w:p>
      <w:pPr>
        <w:spacing w:before="120"/>
        <w:ind w:left="454"/>
      </w:pPr>
      <w:r>
        <w:rPr>
          <w:b/>
          <w:color w:val="2D6A4F"/>
          <w:sz w:val="18"/>
        </w:rPr>
        <w:t>RESPUESTA CORRECTA:</w:t>
      </w:r>
      <w:r>
        <w:rPr>
          <w:b w:val="0"/>
          <w:i w:val="0"/>
          <w:sz w:val="18"/>
        </w:rPr>
        <w:t xml:space="preserve">  B</w:t>
      </w:r>
    </w:p>
    <w:p>
      <w:pPr>
        <w:spacing w:after="80"/>
        <w:ind w:left="454"/>
      </w:pPr>
      <w:r>
        <w:rPr>
          <w:b/>
          <w:color w:val="555555"/>
          <w:sz w:val="18"/>
        </w:rPr>
        <w:t>CRITERIOS DE EVALUACIÓN:</w:t>
      </w:r>
      <w:r>
        <w:rPr>
          <w:b w:val="0"/>
          <w:i/>
          <w:sz w:val="18"/>
        </w:rPr>
        <w:br/>
        <w:t>Los 8 pasos en orden son: (1) Comunidad de productores, (2) Colecta de biomasa, (3) Pirólisis, (4) Análisis de calidad, (5) Aplicación al suelo con documentación, (6) Registro en Planboo, (7) Verificación por CERES, (8) Emisión del crédito. La A mezcla pasos 3 y 6. La C son pasos 2 y 4. La D son los últimos dos pasos del proceso.</w:t>
      </w:r>
    </w:p>
    <w:p>
      <w:pPr>
        <w:spacing w:before="160" w:after="40"/>
      </w:pPr>
      <w:r>
        <w:rPr>
          <w:color w:val="DDDDDD"/>
          <w:sz w:val="14"/>
        </w:rPr>
        <w:t>──────────────────────────────────────────────────────────────────────────────────────────</w:t>
      </w:r>
    </w:p>
    <w:p>
      <w:pPr>
        <w:spacing w:before="240"/>
      </w:pPr>
      <w:r>
        <w:rPr>
          <w:b/>
          <w:color w:val="C04A2A"/>
          <w:sz w:val="32"/>
        </w:rPr>
        <w:t xml:space="preserve">4   </w:t>
      </w:r>
      <w:r>
        <w:rPr>
          <w:b/>
          <w:color w:val="888888"/>
          <w:sz w:val="18"/>
        </w:rPr>
        <w:t>S2.2</w:t>
      </w:r>
    </w:p>
    <w:p>
      <w:pPr>
        <w:spacing w:before="80" w:after="120"/>
      </w:pPr>
      <w:r>
        <w:rPr>
          <w:b w:val="0"/>
          <w:i w:val="0"/>
          <w:sz w:val="22"/>
        </w:rPr>
        <w:t>¿Cuál es la diferencia de roles entre Carbon Standards International (CSI) y CERES en el modelo Coffee Biochar?</w:t>
      </w:r>
    </w:p>
    <w:p>
      <w:pPr>
        <w:spacing w:after="40"/>
        <w:ind w:left="454"/>
      </w:pPr>
      <w:r>
        <w:rPr>
          <w:b w:val="0"/>
          <w:i w:val="0"/>
          <w:sz w:val="20"/>
        </w:rPr>
        <w:t xml:space="preserve">○  A.  </w:t>
      </w:r>
      <w:r>
        <w:rPr>
          <w:b w:val="0"/>
          <w:i w:val="0"/>
          <w:sz w:val="20"/>
        </w:rPr>
        <w:t>CSI produce el biochar en campo y CERES lo aplica al suelo siguiendo el protocolo agronómico.</w:t>
      </w:r>
    </w:p>
    <w:p>
      <w:pPr>
        <w:spacing w:after="40"/>
        <w:ind w:left="454"/>
      </w:pPr>
      <w:r>
        <w:rPr>
          <w:b/>
          <w:color w:val="2D6A4F"/>
          <w:sz w:val="20"/>
        </w:rPr>
        <w:t xml:space="preserve">●  B.  </w:t>
      </w:r>
      <w:r>
        <w:rPr>
          <w:b/>
          <w:color w:val="2D6A4F"/>
          <w:sz w:val="20"/>
        </w:rPr>
        <w:t>CSI define y gestiona el estándar Global Artisan C-Sink; CERES es el certificador externo independiente que verifica que el proyecto cumple ese estándar.</w:t>
      </w:r>
    </w:p>
    <w:p>
      <w:pPr>
        <w:spacing w:after="40"/>
        <w:ind w:left="454"/>
      </w:pPr>
      <w:r>
        <w:rPr>
          <w:b w:val="0"/>
          <w:i w:val="0"/>
          <w:sz w:val="20"/>
        </w:rPr>
        <w:t xml:space="preserve">○  C.  </w:t>
      </w:r>
      <w:r>
        <w:rPr>
          <w:b w:val="0"/>
          <w:i w:val="0"/>
          <w:sz w:val="20"/>
        </w:rPr>
        <w:t>CSI financia el proyecto a través de instrumentos de impact-linked finance; CERES lo opera en campo junto con los extensionistas.</w:t>
      </w:r>
    </w:p>
    <w:p>
      <w:pPr>
        <w:spacing w:after="40"/>
        <w:ind w:left="454"/>
      </w:pPr>
      <w:r>
        <w:rPr>
          <w:b w:val="0"/>
          <w:i w:val="0"/>
          <w:sz w:val="20"/>
        </w:rPr>
        <w:t xml:space="preserve">○  D.  </w:t>
      </w:r>
      <w:r>
        <w:rPr>
          <w:b w:val="0"/>
          <w:i w:val="0"/>
          <w:sz w:val="20"/>
        </w:rPr>
        <w:t>Ambos cumplen la misma función verificadora — son dos nombres para la misma organización.</w:t>
      </w:r>
    </w:p>
    <w:p>
      <w:pPr>
        <w:spacing w:before="120"/>
        <w:ind w:left="454"/>
      </w:pPr>
      <w:r>
        <w:rPr>
          <w:b/>
          <w:color w:val="2D6A4F"/>
          <w:sz w:val="18"/>
        </w:rPr>
        <w:t>RESPUESTA CORRECTA:</w:t>
      </w:r>
      <w:r>
        <w:rPr>
          <w:b w:val="0"/>
          <w:i w:val="0"/>
          <w:sz w:val="18"/>
        </w:rPr>
        <w:t xml:space="preserve">  B</w:t>
      </w:r>
    </w:p>
    <w:p>
      <w:pPr>
        <w:spacing w:after="80"/>
        <w:ind w:left="454"/>
      </w:pPr>
      <w:r>
        <w:rPr>
          <w:b/>
          <w:color w:val="555555"/>
          <w:sz w:val="18"/>
        </w:rPr>
        <w:t>CRITERIOS DE EVALUACIÓN:</w:t>
      </w:r>
      <w:r>
        <w:rPr>
          <w:b w:val="0"/>
          <w:i/>
          <w:sz w:val="18"/>
        </w:rPr>
        <w:br/>
        <w:t>La separación de roles CSI/CERES es intencional para garantizar integridad: CSI diseña y gestiona el estándar (independencia del diseño); CERES verifica externamente que se cumpla (independencia de la verificación). Si fueran el mismo actor, el mercado de carbono no confiaría en los créditos. Incofin, no CSI, es quien financia (C). La D niega una distinción fundamental del modelo.</w:t>
      </w:r>
    </w:p>
    <w:p>
      <w:pPr>
        <w:spacing w:before="160" w:after="40"/>
      </w:pPr>
      <w:r>
        <w:rPr>
          <w:color w:val="DDDDDD"/>
          <w:sz w:val="14"/>
        </w:rPr>
        <w:t>──────────────────────────────────────────────────────────────────────────────────────────</w:t>
      </w:r>
    </w:p>
    <w:p>
      <w:pPr>
        <w:spacing w:before="240"/>
      </w:pPr>
      <w:r>
        <w:rPr>
          <w:b/>
          <w:color w:val="C04A2A"/>
          <w:sz w:val="32"/>
        </w:rPr>
        <w:t xml:space="preserve">5   </w:t>
      </w:r>
      <w:r>
        <w:rPr>
          <w:b/>
          <w:color w:val="888888"/>
          <w:sz w:val="18"/>
        </w:rPr>
        <w:t>S2.2</w:t>
      </w:r>
    </w:p>
    <w:p>
      <w:pPr>
        <w:spacing w:before="80" w:after="120"/>
      </w:pPr>
      <w:r>
        <w:rPr>
          <w:b w:val="0"/>
          <w:i w:val="0"/>
          <w:sz w:val="22"/>
        </w:rPr>
        <w:t>Un clúster aplicó 15.000 litros de biochar al suelo en el período. La meta era 18.500 litros. Considerando una densidad aproximada de 0,3 kg/litro y que cada tonelada de biochar aplicada equivale a 2,1 tCO₂e de remoción, ¿cuántas toneladas de CO₂e dejaron de removerse aproximadamente?</w:t>
      </w:r>
    </w:p>
    <w:p>
      <w:pPr>
        <w:spacing w:after="40"/>
        <w:ind w:left="454"/>
      </w:pPr>
      <w:r>
        <w:rPr>
          <w:b w:val="0"/>
          <w:i w:val="0"/>
          <w:sz w:val="20"/>
        </w:rPr>
        <w:t xml:space="preserve">○  A.  </w:t>
      </w:r>
      <w:r>
        <w:rPr>
          <w:b w:val="0"/>
          <w:i w:val="0"/>
          <w:sz w:val="20"/>
        </w:rPr>
        <w:t>~0,7 tCO₂e — se calcula sobre la meta total, no sobre la diferencia.</w:t>
      </w:r>
    </w:p>
    <w:p>
      <w:pPr>
        <w:spacing w:after="40"/>
        <w:ind w:left="454"/>
      </w:pPr>
      <w:r>
        <w:rPr>
          <w:b/>
          <w:color w:val="2D6A4F"/>
          <w:sz w:val="20"/>
        </w:rPr>
        <w:t xml:space="preserve">●  B.  </w:t>
      </w:r>
      <w:r>
        <w:rPr>
          <w:b/>
          <w:color w:val="2D6A4F"/>
          <w:sz w:val="20"/>
        </w:rPr>
        <w:t>~2,2 tCO₂e — calculado sobre los 3.500 L no producidos × 0,3 kg/L × 2,1 tCO₂e/t.</w:t>
      </w:r>
    </w:p>
    <w:p>
      <w:pPr>
        <w:spacing w:after="40"/>
        <w:ind w:left="454"/>
      </w:pPr>
      <w:r>
        <w:rPr>
          <w:b w:val="0"/>
          <w:i w:val="0"/>
          <w:sz w:val="20"/>
        </w:rPr>
        <w:t xml:space="preserve">○  C.  </w:t>
      </w:r>
      <w:r>
        <w:rPr>
          <w:b w:val="0"/>
          <w:i w:val="0"/>
          <w:sz w:val="20"/>
        </w:rPr>
        <w:t>~7,4 tCO₂e — se aplica un factor de 1 L = 1 kg de biochar.</w:t>
      </w:r>
    </w:p>
    <w:p>
      <w:pPr>
        <w:spacing w:after="40"/>
        <w:ind w:left="454"/>
      </w:pPr>
      <w:r>
        <w:rPr>
          <w:b w:val="0"/>
          <w:i w:val="0"/>
          <w:sz w:val="20"/>
        </w:rPr>
        <w:t xml:space="preserve">○  D.  </w:t>
      </w:r>
      <w:r>
        <w:rPr>
          <w:b w:val="0"/>
          <w:i w:val="0"/>
          <w:sz w:val="20"/>
        </w:rPr>
        <w:t>~11,0 tCO₂e — se multiplican los litros faltantes directamente por 2,1 sin convertir a toneladas.</w:t>
      </w:r>
    </w:p>
    <w:p>
      <w:pPr>
        <w:spacing w:before="120"/>
        <w:ind w:left="454"/>
      </w:pPr>
      <w:r>
        <w:rPr>
          <w:b/>
          <w:color w:val="2D6A4F"/>
          <w:sz w:val="18"/>
        </w:rPr>
        <w:t>RESPUESTA CORRECTA:</w:t>
      </w:r>
      <w:r>
        <w:rPr>
          <w:b w:val="0"/>
          <w:i w:val="0"/>
          <w:sz w:val="18"/>
        </w:rPr>
        <w:t xml:space="preserve">  B</w:t>
      </w:r>
    </w:p>
    <w:p>
      <w:pPr>
        <w:spacing w:after="80"/>
        <w:ind w:left="454"/>
      </w:pPr>
      <w:r>
        <w:rPr>
          <w:b/>
          <w:color w:val="555555"/>
          <w:sz w:val="18"/>
        </w:rPr>
        <w:t>CRITERIOS DE EVALUACIÓN:</w:t>
      </w:r>
      <w:r>
        <w:rPr>
          <w:b w:val="0"/>
          <w:i/>
          <w:sz w:val="18"/>
        </w:rPr>
        <w:br/>
        <w:t>Litros faltantes: 18.500 − 15.000 = 3.500 L. Toneladas faltantes: 3.500 × 0,3 kg/L = 1.050 kg = 1,05 t. Créditos perdidos: 1,05 × 2,1 = ~2,2 tCO₂e. La A usa la meta total en vez de la diferencia. La C confunde litros con kilogramos (1 L ≠ 1 kg — el biochar es mucho más liviano). La D multiplica litros por el factor tCO₂e/t, mezclando unidades.</w:t>
      </w:r>
    </w:p>
    <w:p>
      <w:pPr>
        <w:spacing w:before="160" w:after="40"/>
      </w:pPr>
      <w:r>
        <w:rPr>
          <w:color w:val="DDDDDD"/>
          <w:sz w:val="14"/>
        </w:rPr>
        <w:t>──────────────────────────────────────────────────────────────────────────────────────────</w:t>
      </w:r>
    </w:p>
    <w:p>
      <w:pPr>
        <w:spacing w:before="240"/>
      </w:pPr>
      <w:r>
        <w:rPr>
          <w:b/>
          <w:color w:val="C04A2A"/>
          <w:sz w:val="32"/>
        </w:rPr>
        <w:t xml:space="preserve">6   </w:t>
      </w:r>
      <w:r>
        <w:rPr>
          <w:b/>
          <w:color w:val="888888"/>
          <w:sz w:val="18"/>
        </w:rPr>
        <w:t>S2.3</w:t>
      </w:r>
    </w:p>
    <w:p>
      <w:pPr>
        <w:spacing w:before="80" w:after="120"/>
      </w:pPr>
      <w:r>
        <w:rPr>
          <w:b w:val="0"/>
          <w:i w:val="0"/>
          <w:sz w:val="22"/>
        </w:rPr>
        <w:t>¿Cuál de los siguientes registros en Planboo es el único válido para el estándar Global Artisan C-Sink?</w:t>
      </w:r>
    </w:p>
    <w:p>
      <w:pPr>
        <w:spacing w:after="40"/>
        <w:ind w:left="454"/>
      </w:pPr>
      <w:r>
        <w:rPr>
          <w:b w:val="0"/>
          <w:i w:val="0"/>
          <w:sz w:val="20"/>
        </w:rPr>
        <w:t xml:space="preserve">○  A.  </w:t>
      </w:r>
      <w:r>
        <w:rPr>
          <w:b w:val="0"/>
          <w:i w:val="0"/>
          <w:sz w:val="20"/>
        </w:rPr>
        <w:t>Registro cargado 3 días después de la quema, con foto y GPS activo, porque el productor estaba enfermo.</w:t>
      </w:r>
    </w:p>
    <w:p>
      <w:pPr>
        <w:spacing w:after="40"/>
        <w:ind w:left="454"/>
      </w:pPr>
      <w:r>
        <w:rPr>
          <w:b w:val="0"/>
          <w:i w:val="0"/>
          <w:sz w:val="20"/>
        </w:rPr>
        <w:t xml:space="preserve">○  B.  </w:t>
      </w:r>
      <w:r>
        <w:rPr>
          <w:b w:val="0"/>
          <w:i w:val="0"/>
          <w:sz w:val="20"/>
        </w:rPr>
        <w:t>Registro cargado el mismo día de la quema, con los litros estimados visualmente y foto con GPS activo.</w:t>
      </w:r>
    </w:p>
    <w:p>
      <w:pPr>
        <w:spacing w:after="40"/>
        <w:ind w:left="454"/>
      </w:pPr>
      <w:r>
        <w:rPr>
          <w:b/>
          <w:color w:val="2D6A4F"/>
          <w:sz w:val="20"/>
        </w:rPr>
        <w:t xml:space="preserve">●  C.  </w:t>
      </w:r>
      <w:r>
        <w:rPr>
          <w:b/>
          <w:color w:val="2D6A4F"/>
          <w:sz w:val="20"/>
        </w:rPr>
        <w:t>Registro cargado al día hábil siguiente, con litros medidos con recipiente calibrado y foto con GPS activo.</w:t>
      </w:r>
    </w:p>
    <w:p>
      <w:pPr>
        <w:spacing w:after="40"/>
        <w:ind w:left="454"/>
      </w:pPr>
      <w:r>
        <w:rPr>
          <w:b w:val="0"/>
          <w:i w:val="0"/>
          <w:sz w:val="20"/>
        </w:rPr>
        <w:t xml:space="preserve">○  D.  </w:t>
      </w:r>
      <w:r>
        <w:rPr>
          <w:b w:val="0"/>
          <w:i w:val="0"/>
          <w:sz w:val="20"/>
        </w:rPr>
        <w:t>Registro cargado el mismo día, con litros medidos correctamente, pero sin foto — solo con coordenadas GPS escritas a mano.</w:t>
      </w:r>
    </w:p>
    <w:p>
      <w:pPr>
        <w:spacing w:before="120"/>
        <w:ind w:left="454"/>
      </w:pPr>
      <w:r>
        <w:rPr>
          <w:b/>
          <w:color w:val="2D6A4F"/>
          <w:sz w:val="18"/>
        </w:rPr>
        <w:t>RESPUESTA CORRECTA:</w:t>
      </w:r>
      <w:r>
        <w:rPr>
          <w:b w:val="0"/>
          <w:i w:val="0"/>
          <w:sz w:val="18"/>
        </w:rPr>
        <w:t xml:space="preserve">  C</w:t>
      </w:r>
    </w:p>
    <w:p>
      <w:pPr>
        <w:spacing w:after="80"/>
        <w:ind w:left="454"/>
      </w:pPr>
      <w:r>
        <w:rPr>
          <w:b/>
          <w:color w:val="555555"/>
          <w:sz w:val="18"/>
        </w:rPr>
        <w:t>CRITERIOS DE EVALUACIÓN:</w:t>
      </w:r>
      <w:r>
        <w:rPr>
          <w:b w:val="0"/>
          <w:i/>
          <w:sz w:val="18"/>
        </w:rPr>
        <w:br/>
        <w:t>El estándar exige: (1) Exactitud — datos medidos, no estimados; (2) Completitud — foto + GPS activo obligatorios; (3) Oportunidad — máximo al día hábil siguiente; (4) Trazabilidad — GPS en la foto vincula el registro al lugar real. La A falla en Oportunidad. La B falla en Exactitud (estimación visual). La D falla en Completitud y Trazabilidad (sin foto, GPS manual no equivale a GPS automático en app).</w:t>
      </w:r>
    </w:p>
    <w:p>
      <w:pPr>
        <w:spacing w:before="160" w:after="40"/>
      </w:pPr>
      <w:r>
        <w:rPr>
          <w:color w:val="DDDDDD"/>
          <w:sz w:val="14"/>
        </w:rPr>
        <w:t>──────────────────────────────────────────────────────────────────────────────────────────</w:t>
      </w:r>
    </w:p>
    <w:p>
      <w:pPr>
        <w:spacing w:before="240"/>
      </w:pPr>
      <w:r>
        <w:rPr>
          <w:b/>
          <w:color w:val="C04A2A"/>
          <w:sz w:val="32"/>
        </w:rPr>
        <w:t xml:space="preserve">7   </w:t>
      </w:r>
      <w:r>
        <w:rPr>
          <w:b/>
          <w:color w:val="888888"/>
          <w:sz w:val="18"/>
        </w:rPr>
        <w:t>S2.3</w:t>
      </w:r>
    </w:p>
    <w:p>
      <w:pPr>
        <w:spacing w:before="80" w:after="120"/>
      </w:pPr>
      <w:r>
        <w:rPr>
          <w:b w:val="0"/>
          <w:i w:val="0"/>
          <w:sz w:val="22"/>
        </w:rPr>
        <w:t>Un extensionista registra una quema en Planboo el mismo día, con los litros correctamente medidos, pero no activó el GPS antes de tomar la foto. ¿Qué dimensión de integridad del dato está comprometida y por qué?</w:t>
      </w:r>
    </w:p>
    <w:p>
      <w:pPr>
        <w:spacing w:after="40"/>
        <w:ind w:left="454"/>
      </w:pPr>
      <w:r>
        <w:rPr>
          <w:b w:val="0"/>
          <w:i w:val="0"/>
          <w:sz w:val="20"/>
        </w:rPr>
        <w:t xml:space="preserve">○  A.  </w:t>
      </w:r>
      <w:r>
        <w:rPr>
          <w:b w:val="0"/>
          <w:i w:val="0"/>
          <w:sz w:val="20"/>
        </w:rPr>
        <w:t>Exactitud — sin GPS el sistema no puede confirmar que el peso medido es correcto.</w:t>
      </w:r>
    </w:p>
    <w:p>
      <w:pPr>
        <w:spacing w:after="40"/>
        <w:ind w:left="454"/>
      </w:pPr>
      <w:r>
        <w:rPr>
          <w:b w:val="0"/>
          <w:i w:val="0"/>
          <w:sz w:val="20"/>
        </w:rPr>
        <w:t xml:space="preserve">○  B.  </w:t>
      </w:r>
      <w:r>
        <w:rPr>
          <w:b w:val="0"/>
          <w:i w:val="0"/>
          <w:sz w:val="20"/>
        </w:rPr>
        <w:t>Oportunidad — sin GPS activo el sistema interpreta el registro como tardío.</w:t>
      </w:r>
    </w:p>
    <w:p>
      <w:pPr>
        <w:spacing w:after="40"/>
        <w:ind w:left="454"/>
      </w:pPr>
      <w:r>
        <w:rPr>
          <w:b/>
          <w:color w:val="2D6A4F"/>
          <w:sz w:val="20"/>
        </w:rPr>
        <w:t xml:space="preserve">●  C.  </w:t>
      </w:r>
      <w:r>
        <w:rPr>
          <w:b/>
          <w:color w:val="2D6A4F"/>
          <w:sz w:val="20"/>
        </w:rPr>
        <w:t>Trazabilidad — sin GPS en la foto no puede vincularse el registro a una quema verificable en el lote correcto.</w:t>
      </w:r>
    </w:p>
    <w:p>
      <w:pPr>
        <w:spacing w:after="40"/>
        <w:ind w:left="454"/>
      </w:pPr>
      <w:r>
        <w:rPr>
          <w:b w:val="0"/>
          <w:i w:val="0"/>
          <w:sz w:val="20"/>
        </w:rPr>
        <w:t xml:space="preserve">○  D.  </w:t>
      </w:r>
      <w:r>
        <w:rPr>
          <w:b w:val="0"/>
          <w:i w:val="0"/>
          <w:sz w:val="20"/>
        </w:rPr>
        <w:t>Completitud — la ausencia de GPS automáticamente invalida todos los demás campos del registro.</w:t>
      </w:r>
    </w:p>
    <w:p>
      <w:pPr>
        <w:spacing w:before="120"/>
        <w:ind w:left="454"/>
      </w:pPr>
      <w:r>
        <w:rPr>
          <w:b/>
          <w:color w:val="2D6A4F"/>
          <w:sz w:val="18"/>
        </w:rPr>
        <w:t>RESPUESTA CORRECTA:</w:t>
      </w:r>
      <w:r>
        <w:rPr>
          <w:b w:val="0"/>
          <w:i w:val="0"/>
          <w:sz w:val="18"/>
        </w:rPr>
        <w:t xml:space="preserve">  C</w:t>
      </w:r>
    </w:p>
    <w:p>
      <w:pPr>
        <w:spacing w:after="80"/>
        <w:ind w:left="454"/>
      </w:pPr>
      <w:r>
        <w:rPr>
          <w:b/>
          <w:color w:val="555555"/>
          <w:sz w:val="18"/>
        </w:rPr>
        <w:t>CRITERIOS DE EVALUACIÓN:</w:t>
      </w:r>
      <w:r>
        <w:rPr>
          <w:b w:val="0"/>
          <w:i/>
          <w:sz w:val="18"/>
        </w:rPr>
        <w:br/>
        <w:t>La Trazabilidad exige que cada registro pueda vincularse a un evento físico verificable en un lugar específico. El GPS en la foto es justamente eso: la coordenada que conecta el dato digital con la quema real en campo. Sin él, el auditor de CERES no puede confirmar que esa foto corresponde al lote declarado. La D es incorrecta — invalida el criterio específico (trazabilidad), no todos los criterios simultáneamente.</w:t>
      </w:r>
    </w:p>
    <w:p>
      <w:pPr>
        <w:spacing w:before="160" w:after="40"/>
      </w:pPr>
      <w:r>
        <w:rPr>
          <w:color w:val="DDDDDD"/>
          <w:sz w:val="14"/>
        </w:rPr>
        <w:t>──────────────────────────────────────────────────────────────────────────────────────────</w:t>
      </w:r>
    </w:p>
    <w:p>
      <w:pPr>
        <w:spacing w:before="240"/>
      </w:pPr>
      <w:r>
        <w:rPr>
          <w:b/>
          <w:color w:val="C04A2A"/>
          <w:sz w:val="32"/>
        </w:rPr>
        <w:t xml:space="preserve">8   </w:t>
      </w:r>
      <w:r>
        <w:rPr>
          <w:b/>
          <w:color w:val="888888"/>
          <w:sz w:val="18"/>
        </w:rPr>
        <w:t>Integradora</w:t>
      </w:r>
    </w:p>
    <w:p>
      <w:pPr>
        <w:spacing w:before="80" w:after="120"/>
      </w:pPr>
      <w:r>
        <w:rPr>
          <w:b w:val="0"/>
          <w:i w:val="0"/>
          <w:sz w:val="22"/>
        </w:rPr>
        <w:t>Un productor le dice al extensionista: "Tengo zoca acumulada en otro lote y la voy a quemar en campo esta semana porque necesito limpiar antes de la siembra." El productor firmó la declaración de honor al inicio del proyecto. ¿Cuál es la implicación y qué debe hacer el extensionista?</w:t>
      </w:r>
    </w:p>
    <w:p>
      <w:pPr>
        <w:spacing w:after="40"/>
        <w:ind w:left="454"/>
      </w:pPr>
      <w:r>
        <w:rPr>
          <w:b w:val="0"/>
          <w:i w:val="0"/>
          <w:sz w:val="20"/>
        </w:rPr>
        <w:t xml:space="preserve">○  A.  </w:t>
      </w:r>
      <w:r>
        <w:rPr>
          <w:b w:val="0"/>
          <w:i w:val="0"/>
          <w:sz w:val="20"/>
        </w:rPr>
        <w:t>No tiene implicación directa si el productor sigue produciendo biochar con el horno asignado — la declaración de honor es solo un trámite administrativo.</w:t>
      </w:r>
    </w:p>
    <w:p>
      <w:pPr>
        <w:spacing w:after="40"/>
        <w:ind w:left="454"/>
      </w:pPr>
      <w:r>
        <w:rPr>
          <w:b/>
          <w:color w:val="2D6A4F"/>
          <w:sz w:val="20"/>
        </w:rPr>
        <w:t xml:space="preserve">●  B.  </w:t>
      </w:r>
      <w:r>
        <w:rPr>
          <w:b/>
          <w:color w:val="2D6A4F"/>
          <w:sz w:val="20"/>
        </w:rPr>
        <w:t>La quema paralela viola el principio de adicionalidad del estándar. Sin adicionalidad, los créditos de ese productor no pueden venderse en el mercado voluntario. El extensionista debe explicarlo claramente y escalar al líder si el productor insiste.</w:t>
      </w:r>
    </w:p>
    <w:p>
      <w:pPr>
        <w:spacing w:after="40"/>
        <w:ind w:left="454"/>
      </w:pPr>
      <w:r>
        <w:rPr>
          <w:b w:val="0"/>
          <w:i w:val="0"/>
          <w:sz w:val="20"/>
        </w:rPr>
        <w:t xml:space="preserve">○  C.  </w:t>
      </w:r>
      <w:r>
        <w:rPr>
          <w:b w:val="0"/>
          <w:i w:val="0"/>
          <w:sz w:val="20"/>
        </w:rPr>
        <w:t>El extensionista debe reportar de inmediato directamente a CSI, sin pasar por el líder de clúster, para que el crédito ya emitido no sea anulado retroactivamente.</w:t>
      </w:r>
    </w:p>
    <w:p>
      <w:pPr>
        <w:spacing w:after="40"/>
        <w:ind w:left="454"/>
      </w:pPr>
      <w:r>
        <w:rPr>
          <w:b w:val="0"/>
          <w:i w:val="0"/>
          <w:sz w:val="20"/>
        </w:rPr>
        <w:t xml:space="preserve">○  D.  </w:t>
      </w:r>
      <w:r>
        <w:rPr>
          <w:b w:val="0"/>
          <w:i w:val="0"/>
          <w:sz w:val="20"/>
        </w:rPr>
        <w:t>La declaración de honor solo aplica durante el período formal de verificación de CERES; fuera de ese período el productor puede quemar libremente.</w:t>
      </w:r>
    </w:p>
    <w:p>
      <w:pPr>
        <w:spacing w:before="120"/>
        <w:ind w:left="454"/>
      </w:pPr>
      <w:r>
        <w:rPr>
          <w:b/>
          <w:color w:val="2D6A4F"/>
          <w:sz w:val="18"/>
        </w:rPr>
        <w:t>RESPUESTA CORRECTA:</w:t>
      </w:r>
      <w:r>
        <w:rPr>
          <w:b w:val="0"/>
          <w:i w:val="0"/>
          <w:sz w:val="18"/>
        </w:rPr>
        <w:t xml:space="preserve">  B</w:t>
      </w:r>
    </w:p>
    <w:p>
      <w:pPr>
        <w:spacing w:after="80"/>
        <w:ind w:left="454"/>
      </w:pPr>
      <w:r>
        <w:rPr>
          <w:b/>
          <w:color w:val="555555"/>
          <w:sz w:val="18"/>
        </w:rPr>
        <w:t>CRITERIOS DE EVALUACIÓN:</w:t>
      </w:r>
      <w:r>
        <w:rPr>
          <w:b w:val="0"/>
          <w:i/>
          <w:sz w:val="18"/>
        </w:rPr>
        <w:br/>
        <w:t>La adicionalidad es el principio que garantiza que la remoción de carbono va más allá del escenario habitual. Si el productor sigue quemando residuos en paralelo, el crédito no es adicional y no puede comercializarse en el mercado voluntario serio. La declaración de honor es el instrumento contractual que asegura esa adicionalidad — no es un trámite. El protocolo de escalamiento siempre pasa por el líder de clúster (no directamente a CSI). La declaración aplica durante todo el período del proyecto, no solo durante auditorías.</w:t>
      </w:r>
    </w:p>
    <w:p>
      <w:pPr>
        <w:spacing w:before="160" w:after="40"/>
      </w:pPr>
      <w:r>
        <w:rPr>
          <w:color w:val="DDDDDD"/>
          <w:sz w:val="14"/>
        </w:rPr>
        <w:t>──────────────────────────────────────────────────────────────────────────────────────────</w:t>
      </w:r>
    </w:p>
    <w:p>
      <w:pPr>
        <w:spacing w:before="240"/>
      </w:pPr>
      <w:r>
        <w:rPr>
          <w:b/>
          <w:color w:val="C04A2A"/>
          <w:sz w:val="32"/>
        </w:rPr>
        <w:t xml:space="preserve">9   </w:t>
      </w:r>
      <w:r>
        <w:rPr>
          <w:b/>
          <w:color w:val="888888"/>
          <w:sz w:val="18"/>
        </w:rPr>
        <w:t>Integradora</w:t>
      </w:r>
    </w:p>
    <w:p>
      <w:pPr>
        <w:spacing w:before="80" w:after="120"/>
      </w:pPr>
      <w:r>
        <w:rPr>
          <w:b w:val="0"/>
          <w:i w:val="0"/>
          <w:sz w:val="22"/>
        </w:rPr>
        <w:t>Si un extensionista no registra en Planboo 5 quemas que sí ocurrieron en campo, ¿cuál es la cadena de consecuencias correcta para el productor?</w:t>
      </w:r>
    </w:p>
    <w:p>
      <w:pPr>
        <w:spacing w:after="40"/>
        <w:ind w:left="454"/>
      </w:pPr>
      <w:r>
        <w:rPr>
          <w:b/>
          <w:color w:val="2D6A4F"/>
          <w:sz w:val="20"/>
        </w:rPr>
        <w:t xml:space="preserve">●  A.  </w:t>
      </w:r>
      <w:r>
        <w:rPr>
          <w:b/>
          <w:color w:val="2D6A4F"/>
          <w:sz w:val="20"/>
        </w:rPr>
        <w:t>Las quemas no registradas no generan crédito → el biochar producido no cuenta para la certificación → los KPIs del período bajan → la tasa de Incofin podría no disminuir → el ingreso del productor no mejora como esperado.</w:t>
      </w:r>
    </w:p>
    <w:p>
      <w:pPr>
        <w:spacing w:after="40"/>
        <w:ind w:left="454"/>
      </w:pPr>
      <w:r>
        <w:rPr>
          <w:b w:val="0"/>
          <w:i w:val="0"/>
          <w:sz w:val="20"/>
        </w:rPr>
        <w:t xml:space="preserve">○  B.  </w:t>
      </w:r>
      <w:r>
        <w:rPr>
          <w:b w:val="0"/>
          <w:i w:val="0"/>
          <w:sz w:val="20"/>
        </w:rPr>
        <w:t>Las quemas no registradas se pueden recuperar retroactivamente si el extensionista lo reporta en el siguiente mes, sin impacto en los créditos ya calculados.</w:t>
      </w:r>
    </w:p>
    <w:p>
      <w:pPr>
        <w:spacing w:after="40"/>
        <w:ind w:left="454"/>
      </w:pPr>
      <w:r>
        <w:rPr>
          <w:b w:val="0"/>
          <w:i w:val="0"/>
          <w:sz w:val="20"/>
        </w:rPr>
        <w:t xml:space="preserve">○  C.  </w:t>
      </w:r>
      <w:r>
        <w:rPr>
          <w:b w:val="0"/>
          <w:i w:val="0"/>
          <w:sz w:val="20"/>
        </w:rPr>
        <w:t>Solo las quemas de los primeros 10 días del batch son críticas para el crédito; las del resto del período tienen menor peso en la certificación.</w:t>
      </w:r>
    </w:p>
    <w:p>
      <w:pPr>
        <w:spacing w:after="40"/>
        <w:ind w:left="454"/>
      </w:pPr>
      <w:r>
        <w:rPr>
          <w:b w:val="0"/>
          <w:i w:val="0"/>
          <w:sz w:val="20"/>
        </w:rPr>
        <w:t xml:space="preserve">○  D.  </w:t>
      </w:r>
      <w:r>
        <w:rPr>
          <w:b w:val="0"/>
          <w:i w:val="0"/>
          <w:sz w:val="20"/>
        </w:rPr>
        <w:t>El impacto es solo interno para Biodiversal; los productores no se ven afectados porque el pago se calcula sobre la producción total declarada por el productor.</w:t>
      </w:r>
    </w:p>
    <w:p>
      <w:pPr>
        <w:spacing w:before="120"/>
        <w:ind w:left="454"/>
      </w:pPr>
      <w:r>
        <w:rPr>
          <w:b/>
          <w:color w:val="2D6A4F"/>
          <w:sz w:val="18"/>
        </w:rPr>
        <w:t>RESPUESTA CORRECTA:</w:t>
      </w:r>
      <w:r>
        <w:rPr>
          <w:b w:val="0"/>
          <w:i w:val="0"/>
          <w:sz w:val="18"/>
        </w:rPr>
        <w:t xml:space="preserve">  A</w:t>
      </w:r>
    </w:p>
    <w:p>
      <w:pPr>
        <w:spacing w:after="80"/>
        <w:ind w:left="454"/>
      </w:pPr>
      <w:r>
        <w:rPr>
          <w:b/>
          <w:color w:val="555555"/>
          <w:sz w:val="18"/>
        </w:rPr>
        <w:t>CRITERIOS DE EVALUACIÓN:</w:t>
      </w:r>
      <w:r>
        <w:rPr>
          <w:b w:val="0"/>
          <w:i/>
          <w:sz w:val="18"/>
        </w:rPr>
        <w:br/>
        <w:t>El modelo es explícito: solo lo que está registrado en Planboo existe para el estándar. La cadena A refleja exactamente cómo el dato diario del extensionista se conecta con el ingreso final del caficultor: sin registro → sin crédito → sin mejora en tasa Incofin → sin distribución adicional al productor. La B es incorrecta — el estándar no permite retroactividad. La C no existe en el protocolo. La D contradice la estructura financiera del modelo.</w:t>
      </w:r>
    </w:p>
    <w:p>
      <w:pPr>
        <w:spacing w:before="160" w:after="40"/>
      </w:pPr>
      <w:r>
        <w:rPr>
          <w:color w:val="DDDDDD"/>
          <w:sz w:val="14"/>
        </w:rPr>
        <w:t>──────────────────────────────────────────────────────────────────────────────────────────</w:t>
      </w:r>
    </w:p>
    <w:p>
      <w:pPr>
        <w:spacing w:before="240"/>
      </w:pPr>
      <w:r>
        <w:rPr>
          <w:b/>
          <w:color w:val="C04A2A"/>
          <w:sz w:val="32"/>
        </w:rPr>
        <w:t xml:space="preserve">10   </w:t>
      </w:r>
      <w:r>
        <w:rPr>
          <w:b/>
          <w:color w:val="888888"/>
          <w:sz w:val="18"/>
        </w:rPr>
        <w:t>Integradora</w:t>
      </w:r>
    </w:p>
    <w:p>
      <w:pPr>
        <w:spacing w:before="80" w:after="120"/>
      </w:pPr>
      <w:r>
        <w:rPr>
          <w:b w:val="0"/>
          <w:i w:val="0"/>
          <w:sz w:val="22"/>
        </w:rPr>
        <w:t>Don Rodrigo opera dos hornos. El extensionista detecta en Planboo que tres registros del horno 2 no tienen foto, que el peso declarado en cada uno (2.100 L) supera la capacidad máxima del horno (1.400 L/quema), y que los registros fueron hechos desde un número de teléfono diferente al de Don Rodrigo. Don Rodrigo explica que prestó su celular a un vecino y registró desde el celular de su hijo. ¿Cuál es la acción correcta del extensionista?</w:t>
      </w:r>
    </w:p>
    <w:p>
      <w:pPr>
        <w:spacing w:after="40"/>
        <w:ind w:left="454"/>
      </w:pPr>
      <w:r>
        <w:rPr>
          <w:b w:val="0"/>
          <w:i w:val="0"/>
          <w:sz w:val="20"/>
        </w:rPr>
        <w:t xml:space="preserve">○  A.  </w:t>
      </w:r>
      <w:r>
        <w:rPr>
          <w:b w:val="0"/>
          <w:i w:val="0"/>
          <w:sz w:val="20"/>
        </w:rPr>
        <w:t>Validar los tres registros porque Don Rodrigo tiene una explicación razonable — la situación del celular justifica todas las inconsistencias.</w:t>
      </w:r>
    </w:p>
    <w:p>
      <w:pPr>
        <w:spacing w:after="40"/>
        <w:ind w:left="454"/>
      </w:pPr>
      <w:r>
        <w:rPr>
          <w:b/>
          <w:color w:val="2D6A4F"/>
          <w:sz w:val="20"/>
        </w:rPr>
        <w:t xml:space="preserve">●  B.  </w:t>
      </w:r>
      <w:r>
        <w:rPr>
          <w:b/>
          <w:color w:val="2D6A4F"/>
          <w:sz w:val="20"/>
        </w:rPr>
        <w:t>Documentar las tres inconsistencias detectadas (sin foto, peso inflado, dispositivo diferente), hablar con Don Rodrigo sobre cada punto, y escalar al líder de clúster con todos los datos antes de validar o modificar cualquier registro.</w:t>
      </w:r>
    </w:p>
    <w:p>
      <w:pPr>
        <w:spacing w:after="40"/>
        <w:ind w:left="454"/>
      </w:pPr>
      <w:r>
        <w:rPr>
          <w:b w:val="0"/>
          <w:i w:val="0"/>
          <w:sz w:val="20"/>
        </w:rPr>
        <w:t xml:space="preserve">○  C.  </w:t>
      </w:r>
      <w:r>
        <w:rPr>
          <w:b w:val="0"/>
          <w:i w:val="0"/>
          <w:sz w:val="20"/>
        </w:rPr>
        <w:t>Eliminar los tres registros de Planboo y pedirle a Don Rodrigo que los vuelva a cargar correctamente desde su propio celular.</w:t>
      </w:r>
    </w:p>
    <w:p>
      <w:pPr>
        <w:spacing w:after="40"/>
        <w:ind w:left="454"/>
      </w:pPr>
      <w:r>
        <w:rPr>
          <w:b w:val="0"/>
          <w:i w:val="0"/>
          <w:sz w:val="20"/>
        </w:rPr>
        <w:t xml:space="preserve">○  D.  </w:t>
      </w:r>
      <w:r>
        <w:rPr>
          <w:b w:val="0"/>
          <w:i w:val="0"/>
          <w:sz w:val="20"/>
        </w:rPr>
        <w:t>Anotar las inconsistencias en un cuaderno personal y esperar a que CERES las detecte en la verificación anual.</w:t>
      </w:r>
    </w:p>
    <w:p>
      <w:pPr>
        <w:spacing w:before="120"/>
        <w:ind w:left="454"/>
      </w:pPr>
      <w:r>
        <w:rPr>
          <w:b/>
          <w:color w:val="2D6A4F"/>
          <w:sz w:val="18"/>
        </w:rPr>
        <w:t>RESPUESTA CORRECTA:</w:t>
      </w:r>
      <w:r>
        <w:rPr>
          <w:b w:val="0"/>
          <w:i w:val="0"/>
          <w:sz w:val="18"/>
        </w:rPr>
        <w:t xml:space="preserve">  B</w:t>
      </w:r>
    </w:p>
    <w:p>
      <w:pPr>
        <w:spacing w:after="80"/>
        <w:ind w:left="454"/>
      </w:pPr>
      <w:r>
        <w:rPr>
          <w:b/>
          <w:color w:val="555555"/>
          <w:sz w:val="18"/>
        </w:rPr>
        <w:t>CRITERIOS DE EVALUACIÓN:</w:t>
      </w:r>
      <w:r>
        <w:rPr>
          <w:b w:val="0"/>
          <w:i/>
          <w:sz w:val="18"/>
        </w:rPr>
        <w:br/>
        <w:t>Tres señales de alerta simultáneas (sin foto, peso imposible, dispositivo diferente) requieren el protocolo completo: documentar con datos concretos, hablar con el productor para escuchar su versión, y escalar al líder antes de cualquier acción correctiva. La A valida sin investigar. La C modifica registros sin autorización — el extensionista no puede eliminar datos del sistema unilateralmente. La D deja inconsistencias activas que pueden comprometer la certificación del clúster completo hasta la próxima auditoría.</w:t>
      </w:r>
    </w:p>
    <w:p>
      <w:pPr>
        <w:spacing w:before="160" w:after="40"/>
      </w:pPr>
      <w:r>
        <w:rPr>
          <w:color w:val="DDDDDD"/>
          <w:sz w:val="14"/>
        </w:rPr>
        <w: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