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A179F" w14:paraId="27EFF378" w14:textId="77777777">
        <w:tblPrEx>
          <w:tblCellMar>
            <w:top w:w="0" w:type="dxa"/>
            <w:bottom w:w="0" w:type="dxa"/>
          </w:tblCellMar>
        </w:tblPrEx>
        <w:tc>
          <w:tcPr>
            <w:tcW w:w="10080" w:type="dxa"/>
            <w:tcBorders>
              <w:top w:val="single" w:sz="1" w:space="0" w:color="3E4D58"/>
              <w:left w:val="single" w:sz="1" w:space="0" w:color="3E4D58"/>
              <w:bottom w:val="single" w:sz="1" w:space="0" w:color="3E4D58"/>
              <w:right w:val="single" w:sz="1" w:space="0" w:color="3E4D58"/>
            </w:tcBorders>
            <w:shd w:val="clear" w:color="auto" w:fill="3E4D58"/>
            <w:tcMar>
              <w:top w:w="160" w:type="dxa"/>
              <w:left w:w="200" w:type="dxa"/>
              <w:bottom w:w="160" w:type="dxa"/>
              <w:right w:w="200" w:type="dxa"/>
            </w:tcMar>
          </w:tcPr>
          <w:p w14:paraId="36B6F77B" w14:textId="77777777" w:rsidR="000A179F" w:rsidRDefault="00000000">
            <w:pPr>
              <w:spacing w:after="80"/>
            </w:pPr>
            <w:r>
              <w:rPr>
                <w:b/>
                <w:bCs/>
                <w:color w:val="DA7052"/>
                <w:sz w:val="16"/>
                <w:szCs w:val="16"/>
              </w:rPr>
              <w:t>BIOIMPACTO  ·  PLAN DE FORMACIÓN EXTENSIONISTAS</w:t>
            </w:r>
          </w:p>
          <w:p w14:paraId="2440EF4B" w14:textId="77777777" w:rsidR="000A179F" w:rsidRDefault="00000000">
            <w:pPr>
              <w:spacing w:after="100"/>
            </w:pPr>
            <w:r>
              <w:rPr>
                <w:b/>
                <w:bCs/>
                <w:color w:val="CDC4B4"/>
                <w:sz w:val="18"/>
                <w:szCs w:val="18"/>
              </w:rPr>
              <w:t xml:space="preserve">MÓDULO 2  </w:t>
            </w:r>
            <w:r>
              <w:rPr>
                <w:b/>
                <w:bCs/>
                <w:color w:val="BDE0D6"/>
                <w:sz w:val="18"/>
                <w:szCs w:val="18"/>
              </w:rPr>
              <w:t xml:space="preserve">  SESIÓN 2.1</w:t>
            </w:r>
          </w:p>
          <w:p w14:paraId="6A28E044" w14:textId="77777777" w:rsidR="000A179F" w:rsidRDefault="00000000">
            <w:pPr>
              <w:spacing w:after="80"/>
            </w:pPr>
            <w:r>
              <w:rPr>
                <w:rFonts w:ascii="Georgia" w:eastAsia="Georgia" w:hAnsi="Georgia" w:cs="Georgia"/>
                <w:b/>
                <w:bCs/>
                <w:color w:val="FFFFFF"/>
                <w:sz w:val="44"/>
                <w:szCs w:val="44"/>
              </w:rPr>
              <w:t>Guía de Lectura</w:t>
            </w:r>
          </w:p>
          <w:p w14:paraId="3D30909B" w14:textId="77777777" w:rsidR="000A179F" w:rsidRDefault="00000000">
            <w:pPr>
              <w:spacing w:after="100"/>
            </w:pPr>
            <w:r>
              <w:rPr>
                <w:color w:val="BDE0D6"/>
                <w:sz w:val="22"/>
                <w:szCs w:val="22"/>
              </w:rPr>
              <w:t>Cambio Climático y el Rol del Suelo</w:t>
            </w:r>
          </w:p>
          <w:p w14:paraId="0B286679" w14:textId="77777777" w:rsidR="000A179F" w:rsidRDefault="00000000">
            <w:r>
              <w:rPr>
                <w:color w:val="CDC4B4"/>
                <w:sz w:val="18"/>
                <w:szCs w:val="18"/>
              </w:rPr>
              <w:t>Leer antes o después de la sesión sincrónica — Semana 3</w:t>
            </w:r>
          </w:p>
        </w:tc>
      </w:tr>
    </w:tbl>
    <w:p w14:paraId="3B5C0F52" w14:textId="77777777" w:rsidR="000A179F" w:rsidRDefault="000A179F">
      <w:pPr>
        <w:spacing w:after="80"/>
      </w:pPr>
    </w:p>
    <w:p w14:paraId="55C496A1" w14:textId="77777777" w:rsidR="000A179F" w:rsidRDefault="00000000">
      <w:pPr>
        <w:spacing w:before="40" w:after="80"/>
      </w:pPr>
      <w:r>
        <w:t xml:space="preserve">Esta lectura existe para que llegues a la sesión — o la refuerces después — con el problema instalado de fondo. No como información que repites, sino como un argumento que sientes tuyo. Al terminar, deberías poder explicar por qué la zoca que se quema en Ataco o en Huila tiene consecuencias reales sobre el clima, y por qué la conversión en </w:t>
      </w:r>
      <w:proofErr w:type="spellStart"/>
      <w:r>
        <w:t>biochar</w:t>
      </w:r>
      <w:proofErr w:type="spellEnd"/>
      <w:r>
        <w:t xml:space="preserve"> es una respuesta técnica verificable, no un gesto simbólico.</w:t>
      </w:r>
    </w:p>
    <w:p w14:paraId="71D37028" w14:textId="77777777" w:rsidR="000A179F" w:rsidRDefault="000A179F">
      <w:pPr>
        <w:spacing w:after="80"/>
      </w:pPr>
    </w:p>
    <w:p w14:paraId="5782AE48" w14:textId="77777777" w:rsidR="000A179F" w:rsidRDefault="00000000">
      <w:pPr>
        <w:pBdr>
          <w:bottom w:val="single" w:sz="6" w:space="3" w:color="DA7052"/>
        </w:pBdr>
        <w:spacing w:before="320" w:after="100"/>
      </w:pPr>
      <w:r>
        <w:rPr>
          <w:rFonts w:ascii="Georgia" w:eastAsia="Georgia" w:hAnsi="Georgia" w:cs="Georgia"/>
          <w:b/>
          <w:bCs/>
          <w:sz w:val="30"/>
          <w:szCs w:val="30"/>
        </w:rPr>
        <w:t>1. El problema del CO₂ — por qué los números del IPCC importan para tu trabajo</w:t>
      </w:r>
    </w:p>
    <w:p w14:paraId="4B64F4D2" w14:textId="77777777" w:rsidR="000A179F" w:rsidRDefault="00000000">
      <w:pPr>
        <w:spacing w:before="200" w:after="60"/>
      </w:pPr>
      <w:r>
        <w:rPr>
          <w:b/>
          <w:bCs/>
          <w:color w:val="DA7052"/>
          <w:sz w:val="22"/>
          <w:szCs w:val="22"/>
        </w:rPr>
        <w:t>Marco conceptual: el Panel Intergubernamental de Cambio Climático (IPCC)</w:t>
      </w:r>
    </w:p>
    <w:p w14:paraId="7B10EF02" w14:textId="77777777" w:rsidR="000A179F" w:rsidRDefault="00000000">
      <w:pPr>
        <w:spacing w:before="40" w:after="80"/>
      </w:pPr>
      <w:r>
        <w:t>El IPCC (</w:t>
      </w:r>
      <w:proofErr w:type="spellStart"/>
      <w:r>
        <w:t>Intergovernmental</w:t>
      </w:r>
      <w:proofErr w:type="spellEnd"/>
      <w:r>
        <w:t xml:space="preserve"> Panel </w:t>
      </w:r>
      <w:proofErr w:type="spellStart"/>
      <w:r>
        <w:t>on</w:t>
      </w:r>
      <w:proofErr w:type="spellEnd"/>
      <w:r>
        <w:t xml:space="preserve"> </w:t>
      </w:r>
      <w:proofErr w:type="spellStart"/>
      <w:r>
        <w:t>Climate</w:t>
      </w:r>
      <w:proofErr w:type="spellEnd"/>
      <w:r>
        <w:t xml:space="preserve"> Change) es el organismo científico de referencia global en cambio climático. Reúne los trabajos de miles de investigadores de más de 130 países y publica informes de evaluación cada seis a ocho años. Su informe más reciente — el AR6 (Sexto Informe de Evaluación, 2021-2022) — es el que respalda los datos que usa el proyecto.</w:t>
      </w:r>
    </w:p>
    <w:p w14:paraId="53AE0DF2" w14:textId="77777777" w:rsidR="000A179F" w:rsidRDefault="00000000">
      <w:pPr>
        <w:spacing w:before="40" w:after="80"/>
      </w:pPr>
      <w:r>
        <w:t>Entender de dónde vienen los números no es un detalle académico. Cuando un productor te pregunta '¿y quién dice eso?', la respuesta es concreta: el consenso de la comunidad científica internacional, avalado por los gobiernos que firmaron el Acuerdo de París.</w:t>
      </w:r>
    </w:p>
    <w:p w14:paraId="5759DE3F" w14:textId="77777777" w:rsidR="000A179F" w:rsidRDefault="000A179F">
      <w:pPr>
        <w:spacing w:after="80"/>
      </w:pPr>
    </w:p>
    <w:p w14:paraId="2DAFEEDB" w14:textId="77777777" w:rsidR="000A179F" w:rsidRDefault="00000000">
      <w:pPr>
        <w:spacing w:before="200" w:after="60"/>
      </w:pPr>
      <w:r>
        <w:rPr>
          <w:b/>
          <w:bCs/>
          <w:color w:val="DA7052"/>
          <w:sz w:val="22"/>
          <w:szCs w:val="22"/>
        </w:rPr>
        <w:t>La mecánica del efecto invernadero — lo que es y lo que no es</w:t>
      </w:r>
    </w:p>
    <w:p w14:paraId="516B0479" w14:textId="77777777" w:rsidR="000A179F" w:rsidRDefault="00000000">
      <w:pPr>
        <w:spacing w:before="40" w:after="80"/>
      </w:pPr>
      <w:r>
        <w:t>El efecto invernadero no es el problema. Es el mecanismo que hace habitable la Tierra: los gases atmosféricos — principalmente vapor de agua, CO₂ y metano — retienen parte del calor solar que de otro modo escaparía al espacio. Sin ese efecto, la temperatura media del planeta sería de aproximadamente -18°C. Vivimos porque existe.</w:t>
      </w:r>
    </w:p>
    <w:p w14:paraId="119789A6" w14:textId="77777777" w:rsidR="000A179F" w:rsidRDefault="00000000">
      <w:pPr>
        <w:spacing w:before="40" w:after="80"/>
      </w:pPr>
      <w:r>
        <w:t>El problema es la amplificación. Desde la Revolución Industrial, la concentración de CO₂ en la atmósfera ha aumentado de 280 partes por millón (ppm) — nivel estable durante miles de años — a 424 ppm en 2024. Eso es un aumento de más del 50% en menos de 200 años. La atmósfera retiene más calor del que debería. El resultado: +1,2°C de aumento promedio global en 150 años.</w:t>
      </w:r>
    </w:p>
    <w:p w14:paraId="7D886A29"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3280"/>
      </w:tblGrid>
      <w:tr w:rsidR="000A179F" w14:paraId="60AC1258" w14:textId="77777777">
        <w:tblPrEx>
          <w:tblCellMar>
            <w:top w:w="0" w:type="dxa"/>
            <w:bottom w:w="0" w:type="dxa"/>
          </w:tblCellMar>
        </w:tblPrEx>
        <w:trPr>
          <w:tblHeader/>
        </w:trPr>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755DA452" w14:textId="77777777" w:rsidR="000A179F" w:rsidRDefault="00000000">
            <w:r>
              <w:rPr>
                <w:b/>
                <w:bCs/>
                <w:color w:val="FFFFFF"/>
                <w:sz w:val="19"/>
                <w:szCs w:val="19"/>
              </w:rPr>
              <w:t>Indicador</w:t>
            </w:r>
          </w:p>
        </w:tc>
        <w:tc>
          <w:tcPr>
            <w:tcW w:w="20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2475E08A" w14:textId="77777777" w:rsidR="000A179F" w:rsidRDefault="00000000">
            <w:r>
              <w:rPr>
                <w:b/>
                <w:bCs/>
                <w:color w:val="FFFFFF"/>
                <w:sz w:val="19"/>
                <w:szCs w:val="19"/>
              </w:rPr>
              <w:t>Valor actual</w:t>
            </w:r>
          </w:p>
        </w:tc>
        <w:tc>
          <w:tcPr>
            <w:tcW w:w="24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933E69F" w14:textId="77777777" w:rsidR="000A179F" w:rsidRDefault="00000000">
            <w:r>
              <w:rPr>
                <w:b/>
                <w:bCs/>
                <w:color w:val="FFFFFF"/>
                <w:sz w:val="19"/>
                <w:szCs w:val="19"/>
              </w:rPr>
              <w:t>Referencia preindustrial</w:t>
            </w:r>
          </w:p>
        </w:tc>
        <w:tc>
          <w:tcPr>
            <w:tcW w:w="32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7234F75" w14:textId="77777777" w:rsidR="000A179F" w:rsidRDefault="00000000">
            <w:r>
              <w:rPr>
                <w:b/>
                <w:bCs/>
                <w:color w:val="FFFFFF"/>
                <w:sz w:val="19"/>
                <w:szCs w:val="19"/>
              </w:rPr>
              <w:t>Qué significa para el proyecto</w:t>
            </w:r>
          </w:p>
        </w:tc>
      </w:tr>
      <w:tr w:rsidR="000A179F" w14:paraId="462DE337"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448A7D0" w14:textId="77777777" w:rsidR="000A179F" w:rsidRDefault="00000000">
            <w:r>
              <w:rPr>
                <w:b/>
                <w:bCs/>
                <w:sz w:val="19"/>
                <w:szCs w:val="19"/>
              </w:rPr>
              <w:t>CO₂ atmosférico</w:t>
            </w:r>
          </w:p>
        </w:tc>
        <w:tc>
          <w:tcPr>
            <w:tcW w:w="2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25ABB58" w14:textId="77777777" w:rsidR="000A179F" w:rsidRDefault="00000000">
            <w:r>
              <w:rPr>
                <w:sz w:val="19"/>
                <w:szCs w:val="19"/>
              </w:rPr>
              <w:t>424 ppm (2024)</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DD1DE35" w14:textId="77777777" w:rsidR="000A179F" w:rsidRDefault="00000000">
            <w:r>
              <w:rPr>
                <w:sz w:val="19"/>
                <w:szCs w:val="19"/>
              </w:rPr>
              <w:t>280 ppm (~1750)</w:t>
            </w:r>
          </w:p>
        </w:tc>
        <w:tc>
          <w:tcPr>
            <w:tcW w:w="32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7467CC8" w14:textId="77777777" w:rsidR="000A179F" w:rsidRDefault="00000000">
            <w:r>
              <w:rPr>
                <w:sz w:val="19"/>
                <w:szCs w:val="19"/>
              </w:rPr>
              <w:t>Concentración más alta en al menos 3 millones de años</w:t>
            </w:r>
          </w:p>
        </w:tc>
      </w:tr>
      <w:tr w:rsidR="000A179F" w14:paraId="4FB78B8E"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97297A9" w14:textId="77777777" w:rsidR="000A179F" w:rsidRDefault="00000000">
            <w:r>
              <w:rPr>
                <w:b/>
                <w:bCs/>
                <w:sz w:val="19"/>
                <w:szCs w:val="19"/>
              </w:rPr>
              <w:t>Temperatura media global</w:t>
            </w:r>
          </w:p>
        </w:tc>
        <w:tc>
          <w:tcPr>
            <w:tcW w:w="2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C3110B3" w14:textId="77777777" w:rsidR="000A179F" w:rsidRDefault="00000000">
            <w:r>
              <w:rPr>
                <w:sz w:val="19"/>
                <w:szCs w:val="19"/>
              </w:rPr>
              <w:t>+1,2°C sobre base pre-industrial</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15A88DB" w14:textId="77777777" w:rsidR="000A179F" w:rsidRDefault="00000000">
            <w:r>
              <w:rPr>
                <w:sz w:val="19"/>
                <w:szCs w:val="19"/>
              </w:rPr>
              <w:t>0°C de variación</w:t>
            </w:r>
          </w:p>
        </w:tc>
        <w:tc>
          <w:tcPr>
            <w:tcW w:w="32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9410DB3" w14:textId="77777777" w:rsidR="000A179F" w:rsidRDefault="00000000">
            <w:r>
              <w:rPr>
                <w:sz w:val="19"/>
                <w:szCs w:val="19"/>
              </w:rPr>
              <w:t>Ya superamos +1°C — el margen al límite del Acuerdo de París es estrecho</w:t>
            </w:r>
          </w:p>
        </w:tc>
      </w:tr>
      <w:tr w:rsidR="000A179F" w14:paraId="34C5C178"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F71A645" w14:textId="77777777" w:rsidR="000A179F" w:rsidRDefault="00000000">
            <w:r>
              <w:rPr>
                <w:b/>
                <w:bCs/>
                <w:sz w:val="19"/>
                <w:szCs w:val="19"/>
              </w:rPr>
              <w:t>Meta del Acuerdo de París</w:t>
            </w:r>
          </w:p>
        </w:tc>
        <w:tc>
          <w:tcPr>
            <w:tcW w:w="20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6047D2E" w14:textId="77777777" w:rsidR="000A179F" w:rsidRDefault="00000000">
            <w:r>
              <w:rPr>
                <w:sz w:val="19"/>
                <w:szCs w:val="19"/>
              </w:rPr>
              <w:t>Limitar a +1,5°C / +2,0°C</w:t>
            </w:r>
          </w:p>
        </w:tc>
        <w:tc>
          <w:tcPr>
            <w:tcW w:w="24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5433EEE" w14:textId="77777777" w:rsidR="000A179F" w:rsidRDefault="00000000">
            <w:r>
              <w:rPr>
                <w:sz w:val="19"/>
                <w:szCs w:val="19"/>
              </w:rPr>
              <w:t>—</w:t>
            </w:r>
          </w:p>
        </w:tc>
        <w:tc>
          <w:tcPr>
            <w:tcW w:w="32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FD1F58B" w14:textId="77777777" w:rsidR="000A179F" w:rsidRDefault="00000000">
            <w:r>
              <w:rPr>
                <w:sz w:val="19"/>
                <w:szCs w:val="19"/>
              </w:rPr>
              <w:t>El margen restante es de 0,3°C a 0,8°C — cada emisión evitada importa</w:t>
            </w:r>
          </w:p>
        </w:tc>
      </w:tr>
      <w:tr w:rsidR="000A179F" w14:paraId="5EE56638" w14:textId="77777777">
        <w:tblPrEx>
          <w:tblCellMar>
            <w:top w:w="0" w:type="dxa"/>
            <w:bottom w:w="0" w:type="dxa"/>
          </w:tblCellMar>
        </w:tblPrEx>
        <w:tc>
          <w:tcPr>
            <w:tcW w:w="24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19BE8B2" w14:textId="77777777" w:rsidR="000A179F" w:rsidRDefault="00000000">
            <w:r>
              <w:rPr>
                <w:b/>
                <w:bCs/>
                <w:sz w:val="19"/>
                <w:szCs w:val="19"/>
              </w:rPr>
              <w:t>Participación de la agricultura</w:t>
            </w:r>
          </w:p>
        </w:tc>
        <w:tc>
          <w:tcPr>
            <w:tcW w:w="20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53AAECE" w14:textId="77777777" w:rsidR="000A179F" w:rsidRDefault="00000000">
            <w:r>
              <w:rPr>
                <w:sz w:val="19"/>
                <w:szCs w:val="19"/>
              </w:rPr>
              <w:t>~33% de emisiones globales</w:t>
            </w:r>
          </w:p>
        </w:tc>
        <w:tc>
          <w:tcPr>
            <w:tcW w:w="24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751133D" w14:textId="77777777" w:rsidR="000A179F" w:rsidRDefault="00000000">
            <w:r>
              <w:rPr>
                <w:sz w:val="19"/>
                <w:szCs w:val="19"/>
              </w:rPr>
              <w:t>—</w:t>
            </w:r>
          </w:p>
        </w:tc>
        <w:tc>
          <w:tcPr>
            <w:tcW w:w="32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C5BF57C" w14:textId="77777777" w:rsidR="000A179F" w:rsidRDefault="00000000">
            <w:r>
              <w:rPr>
                <w:sz w:val="19"/>
                <w:szCs w:val="19"/>
              </w:rPr>
              <w:t>El sector que produce el problema también puede ser parte de la solución</w:t>
            </w:r>
          </w:p>
        </w:tc>
      </w:tr>
    </w:tbl>
    <w:p w14:paraId="218F59D2" w14:textId="77777777" w:rsidR="000A179F" w:rsidRDefault="000A179F">
      <w:pPr>
        <w:spacing w:after="80"/>
      </w:pPr>
    </w:p>
    <w:p w14:paraId="1375A136" w14:textId="77777777" w:rsidR="000A179F" w:rsidRDefault="00000000">
      <w:pPr>
        <w:spacing w:before="200" w:after="60"/>
      </w:pPr>
      <w:r>
        <w:rPr>
          <w:b/>
          <w:bCs/>
          <w:color w:val="DA7052"/>
          <w:sz w:val="22"/>
          <w:szCs w:val="22"/>
        </w:rPr>
        <w:t>Aplicación al contexto cafetero — lo que pasa en ladera</w:t>
      </w:r>
    </w:p>
    <w:p w14:paraId="22B658E1" w14:textId="77777777" w:rsidR="000A179F" w:rsidRDefault="00000000">
      <w:pPr>
        <w:spacing w:before="40" w:after="80"/>
      </w:pPr>
      <w:r>
        <w:t>Colombia es uno de los países de mayor biodiversidad del mundo y también uno de los más vulnerables al cambio climático. Los sistemas cafeteros de ladera — como los de Ataco (Tolima) y el Macizo Colombiano (Huila) — ya registran desplazamiento de franjas altitudinales de cultivo, variación en la floración y mayor presión de plagas asociada a temperaturas más altas.</w:t>
      </w:r>
    </w:p>
    <w:p w14:paraId="487C756C" w14:textId="77777777" w:rsidR="000A179F" w:rsidRDefault="00000000">
      <w:pPr>
        <w:spacing w:before="40" w:after="80"/>
      </w:pPr>
      <w:r>
        <w:t>El café es un cultivo estrecho en términos climáticos: se desarrolla óptimamente entre 17°C y 23°C y requiere una distribución específica de lluvias. Esa estrechez lo hace particularmente sensible a variaciones de temperatura que en otras latitudes pasarían desapercibidas.</w:t>
      </w:r>
    </w:p>
    <w:p w14:paraId="69B18739"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0A179F" w14:paraId="3F48B2E3"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5A9D917D" w14:textId="77777777" w:rsidR="000A179F" w:rsidRDefault="000A179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69E344F2" w14:textId="77777777" w:rsidR="000A179F" w:rsidRDefault="00000000">
            <w:pPr>
              <w:spacing w:after="80"/>
            </w:pPr>
            <w:r>
              <w:rPr>
                <w:b/>
                <w:bCs/>
                <w:color w:val="DA7052"/>
                <w:sz w:val="18"/>
                <w:szCs w:val="18"/>
              </w:rPr>
              <w:t>DATO CLAVE — por qué la remoción activa no es opcional</w:t>
            </w:r>
          </w:p>
          <w:p w14:paraId="4ED8DE44" w14:textId="77777777" w:rsidR="000A179F" w:rsidRDefault="00000000">
            <w:pPr>
              <w:spacing w:after="60"/>
            </w:pPr>
            <w:r>
              <w:rPr>
                <w:color w:val="FFFFFF"/>
              </w:rPr>
              <w:t>En los últimos 150 años se ha emitido más CO₂ del que los océanos y los bosques pueden absorber de manera natural.</w:t>
            </w:r>
          </w:p>
          <w:p w14:paraId="70D3B52F" w14:textId="77777777" w:rsidR="000A179F" w:rsidRDefault="00000000">
            <w:pPr>
              <w:spacing w:after="60"/>
            </w:pPr>
            <w:r>
              <w:rPr>
                <w:color w:val="FFFFFF"/>
              </w:rPr>
              <w:t>Incluso si todas las emisiones se detuvieran hoy, la concentración atmosférica seguiría alta durante décadas.</w:t>
            </w:r>
          </w:p>
          <w:p w14:paraId="04DACE27" w14:textId="77777777" w:rsidR="000A179F" w:rsidRDefault="00000000">
            <w:pPr>
              <w:spacing w:after="60"/>
            </w:pPr>
            <w:r>
              <w:rPr>
                <w:color w:val="FFFFFF"/>
              </w:rPr>
              <w:t>Eso significa que reducir emisiones no es suficiente — también se necesita remover carbono activamente.</w:t>
            </w:r>
          </w:p>
          <w:p w14:paraId="59236E3B" w14:textId="77777777" w:rsidR="000A179F" w:rsidRDefault="00000000">
            <w:pPr>
              <w:spacing w:after="60"/>
            </w:pPr>
            <w:r>
              <w:rPr>
                <w:color w:val="FFFFFF"/>
              </w:rPr>
              <w:t xml:space="preserve">El </w:t>
            </w:r>
            <w:proofErr w:type="spellStart"/>
            <w:r>
              <w:rPr>
                <w:color w:val="FFFFFF"/>
              </w:rPr>
              <w:t>biochar</w:t>
            </w:r>
            <w:proofErr w:type="spellEnd"/>
            <w:r>
              <w:rPr>
                <w:color w:val="FFFFFF"/>
              </w:rPr>
              <w:t xml:space="preserve"> es uno de los mecanismos verificados de remoción permanente. Eso es lo que hace el proyecto.</w:t>
            </w:r>
          </w:p>
        </w:tc>
      </w:tr>
    </w:tbl>
    <w:p w14:paraId="6303860E" w14:textId="77777777" w:rsidR="000A179F" w:rsidRDefault="000A179F">
      <w:pPr>
        <w:spacing w:after="80"/>
      </w:pPr>
    </w:p>
    <w:p w14:paraId="193AADE4" w14:textId="77777777" w:rsidR="000A179F" w:rsidRDefault="00000000">
      <w:pPr>
        <w:pBdr>
          <w:bottom w:val="single" w:sz="6" w:space="3" w:color="DA7052"/>
        </w:pBdr>
        <w:spacing w:before="320" w:after="100"/>
      </w:pPr>
      <w:r>
        <w:rPr>
          <w:rFonts w:ascii="Georgia" w:eastAsia="Georgia" w:hAnsi="Georgia" w:cs="Georgia"/>
          <w:b/>
          <w:bCs/>
          <w:sz w:val="30"/>
          <w:szCs w:val="30"/>
        </w:rPr>
        <w:t>2. El ciclo del carbono en el cafetal — sumidero o fuente</w:t>
      </w:r>
    </w:p>
    <w:p w14:paraId="7B2DBF65" w14:textId="77777777" w:rsidR="000A179F" w:rsidRDefault="00000000">
      <w:pPr>
        <w:spacing w:before="200" w:after="60"/>
      </w:pPr>
      <w:r>
        <w:rPr>
          <w:b/>
          <w:bCs/>
          <w:color w:val="DA7052"/>
          <w:sz w:val="22"/>
          <w:szCs w:val="22"/>
        </w:rPr>
        <w:t>Marco conceptual: el ciclo biogeoquímico del carbono</w:t>
      </w:r>
    </w:p>
    <w:p w14:paraId="25146F0B" w14:textId="77777777" w:rsidR="000A179F" w:rsidRDefault="00000000">
      <w:pPr>
        <w:spacing w:before="40" w:after="80"/>
      </w:pPr>
      <w:r>
        <w:t>El carbono no desaparece ni se crea. Circula: entre la atmósfera, la biósfera (plantas y animales), los suelos y los océanos. Este ciclo ha estado en equilibrio relativo durante milenios. La intervención humana — quema de combustibles fósiles, deforestación, quema de residuos agrícolas — lo ha desequilibrado masivamente en dirección de la atmósfera.</w:t>
      </w:r>
    </w:p>
    <w:p w14:paraId="1BF4BB4F" w14:textId="77777777" w:rsidR="000A179F" w:rsidRDefault="00000000">
      <w:pPr>
        <w:spacing w:before="40" w:after="80"/>
      </w:pPr>
      <w:r>
        <w:t xml:space="preserve">En ecología de suelos, un sistema se clasifica como sumidero de carbono cuando acumula más C del que libera, y como fuente cuando libera más del que acumula. La diferencia no es filosófica: es contable, es medible y, en el contexto del proyecto, es </w:t>
      </w:r>
      <w:proofErr w:type="spellStart"/>
      <w:r>
        <w:t>monetizable</w:t>
      </w:r>
      <w:proofErr w:type="spellEnd"/>
      <w:r>
        <w:t>.</w:t>
      </w:r>
    </w:p>
    <w:p w14:paraId="16C29606" w14:textId="77777777" w:rsidR="000A179F" w:rsidRDefault="000A179F">
      <w:pPr>
        <w:spacing w:after="80"/>
      </w:pPr>
    </w:p>
    <w:p w14:paraId="4202333B" w14:textId="77777777" w:rsidR="000A179F" w:rsidRDefault="00000000">
      <w:pPr>
        <w:spacing w:before="200" w:after="60"/>
      </w:pPr>
      <w:r>
        <w:rPr>
          <w:b/>
          <w:bCs/>
          <w:color w:val="DA7052"/>
          <w:sz w:val="22"/>
          <w:szCs w:val="22"/>
        </w:rPr>
        <w:t>Aplicación al cafetal — la zoca como decisión de destino</w:t>
      </w:r>
    </w:p>
    <w:p w14:paraId="69742A1C" w14:textId="77777777" w:rsidR="000A179F" w:rsidRDefault="00000000">
      <w:pPr>
        <w:spacing w:before="40" w:after="80"/>
      </w:pPr>
      <w:r>
        <w:t>Cada vez que se poda un cafetal y se maneja la zoca resultante, se toma una decisión sobre el destino del carbono que esa biomasa contiene. La planta fijó ese carbono de la atmósfera durante años de fotosíntesis. Ahora el sistema elige qué hacer con él.</w:t>
      </w:r>
    </w:p>
    <w:p w14:paraId="28805F8C"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4080"/>
      </w:tblGrid>
      <w:tr w:rsidR="000A179F" w14:paraId="695C107D" w14:textId="77777777">
        <w:tblPrEx>
          <w:tblCellMar>
            <w:top w:w="0" w:type="dxa"/>
            <w:bottom w:w="0" w:type="dxa"/>
          </w:tblCellMar>
        </w:tblPrEx>
        <w:trPr>
          <w:tblHeader/>
        </w:trPr>
        <w:tc>
          <w:tcPr>
            <w:tcW w:w="2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FDE3C7F" w14:textId="77777777" w:rsidR="000A179F" w:rsidRDefault="00000000">
            <w:r>
              <w:rPr>
                <w:b/>
                <w:bCs/>
                <w:color w:val="FFFFFF"/>
                <w:sz w:val="19"/>
                <w:szCs w:val="19"/>
              </w:rPr>
              <w:t>Paso del ciclo</w:t>
            </w:r>
          </w:p>
        </w:tc>
        <w:tc>
          <w:tcPr>
            <w:tcW w:w="3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6BC3CEA4" w14:textId="77777777" w:rsidR="000A179F" w:rsidRDefault="00000000">
            <w:r>
              <w:rPr>
                <w:b/>
                <w:bCs/>
                <w:color w:val="FFFFFF"/>
                <w:sz w:val="19"/>
                <w:szCs w:val="19"/>
              </w:rPr>
              <w:t>Cafetal con quema de zoca</w:t>
            </w:r>
          </w:p>
        </w:tc>
        <w:tc>
          <w:tcPr>
            <w:tcW w:w="40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1DB691B" w14:textId="77777777" w:rsidR="000A179F" w:rsidRDefault="00000000">
            <w:r>
              <w:rPr>
                <w:b/>
                <w:bCs/>
                <w:color w:val="FFFFFF"/>
                <w:sz w:val="19"/>
                <w:szCs w:val="19"/>
              </w:rPr>
              <w:t xml:space="preserve">Cafetal con producción de </w:t>
            </w:r>
            <w:proofErr w:type="spellStart"/>
            <w:r>
              <w:rPr>
                <w:b/>
                <w:bCs/>
                <w:color w:val="FFFFFF"/>
                <w:sz w:val="19"/>
                <w:szCs w:val="19"/>
              </w:rPr>
              <w:t>biochar</w:t>
            </w:r>
            <w:proofErr w:type="spellEnd"/>
          </w:p>
        </w:tc>
      </w:tr>
      <w:tr w:rsidR="000A179F" w14:paraId="69836900"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BF189E5" w14:textId="77777777" w:rsidR="000A179F" w:rsidRDefault="00000000">
            <w:r>
              <w:rPr>
                <w:b/>
                <w:bCs/>
                <w:sz w:val="19"/>
                <w:szCs w:val="19"/>
              </w:rPr>
              <w:t>Fotosíntesis</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C43BAAE" w14:textId="77777777" w:rsidR="000A179F" w:rsidRDefault="00000000">
            <w:r>
              <w:rPr>
                <w:sz w:val="19"/>
                <w:szCs w:val="19"/>
              </w:rPr>
              <w:t>La planta fija CO₂ de la atmósfera durante años de crecimiento</w:t>
            </w:r>
          </w:p>
        </w:tc>
        <w:tc>
          <w:tcPr>
            <w:tcW w:w="4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D5D90A8" w14:textId="77777777" w:rsidR="000A179F" w:rsidRDefault="00000000">
            <w:r>
              <w:rPr>
                <w:sz w:val="19"/>
                <w:szCs w:val="19"/>
              </w:rPr>
              <w:t>Igual — la planta fija CO₂ durante años de crecimiento</w:t>
            </w:r>
          </w:p>
        </w:tc>
      </w:tr>
      <w:tr w:rsidR="000A179F" w14:paraId="13F06AED"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1601B62" w14:textId="77777777" w:rsidR="000A179F" w:rsidRDefault="00000000">
            <w:r>
              <w:rPr>
                <w:b/>
                <w:bCs/>
                <w:sz w:val="19"/>
                <w:szCs w:val="19"/>
              </w:rPr>
              <w:t>Cosecha / poda</w:t>
            </w:r>
          </w:p>
        </w:tc>
        <w:tc>
          <w:tcPr>
            <w:tcW w:w="3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F077E82" w14:textId="77777777" w:rsidR="000A179F" w:rsidRDefault="00000000">
            <w:r>
              <w:rPr>
                <w:sz w:val="19"/>
                <w:szCs w:val="19"/>
              </w:rPr>
              <w:t>Se genera biomasa de zoca: carbono orgánico acumulado</w:t>
            </w:r>
          </w:p>
        </w:tc>
        <w:tc>
          <w:tcPr>
            <w:tcW w:w="4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D8CF71A" w14:textId="77777777" w:rsidR="000A179F" w:rsidRDefault="00000000">
            <w:r>
              <w:rPr>
                <w:sz w:val="19"/>
                <w:szCs w:val="19"/>
              </w:rPr>
              <w:t>Igual — se genera la misma biomasa de zoca</w:t>
            </w:r>
          </w:p>
        </w:tc>
      </w:tr>
      <w:tr w:rsidR="000A179F" w14:paraId="1FAF0CA7"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0942CEB5" w14:textId="77777777" w:rsidR="000A179F" w:rsidRDefault="00000000">
            <w:r>
              <w:rPr>
                <w:b/>
                <w:bCs/>
                <w:sz w:val="19"/>
                <w:szCs w:val="19"/>
              </w:rPr>
              <w:t>Manejo post-cosecha</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300A99A" w14:textId="77777777" w:rsidR="000A179F" w:rsidRDefault="00000000">
            <w:r>
              <w:rPr>
                <w:sz w:val="19"/>
                <w:szCs w:val="19"/>
              </w:rPr>
              <w:t>La zoca se quema para 'limpiar' el lote</w:t>
            </w:r>
          </w:p>
        </w:tc>
        <w:tc>
          <w:tcPr>
            <w:tcW w:w="4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B776D76" w14:textId="77777777" w:rsidR="000A179F" w:rsidRDefault="00000000">
            <w:r>
              <w:rPr>
                <w:sz w:val="19"/>
                <w:szCs w:val="19"/>
              </w:rPr>
              <w:t xml:space="preserve">La zoca se convierte en </w:t>
            </w:r>
            <w:proofErr w:type="spellStart"/>
            <w:r>
              <w:rPr>
                <w:sz w:val="19"/>
                <w:szCs w:val="19"/>
              </w:rPr>
              <w:t>biochar</w:t>
            </w:r>
            <w:proofErr w:type="spellEnd"/>
            <w:r>
              <w:rPr>
                <w:sz w:val="19"/>
                <w:szCs w:val="19"/>
              </w:rPr>
              <w:t xml:space="preserve"> mediante pirólisis en el horno Kon-</w:t>
            </w:r>
            <w:proofErr w:type="spellStart"/>
            <w:r>
              <w:rPr>
                <w:sz w:val="19"/>
                <w:szCs w:val="19"/>
              </w:rPr>
              <w:t>Tiki</w:t>
            </w:r>
            <w:proofErr w:type="spellEnd"/>
          </w:p>
        </w:tc>
      </w:tr>
      <w:tr w:rsidR="000A179F" w14:paraId="37723FC8"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98532C5" w14:textId="77777777" w:rsidR="000A179F" w:rsidRDefault="00000000">
            <w:r>
              <w:rPr>
                <w:b/>
                <w:bCs/>
                <w:sz w:val="19"/>
                <w:szCs w:val="19"/>
              </w:rPr>
              <w:t>Destino del carbono</w:t>
            </w:r>
          </w:p>
        </w:tc>
        <w:tc>
          <w:tcPr>
            <w:tcW w:w="3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25F969B6" w14:textId="77777777" w:rsidR="000A179F" w:rsidRDefault="00000000">
            <w:r>
              <w:rPr>
                <w:sz w:val="19"/>
                <w:szCs w:val="19"/>
              </w:rPr>
              <w:t>CO₂ + CH₄ + N₂O liberados a la atmósfera en horas</w:t>
            </w:r>
          </w:p>
        </w:tc>
        <w:tc>
          <w:tcPr>
            <w:tcW w:w="4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C594328" w14:textId="77777777" w:rsidR="000A179F" w:rsidRDefault="00000000">
            <w:r>
              <w:rPr>
                <w:sz w:val="19"/>
                <w:szCs w:val="19"/>
              </w:rPr>
              <w:t xml:space="preserve">Carbono inmovilizado en estructura estable de </w:t>
            </w:r>
            <w:proofErr w:type="spellStart"/>
            <w:r>
              <w:rPr>
                <w:sz w:val="19"/>
                <w:szCs w:val="19"/>
              </w:rPr>
              <w:t>biochar</w:t>
            </w:r>
            <w:proofErr w:type="spellEnd"/>
            <w:r>
              <w:rPr>
                <w:sz w:val="19"/>
                <w:szCs w:val="19"/>
              </w:rPr>
              <w:t xml:space="preserve"> — permanece siglos</w:t>
            </w:r>
          </w:p>
        </w:tc>
      </w:tr>
      <w:tr w:rsidR="000A179F" w14:paraId="04947212"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505A4DD" w14:textId="77777777" w:rsidR="000A179F" w:rsidRDefault="00000000">
            <w:r>
              <w:rPr>
                <w:b/>
                <w:bCs/>
                <w:sz w:val="19"/>
                <w:szCs w:val="19"/>
              </w:rPr>
              <w:t>Balance para el suelo</w:t>
            </w:r>
          </w:p>
        </w:tc>
        <w:tc>
          <w:tcPr>
            <w:tcW w:w="32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34927785" w14:textId="77777777" w:rsidR="000A179F" w:rsidRDefault="00000000">
            <w:r>
              <w:rPr>
                <w:sz w:val="19"/>
                <w:szCs w:val="19"/>
              </w:rPr>
              <w:t>Se pierde materia orgánica. El suelo se empobrece progresivamente</w:t>
            </w:r>
          </w:p>
        </w:tc>
        <w:tc>
          <w:tcPr>
            <w:tcW w:w="4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1FFFCDC" w14:textId="77777777" w:rsidR="000A179F" w:rsidRDefault="00000000">
            <w:r>
              <w:rPr>
                <w:sz w:val="19"/>
                <w:szCs w:val="19"/>
              </w:rPr>
              <w:t>Se añade carbono estable. El suelo mejora CIC, retención de agua, biología</w:t>
            </w:r>
          </w:p>
        </w:tc>
      </w:tr>
      <w:tr w:rsidR="000A179F" w14:paraId="75524CF8"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DE8D077" w14:textId="77777777" w:rsidR="000A179F" w:rsidRDefault="00000000">
            <w:r>
              <w:rPr>
                <w:b/>
                <w:bCs/>
                <w:sz w:val="19"/>
                <w:szCs w:val="19"/>
              </w:rPr>
              <w:lastRenderedPageBreak/>
              <w:t>Balance climático</w:t>
            </w:r>
          </w:p>
        </w:tc>
        <w:tc>
          <w:tcPr>
            <w:tcW w:w="32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7923A59" w14:textId="77777777" w:rsidR="000A179F" w:rsidRDefault="00000000">
            <w:r>
              <w:rPr>
                <w:sz w:val="19"/>
                <w:szCs w:val="19"/>
              </w:rPr>
              <w:t>Fuente de carbono — emite más de lo que retiene</w:t>
            </w:r>
          </w:p>
        </w:tc>
        <w:tc>
          <w:tcPr>
            <w:tcW w:w="4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FD54F5C" w14:textId="77777777" w:rsidR="000A179F" w:rsidRDefault="00000000">
            <w:r>
              <w:rPr>
                <w:sz w:val="19"/>
                <w:szCs w:val="19"/>
              </w:rPr>
              <w:t>Sumidero neto — remueve carbono de manera verificable y durable</w:t>
            </w:r>
          </w:p>
        </w:tc>
      </w:tr>
    </w:tbl>
    <w:p w14:paraId="715FAA0C" w14:textId="77777777" w:rsidR="000A179F" w:rsidRDefault="000A179F">
      <w:pPr>
        <w:spacing w:after="80"/>
      </w:pPr>
    </w:p>
    <w:p w14:paraId="7E0B7409" w14:textId="77777777" w:rsidR="000A179F" w:rsidRDefault="00000000">
      <w:pPr>
        <w:spacing w:before="200" w:after="60"/>
      </w:pPr>
      <w:r>
        <w:rPr>
          <w:b/>
          <w:bCs/>
          <w:color w:val="DA7052"/>
          <w:sz w:val="22"/>
          <w:szCs w:val="22"/>
        </w:rPr>
        <w:t>El metano y el óxido nitroso — la quema es peor de lo que parece</w:t>
      </w:r>
    </w:p>
    <w:p w14:paraId="186F69D8" w14:textId="77777777" w:rsidR="000A179F" w:rsidRDefault="00000000">
      <w:pPr>
        <w:spacing w:before="40" w:after="80"/>
      </w:pPr>
      <w:r>
        <w:t>La quema de biomasa no libera solo CO₂. Libera también metano (CH₄) y óxido nitroso (N₂O), dos gases con potencial de calentamiento global muy superior al CO₂ en horizontes de 100 años: el metano equivale a aproximadamente 28 veces el CO₂, y el óxido nitroso a aproximadamente 265 veces. Esto significa que una quema de zoca 'pequeña' puede tener un impacto climático significativamente mayor del que sugiere su volumen visible.</w:t>
      </w:r>
    </w:p>
    <w:p w14:paraId="053C3E97" w14:textId="77777777" w:rsidR="000A179F" w:rsidRDefault="00000000">
      <w:pPr>
        <w:spacing w:before="40" w:after="80"/>
      </w:pPr>
      <w:r>
        <w:t xml:space="preserve">La pirólisis, en cambio, ocurre en condiciones de oxígeno reducido. El carbono no se oxida hacia la atmósfera sino que se reconfigura en una estructura aromática estable — el </w:t>
      </w:r>
      <w:proofErr w:type="spellStart"/>
      <w:r>
        <w:t>biochar</w:t>
      </w:r>
      <w:proofErr w:type="spellEnd"/>
      <w:r>
        <w:t xml:space="preserve">. El balance neto del ciclo de vida completo, validado por el estándar Global </w:t>
      </w:r>
      <w:proofErr w:type="spellStart"/>
      <w:r>
        <w:t>Artisan</w:t>
      </w:r>
      <w:proofErr w:type="spellEnd"/>
      <w:r>
        <w:t xml:space="preserve"> C-</w:t>
      </w:r>
      <w:proofErr w:type="spellStart"/>
      <w:r>
        <w:t>Sink</w:t>
      </w:r>
      <w:proofErr w:type="spellEnd"/>
      <w:r>
        <w:t>, es altamente positivo: más del 90% del carbono de la biomasa queda inmovilizado en el suelo.</w:t>
      </w:r>
    </w:p>
    <w:p w14:paraId="7339E664"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0A179F" w14:paraId="6CD154E7"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0F488BBC" w14:textId="77777777" w:rsidR="000A179F" w:rsidRDefault="000A179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6D255315" w14:textId="77777777" w:rsidR="000A179F" w:rsidRDefault="00000000">
            <w:pPr>
              <w:spacing w:after="80"/>
            </w:pPr>
            <w:r>
              <w:rPr>
                <w:b/>
                <w:bCs/>
                <w:color w:val="DA7052"/>
                <w:sz w:val="18"/>
                <w:szCs w:val="18"/>
              </w:rPr>
              <w:t>DATO CLAVE — la ecuación que genera el crédito</w:t>
            </w:r>
          </w:p>
          <w:p w14:paraId="4BF137C7" w14:textId="77777777" w:rsidR="000A179F" w:rsidRDefault="00000000">
            <w:pPr>
              <w:spacing w:after="60"/>
            </w:pPr>
            <w:r>
              <w:rPr>
                <w:color w:val="FFFFFF"/>
              </w:rPr>
              <w:t xml:space="preserve">1 tonelada de </w:t>
            </w:r>
            <w:proofErr w:type="spellStart"/>
            <w:r>
              <w:rPr>
                <w:color w:val="FFFFFF"/>
              </w:rPr>
              <w:t>biochar</w:t>
            </w:r>
            <w:proofErr w:type="spellEnd"/>
            <w:r>
              <w:rPr>
                <w:color w:val="FFFFFF"/>
              </w:rPr>
              <w:t xml:space="preserve"> aplicada al suelo = 2,1 </w:t>
            </w:r>
            <w:proofErr w:type="spellStart"/>
            <w:r>
              <w:rPr>
                <w:color w:val="FFFFFF"/>
              </w:rPr>
              <w:t>tCO₂e</w:t>
            </w:r>
            <w:proofErr w:type="spellEnd"/>
            <w:r>
              <w:rPr>
                <w:color w:val="FFFFFF"/>
              </w:rPr>
              <w:t xml:space="preserve"> removidas.</w:t>
            </w:r>
          </w:p>
          <w:p w14:paraId="7FF59D63" w14:textId="77777777" w:rsidR="000A179F" w:rsidRDefault="00000000">
            <w:pPr>
              <w:spacing w:after="60"/>
            </w:pPr>
            <w:r>
              <w:rPr>
                <w:color w:val="FFFFFF"/>
              </w:rPr>
              <w:t xml:space="preserve">Ese coeficiente (2,1) lo establece el estándar Global </w:t>
            </w:r>
            <w:proofErr w:type="spellStart"/>
            <w:r>
              <w:rPr>
                <w:color w:val="FFFFFF"/>
              </w:rPr>
              <w:t>Artisan</w:t>
            </w:r>
            <w:proofErr w:type="spellEnd"/>
            <w:r>
              <w:rPr>
                <w:color w:val="FFFFFF"/>
              </w:rPr>
              <w:t xml:space="preserve"> C-</w:t>
            </w:r>
            <w:proofErr w:type="spellStart"/>
            <w:r>
              <w:rPr>
                <w:color w:val="FFFFFF"/>
              </w:rPr>
              <w:t>Sink</w:t>
            </w:r>
            <w:proofErr w:type="spellEnd"/>
            <w:r>
              <w:rPr>
                <w:color w:val="FFFFFF"/>
              </w:rPr>
              <w:t xml:space="preserve"> mediante análisis de ciclo de vida.</w:t>
            </w:r>
          </w:p>
          <w:p w14:paraId="0CA3E5D7" w14:textId="77777777" w:rsidR="000A179F" w:rsidRDefault="00000000">
            <w:pPr>
              <w:spacing w:after="60"/>
            </w:pPr>
            <w:r>
              <w:rPr>
                <w:color w:val="FFFFFF"/>
              </w:rPr>
              <w:t>Es el número que convierte el trabajo del productor en un crédito verificable.</w:t>
            </w:r>
          </w:p>
          <w:p w14:paraId="06B51AC9" w14:textId="77777777" w:rsidR="000A179F" w:rsidRDefault="00000000">
            <w:pPr>
              <w:spacing w:after="60"/>
            </w:pPr>
            <w:r>
              <w:rPr>
                <w:color w:val="FFFFFF"/>
              </w:rPr>
              <w:t>Y el crédito verificable es el que genera el ingreso adicional.</w:t>
            </w:r>
          </w:p>
        </w:tc>
      </w:tr>
    </w:tbl>
    <w:p w14:paraId="35B3117D" w14:textId="77777777" w:rsidR="000A179F" w:rsidRDefault="000A179F">
      <w:pPr>
        <w:spacing w:after="80"/>
      </w:pPr>
    </w:p>
    <w:p w14:paraId="31B2ADB8" w14:textId="77777777" w:rsidR="000A179F" w:rsidRDefault="00000000">
      <w:pPr>
        <w:pBdr>
          <w:bottom w:val="single" w:sz="6" w:space="3" w:color="DA7052"/>
        </w:pBdr>
        <w:spacing w:before="320" w:after="100"/>
      </w:pPr>
      <w:r>
        <w:rPr>
          <w:rFonts w:ascii="Georgia" w:eastAsia="Georgia" w:hAnsi="Georgia" w:cs="Georgia"/>
          <w:b/>
          <w:bCs/>
          <w:sz w:val="30"/>
          <w:szCs w:val="30"/>
        </w:rPr>
        <w:t xml:space="preserve">3. El suelo como sistema vivo — por qué el </w:t>
      </w:r>
      <w:proofErr w:type="spellStart"/>
      <w:r>
        <w:rPr>
          <w:rFonts w:ascii="Georgia" w:eastAsia="Georgia" w:hAnsi="Georgia" w:cs="Georgia"/>
          <w:b/>
          <w:bCs/>
          <w:sz w:val="30"/>
          <w:szCs w:val="30"/>
        </w:rPr>
        <w:t>biochar</w:t>
      </w:r>
      <w:proofErr w:type="spellEnd"/>
      <w:r>
        <w:rPr>
          <w:rFonts w:ascii="Georgia" w:eastAsia="Georgia" w:hAnsi="Georgia" w:cs="Georgia"/>
          <w:b/>
          <w:bCs/>
          <w:sz w:val="30"/>
          <w:szCs w:val="30"/>
        </w:rPr>
        <w:t xml:space="preserve"> va al suelo y no a otro lugar</w:t>
      </w:r>
    </w:p>
    <w:p w14:paraId="2EBF465C" w14:textId="77777777" w:rsidR="000A179F" w:rsidRDefault="00000000">
      <w:pPr>
        <w:spacing w:before="200" w:after="60"/>
      </w:pPr>
      <w:r>
        <w:rPr>
          <w:b/>
          <w:bCs/>
          <w:color w:val="DA7052"/>
          <w:sz w:val="22"/>
          <w:szCs w:val="22"/>
        </w:rPr>
        <w:t>Marco conceptual: carbono orgánico del suelo (SOC) y biología edáfica</w:t>
      </w:r>
    </w:p>
    <w:p w14:paraId="7AFAFB14" w14:textId="77777777" w:rsidR="000A179F" w:rsidRDefault="00000000">
      <w:pPr>
        <w:spacing w:before="40" w:after="80"/>
      </w:pPr>
      <w:r>
        <w:t>El suelo no es un sustrato inerte donde crecen las raíces. Es un sistema biológico complejo con una diversidad microbiana mayor que cualquier otro ecosistema del planeta. Cada gramo de suelo saludable puede contener entre cien mil y un millón de bacterias, decenas de metros de hifas de hongos y miles de organismos de distintos grupos taxonómicos.</w:t>
      </w:r>
    </w:p>
    <w:p w14:paraId="097F2F4C" w14:textId="77777777" w:rsidR="000A179F" w:rsidRDefault="00000000">
      <w:pPr>
        <w:spacing w:before="40" w:after="80"/>
      </w:pPr>
      <w:r>
        <w:t>El carbono orgánico del suelo (</w:t>
      </w:r>
      <w:proofErr w:type="spellStart"/>
      <w:r>
        <w:t>Soil</w:t>
      </w:r>
      <w:proofErr w:type="spellEnd"/>
      <w:r>
        <w:t xml:space="preserve"> </w:t>
      </w:r>
      <w:proofErr w:type="spellStart"/>
      <w:r>
        <w:t>Organic</w:t>
      </w:r>
      <w:proofErr w:type="spellEnd"/>
      <w:r>
        <w:t xml:space="preserve"> </w:t>
      </w:r>
      <w:proofErr w:type="spellStart"/>
      <w:r>
        <w:t>Carbon</w:t>
      </w:r>
      <w:proofErr w:type="spellEnd"/>
      <w:r>
        <w:t>, SOC) es la fracción de materia orgánica que contiene carbono — residuos de plantas y animales en distintos estados de descomposición, y compuestos más estables como el humus. El SOC determina en gran medida la fertilidad del suelo, su capacidad de retener agua y nutrientes, y su estructura física.</w:t>
      </w:r>
    </w:p>
    <w:p w14:paraId="6F4621D7"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3080"/>
      </w:tblGrid>
      <w:tr w:rsidR="000A179F" w14:paraId="3831DA04" w14:textId="77777777">
        <w:tblPrEx>
          <w:tblCellMar>
            <w:top w:w="0" w:type="dxa"/>
            <w:bottom w:w="0" w:type="dxa"/>
          </w:tblCellMar>
        </w:tblPrEx>
        <w:trPr>
          <w:tblHeader/>
        </w:trPr>
        <w:tc>
          <w:tcPr>
            <w:tcW w:w="42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708D2DE3" w14:textId="77777777" w:rsidR="000A179F" w:rsidRDefault="00000000">
            <w:r>
              <w:rPr>
                <w:b/>
                <w:bCs/>
                <w:color w:val="FFFFFF"/>
                <w:sz w:val="19"/>
                <w:szCs w:val="19"/>
              </w:rPr>
              <w:t>Reservorio global de carbono</w:t>
            </w:r>
          </w:p>
        </w:tc>
        <w:tc>
          <w:tcPr>
            <w:tcW w:w="2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7326562C" w14:textId="77777777" w:rsidR="000A179F" w:rsidRDefault="00000000">
            <w:r>
              <w:rPr>
                <w:b/>
                <w:bCs/>
                <w:color w:val="FFFFFF"/>
                <w:sz w:val="19"/>
                <w:szCs w:val="19"/>
              </w:rPr>
              <w:t>Cantidad estimada</w:t>
            </w:r>
          </w:p>
        </w:tc>
        <w:tc>
          <w:tcPr>
            <w:tcW w:w="30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20C4C7CD" w14:textId="77777777" w:rsidR="000A179F" w:rsidRDefault="00000000">
            <w:r>
              <w:rPr>
                <w:b/>
                <w:bCs/>
                <w:color w:val="FFFFFF"/>
                <w:sz w:val="19"/>
                <w:szCs w:val="19"/>
              </w:rPr>
              <w:t>Referencia</w:t>
            </w:r>
          </w:p>
        </w:tc>
      </w:tr>
      <w:tr w:rsidR="000A179F" w14:paraId="3F7308B8" w14:textId="77777777">
        <w:tblPrEx>
          <w:tblCellMar>
            <w:top w:w="0" w:type="dxa"/>
            <w:bottom w:w="0" w:type="dxa"/>
          </w:tblCellMar>
        </w:tblPrEx>
        <w:tc>
          <w:tcPr>
            <w:tcW w:w="4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B859D6C" w14:textId="77777777" w:rsidR="000A179F" w:rsidRDefault="00000000">
            <w:r>
              <w:rPr>
                <w:b/>
                <w:bCs/>
                <w:sz w:val="19"/>
                <w:szCs w:val="19"/>
              </w:rPr>
              <w:t>Suelo (horizonte superior, 1m)</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FF52D7E" w14:textId="77777777" w:rsidR="000A179F" w:rsidRDefault="00000000">
            <w:r>
              <w:rPr>
                <w:sz w:val="19"/>
                <w:szCs w:val="19"/>
              </w:rPr>
              <w:t xml:space="preserve">~1.500 </w:t>
            </w:r>
            <w:proofErr w:type="spellStart"/>
            <w:r>
              <w:rPr>
                <w:sz w:val="19"/>
                <w:szCs w:val="19"/>
              </w:rPr>
              <w:t>Gt</w:t>
            </w:r>
            <w:proofErr w:type="spellEnd"/>
            <w:r>
              <w:rPr>
                <w:sz w:val="19"/>
                <w:szCs w:val="19"/>
              </w:rPr>
              <w:t xml:space="preserve"> C</w:t>
            </w:r>
          </w:p>
        </w:tc>
        <w:tc>
          <w:tcPr>
            <w:tcW w:w="3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7BDF4550" w14:textId="77777777" w:rsidR="000A179F" w:rsidRDefault="00000000">
            <w:r>
              <w:rPr>
                <w:sz w:val="19"/>
                <w:szCs w:val="19"/>
              </w:rPr>
              <w:t>IPCC AR6, 2021</w:t>
            </w:r>
          </w:p>
        </w:tc>
      </w:tr>
      <w:tr w:rsidR="000A179F" w14:paraId="1B4E5F1D" w14:textId="77777777">
        <w:tblPrEx>
          <w:tblCellMar>
            <w:top w:w="0" w:type="dxa"/>
            <w:bottom w:w="0" w:type="dxa"/>
          </w:tblCellMar>
        </w:tblPrEx>
        <w:tc>
          <w:tcPr>
            <w:tcW w:w="4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B226205" w14:textId="77777777" w:rsidR="000A179F" w:rsidRDefault="00000000">
            <w:r>
              <w:rPr>
                <w:b/>
                <w:bCs/>
                <w:sz w:val="19"/>
                <w:szCs w:val="19"/>
              </w:rPr>
              <w:t>Atmósfera</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3117383A" w14:textId="77777777" w:rsidR="000A179F" w:rsidRDefault="00000000">
            <w:r>
              <w:rPr>
                <w:sz w:val="19"/>
                <w:szCs w:val="19"/>
              </w:rPr>
              <w:t xml:space="preserve">~800 </w:t>
            </w:r>
            <w:proofErr w:type="spellStart"/>
            <w:r>
              <w:rPr>
                <w:sz w:val="19"/>
                <w:szCs w:val="19"/>
              </w:rPr>
              <w:t>Gt</w:t>
            </w:r>
            <w:proofErr w:type="spellEnd"/>
            <w:r>
              <w:rPr>
                <w:sz w:val="19"/>
                <w:szCs w:val="19"/>
              </w:rPr>
              <w:t xml:space="preserve"> C</w:t>
            </w:r>
          </w:p>
        </w:tc>
        <w:tc>
          <w:tcPr>
            <w:tcW w:w="3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2D4DDD0" w14:textId="77777777" w:rsidR="000A179F" w:rsidRDefault="00000000">
            <w:r>
              <w:rPr>
                <w:sz w:val="19"/>
                <w:szCs w:val="19"/>
              </w:rPr>
              <w:t>IPCC AR6, 2021</w:t>
            </w:r>
          </w:p>
        </w:tc>
      </w:tr>
      <w:tr w:rsidR="000A179F" w14:paraId="5B495D13" w14:textId="77777777">
        <w:tblPrEx>
          <w:tblCellMar>
            <w:top w:w="0" w:type="dxa"/>
            <w:bottom w:w="0" w:type="dxa"/>
          </w:tblCellMar>
        </w:tblPrEx>
        <w:tc>
          <w:tcPr>
            <w:tcW w:w="4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8A39A40" w14:textId="77777777" w:rsidR="000A179F" w:rsidRDefault="00000000">
            <w:r>
              <w:rPr>
                <w:b/>
                <w:bCs/>
                <w:sz w:val="19"/>
                <w:szCs w:val="19"/>
              </w:rPr>
              <w:t>Vegetación terrestre</w:t>
            </w:r>
          </w:p>
        </w:tc>
        <w:tc>
          <w:tcPr>
            <w:tcW w:w="2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761645D" w14:textId="77777777" w:rsidR="000A179F" w:rsidRDefault="00000000">
            <w:r>
              <w:rPr>
                <w:sz w:val="19"/>
                <w:szCs w:val="19"/>
              </w:rPr>
              <w:t xml:space="preserve">~560 </w:t>
            </w:r>
            <w:proofErr w:type="spellStart"/>
            <w:r>
              <w:rPr>
                <w:sz w:val="19"/>
                <w:szCs w:val="19"/>
              </w:rPr>
              <w:t>Gt</w:t>
            </w:r>
            <w:proofErr w:type="spellEnd"/>
            <w:r>
              <w:rPr>
                <w:sz w:val="19"/>
                <w:szCs w:val="19"/>
              </w:rPr>
              <w:t xml:space="preserve"> C</w:t>
            </w:r>
          </w:p>
        </w:tc>
        <w:tc>
          <w:tcPr>
            <w:tcW w:w="30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E5418D4" w14:textId="77777777" w:rsidR="000A179F" w:rsidRDefault="00000000">
            <w:r>
              <w:rPr>
                <w:sz w:val="19"/>
                <w:szCs w:val="19"/>
              </w:rPr>
              <w:t>IPCC AR6, 2021</w:t>
            </w:r>
          </w:p>
        </w:tc>
      </w:tr>
      <w:tr w:rsidR="000A179F" w14:paraId="202C2832" w14:textId="77777777">
        <w:tblPrEx>
          <w:tblCellMar>
            <w:top w:w="0" w:type="dxa"/>
            <w:bottom w:w="0" w:type="dxa"/>
          </w:tblCellMar>
        </w:tblPrEx>
        <w:tc>
          <w:tcPr>
            <w:tcW w:w="42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28847680" w14:textId="77777777" w:rsidR="000A179F" w:rsidRDefault="00000000">
            <w:r>
              <w:rPr>
                <w:b/>
                <w:bCs/>
                <w:sz w:val="19"/>
                <w:szCs w:val="19"/>
              </w:rPr>
              <w:t>Suelos cafeteros sin manejo regenerativo</w:t>
            </w:r>
          </w:p>
        </w:tc>
        <w:tc>
          <w:tcPr>
            <w:tcW w:w="2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CC2C2BF" w14:textId="77777777" w:rsidR="000A179F" w:rsidRDefault="00000000">
            <w:r>
              <w:rPr>
                <w:sz w:val="19"/>
                <w:szCs w:val="19"/>
              </w:rPr>
              <w:t>Pérdida de ~2,5 t C/ha/año</w:t>
            </w:r>
          </w:p>
        </w:tc>
        <w:tc>
          <w:tcPr>
            <w:tcW w:w="30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6B606B5" w14:textId="77777777" w:rsidR="000A179F" w:rsidRDefault="00000000">
            <w:r>
              <w:rPr>
                <w:sz w:val="19"/>
                <w:szCs w:val="19"/>
              </w:rPr>
              <w:t>Referencia estudios LAC</w:t>
            </w:r>
          </w:p>
        </w:tc>
      </w:tr>
    </w:tbl>
    <w:p w14:paraId="590EC2DB" w14:textId="77777777" w:rsidR="000A179F" w:rsidRDefault="000A179F">
      <w:pPr>
        <w:spacing w:after="80"/>
      </w:pPr>
    </w:p>
    <w:p w14:paraId="26562A58" w14:textId="77777777" w:rsidR="000A179F" w:rsidRDefault="00000000">
      <w:pPr>
        <w:spacing w:before="200" w:after="60"/>
      </w:pPr>
      <w:r>
        <w:rPr>
          <w:b/>
          <w:bCs/>
          <w:color w:val="DA7052"/>
          <w:sz w:val="22"/>
          <w:szCs w:val="22"/>
        </w:rPr>
        <w:t xml:space="preserve">Aplicación al cafetal de ladera — lo que el </w:t>
      </w:r>
      <w:proofErr w:type="spellStart"/>
      <w:r>
        <w:rPr>
          <w:b/>
          <w:bCs/>
          <w:color w:val="DA7052"/>
          <w:sz w:val="22"/>
          <w:szCs w:val="22"/>
        </w:rPr>
        <w:t>biochar</w:t>
      </w:r>
      <w:proofErr w:type="spellEnd"/>
      <w:r>
        <w:rPr>
          <w:b/>
          <w:bCs/>
          <w:color w:val="DA7052"/>
          <w:sz w:val="22"/>
          <w:szCs w:val="22"/>
        </w:rPr>
        <w:t xml:space="preserve"> hace al suelo</w:t>
      </w:r>
    </w:p>
    <w:p w14:paraId="52A34331" w14:textId="77777777" w:rsidR="000A179F" w:rsidRDefault="00000000">
      <w:pPr>
        <w:spacing w:before="40" w:after="80"/>
      </w:pPr>
      <w:r>
        <w:t xml:space="preserve">Los suelos cafeteros de ladera en Colombia suelen presentar acidez moderada a alta (pH entre 4,5 y 5,5), baja capacidad de intercambio catiónico (CIC) y pérdida progresiva de materia orgánica por erosión y prácticas convencionales. El </w:t>
      </w:r>
      <w:proofErr w:type="spellStart"/>
      <w:r>
        <w:t>biochar</w:t>
      </w:r>
      <w:proofErr w:type="spellEnd"/>
      <w:r>
        <w:t xml:space="preserve"> actúa sobre todos esos factores, aunque con efectos que varían según el tipo de suelo y la dosis aplicada.</w:t>
      </w:r>
    </w:p>
    <w:p w14:paraId="5C5584BE"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680"/>
      </w:tblGrid>
      <w:tr w:rsidR="000A179F" w14:paraId="59F71966" w14:textId="77777777">
        <w:tblPrEx>
          <w:tblCellMar>
            <w:top w:w="0" w:type="dxa"/>
            <w:bottom w:w="0" w:type="dxa"/>
          </w:tblCellMar>
        </w:tblPrEx>
        <w:trPr>
          <w:tblHeader/>
        </w:trPr>
        <w:tc>
          <w:tcPr>
            <w:tcW w:w="26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7D253F9" w14:textId="77777777" w:rsidR="000A179F" w:rsidRDefault="00000000">
            <w:r>
              <w:rPr>
                <w:b/>
                <w:bCs/>
                <w:color w:val="FFFFFF"/>
                <w:sz w:val="19"/>
                <w:szCs w:val="19"/>
              </w:rPr>
              <w:t xml:space="preserve">Efecto del </w:t>
            </w:r>
            <w:proofErr w:type="spellStart"/>
            <w:r>
              <w:rPr>
                <w:b/>
                <w:bCs/>
                <w:color w:val="FFFFFF"/>
                <w:sz w:val="19"/>
                <w:szCs w:val="19"/>
              </w:rPr>
              <w:t>biochar</w:t>
            </w:r>
            <w:proofErr w:type="spellEnd"/>
          </w:p>
        </w:tc>
        <w:tc>
          <w:tcPr>
            <w:tcW w:w="3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AEC6753" w14:textId="77777777" w:rsidR="000A179F" w:rsidRDefault="00000000">
            <w:r>
              <w:rPr>
                <w:b/>
                <w:bCs/>
                <w:color w:val="FFFFFF"/>
                <w:sz w:val="19"/>
                <w:szCs w:val="19"/>
              </w:rPr>
              <w:t>Mecanismo</w:t>
            </w:r>
          </w:p>
        </w:tc>
        <w:tc>
          <w:tcPr>
            <w:tcW w:w="36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1A44BC43" w14:textId="77777777" w:rsidR="000A179F" w:rsidRDefault="00000000">
            <w:r>
              <w:rPr>
                <w:b/>
                <w:bCs/>
                <w:color w:val="FFFFFF"/>
                <w:sz w:val="19"/>
                <w:szCs w:val="19"/>
              </w:rPr>
              <w:t>Evidencia en cafetales</w:t>
            </w:r>
          </w:p>
        </w:tc>
      </w:tr>
      <w:tr w:rsidR="000A179F" w14:paraId="154845F4"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7964DB2" w14:textId="77777777" w:rsidR="000A179F" w:rsidRDefault="00000000">
            <w:r>
              <w:rPr>
                <w:b/>
                <w:bCs/>
                <w:sz w:val="19"/>
                <w:szCs w:val="19"/>
              </w:rPr>
              <w:t>Inmovilización de carbono</w:t>
            </w:r>
          </w:p>
        </w:tc>
        <w:tc>
          <w:tcPr>
            <w:tcW w:w="3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C2F983A" w14:textId="77777777" w:rsidR="000A179F" w:rsidRDefault="00000000">
            <w:r>
              <w:rPr>
                <w:sz w:val="19"/>
                <w:szCs w:val="19"/>
              </w:rPr>
              <w:t>Estructura aromática altamente estable — no se descompone como la materia orgánica convencional</w:t>
            </w:r>
          </w:p>
        </w:tc>
        <w:tc>
          <w:tcPr>
            <w:tcW w:w="36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8EFDEEF" w14:textId="77777777" w:rsidR="000A179F" w:rsidRDefault="00000000">
            <w:r>
              <w:rPr>
                <w:sz w:val="19"/>
                <w:szCs w:val="19"/>
              </w:rPr>
              <w:t>Estabilidad documentada de 100-1.000 años en condiciones de suelo</w:t>
            </w:r>
          </w:p>
        </w:tc>
      </w:tr>
      <w:tr w:rsidR="000A179F" w14:paraId="3F3A41B9"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10B04DED" w14:textId="77777777" w:rsidR="000A179F" w:rsidRDefault="00000000">
            <w:r>
              <w:rPr>
                <w:b/>
                <w:bCs/>
                <w:sz w:val="19"/>
                <w:szCs w:val="19"/>
              </w:rPr>
              <w:t>Mejora de la CIC</w:t>
            </w:r>
          </w:p>
        </w:tc>
        <w:tc>
          <w:tcPr>
            <w:tcW w:w="3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6AA3DFC" w14:textId="77777777" w:rsidR="000A179F" w:rsidRDefault="00000000">
            <w:r>
              <w:rPr>
                <w:sz w:val="19"/>
                <w:szCs w:val="19"/>
              </w:rPr>
              <w:t xml:space="preserve">La superficie porosa del </w:t>
            </w:r>
            <w:proofErr w:type="spellStart"/>
            <w:r>
              <w:rPr>
                <w:sz w:val="19"/>
                <w:szCs w:val="19"/>
              </w:rPr>
              <w:t>biochar</w:t>
            </w:r>
            <w:proofErr w:type="spellEnd"/>
            <w:r>
              <w:rPr>
                <w:sz w:val="19"/>
                <w:szCs w:val="19"/>
              </w:rPr>
              <w:t xml:space="preserve"> ofrece sitios de intercambio para cationes (K⁺, Ca²⁺, Mg²⁺)</w:t>
            </w:r>
          </w:p>
        </w:tc>
        <w:tc>
          <w:tcPr>
            <w:tcW w:w="36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C18D1EC" w14:textId="77777777" w:rsidR="000A179F" w:rsidRDefault="00000000">
            <w:r>
              <w:rPr>
                <w:sz w:val="19"/>
                <w:szCs w:val="19"/>
              </w:rPr>
              <w:t>Incremento promedio de 45% en nutrientes disponibles (Lehmann &amp; Joseph, 2009)</w:t>
            </w:r>
          </w:p>
        </w:tc>
      </w:tr>
      <w:tr w:rsidR="000A179F" w14:paraId="59CA923F"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8F81AC4" w14:textId="77777777" w:rsidR="000A179F" w:rsidRDefault="00000000">
            <w:r>
              <w:rPr>
                <w:b/>
                <w:bCs/>
                <w:sz w:val="19"/>
                <w:szCs w:val="19"/>
              </w:rPr>
              <w:t>Retención de agua</w:t>
            </w:r>
          </w:p>
        </w:tc>
        <w:tc>
          <w:tcPr>
            <w:tcW w:w="3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2127B2C3" w14:textId="77777777" w:rsidR="000A179F" w:rsidRDefault="00000000">
            <w:r>
              <w:rPr>
                <w:sz w:val="19"/>
                <w:szCs w:val="19"/>
              </w:rPr>
              <w:t xml:space="preserve">La porosidad del </w:t>
            </w:r>
            <w:proofErr w:type="spellStart"/>
            <w:r>
              <w:rPr>
                <w:sz w:val="19"/>
                <w:szCs w:val="19"/>
              </w:rPr>
              <w:t>biochar</w:t>
            </w:r>
            <w:proofErr w:type="spellEnd"/>
            <w:r>
              <w:rPr>
                <w:sz w:val="19"/>
                <w:szCs w:val="19"/>
              </w:rPr>
              <w:t xml:space="preserve"> actúa como esponja — retiene humedad en períodos secos</w:t>
            </w:r>
          </w:p>
        </w:tc>
        <w:tc>
          <w:tcPr>
            <w:tcW w:w="36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B01A95A" w14:textId="77777777" w:rsidR="000A179F" w:rsidRDefault="00000000">
            <w:r>
              <w:rPr>
                <w:sz w:val="19"/>
                <w:szCs w:val="19"/>
              </w:rPr>
              <w:t>Aumento promedio de 15% en retención de agua en la planta</w:t>
            </w:r>
          </w:p>
        </w:tc>
      </w:tr>
      <w:tr w:rsidR="000A179F" w14:paraId="49BBFC3B"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B596FB3" w14:textId="77777777" w:rsidR="000A179F" w:rsidRDefault="00000000">
            <w:r>
              <w:rPr>
                <w:b/>
                <w:bCs/>
                <w:sz w:val="19"/>
                <w:szCs w:val="19"/>
              </w:rPr>
              <w:t>Reducción de acidez</w:t>
            </w:r>
          </w:p>
        </w:tc>
        <w:tc>
          <w:tcPr>
            <w:tcW w:w="3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411F06AF" w14:textId="77777777" w:rsidR="000A179F" w:rsidRDefault="00000000">
            <w:r>
              <w:rPr>
                <w:sz w:val="19"/>
                <w:szCs w:val="19"/>
              </w:rPr>
              <w:t xml:space="preserve">El pH del </w:t>
            </w:r>
            <w:proofErr w:type="spellStart"/>
            <w:r>
              <w:rPr>
                <w:sz w:val="19"/>
                <w:szCs w:val="19"/>
              </w:rPr>
              <w:t>biochar</w:t>
            </w:r>
            <w:proofErr w:type="spellEnd"/>
            <w:r>
              <w:rPr>
                <w:sz w:val="19"/>
                <w:szCs w:val="19"/>
              </w:rPr>
              <w:t xml:space="preserve"> producido de zoca de café es generalmente alcalino (7-9), lo que neutraliza parcialmente la acidez del suelo</w:t>
            </w:r>
          </w:p>
        </w:tc>
        <w:tc>
          <w:tcPr>
            <w:tcW w:w="36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5E504D8D" w14:textId="77777777" w:rsidR="000A179F" w:rsidRDefault="00000000">
            <w:r>
              <w:rPr>
                <w:sz w:val="19"/>
                <w:szCs w:val="19"/>
              </w:rPr>
              <w:t>Efecto dependiente de dosis y tipo de suelo</w:t>
            </w:r>
          </w:p>
        </w:tc>
      </w:tr>
      <w:tr w:rsidR="000A179F" w14:paraId="4E74B2FB"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BC82D63" w14:textId="77777777" w:rsidR="000A179F" w:rsidRDefault="00000000">
            <w:r>
              <w:rPr>
                <w:b/>
                <w:bCs/>
                <w:sz w:val="19"/>
                <w:szCs w:val="19"/>
              </w:rPr>
              <w:t>Estímulo de biología del suelo</w:t>
            </w:r>
          </w:p>
        </w:tc>
        <w:tc>
          <w:tcPr>
            <w:tcW w:w="3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59821384" w14:textId="77777777" w:rsidR="000A179F" w:rsidRDefault="00000000">
            <w:r>
              <w:rPr>
                <w:sz w:val="19"/>
                <w:szCs w:val="19"/>
              </w:rPr>
              <w:t xml:space="preserve">El </w:t>
            </w:r>
            <w:proofErr w:type="spellStart"/>
            <w:r>
              <w:rPr>
                <w:sz w:val="19"/>
                <w:szCs w:val="19"/>
              </w:rPr>
              <w:t>biochar</w:t>
            </w:r>
            <w:proofErr w:type="spellEnd"/>
            <w:r>
              <w:rPr>
                <w:sz w:val="19"/>
                <w:szCs w:val="19"/>
              </w:rPr>
              <w:t xml:space="preserve"> crea hábitat para microorganismos benéficos y reduce la concentración de metales pesados</w:t>
            </w:r>
          </w:p>
        </w:tc>
        <w:tc>
          <w:tcPr>
            <w:tcW w:w="36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6E33A603" w14:textId="77777777" w:rsidR="000A179F" w:rsidRDefault="00000000">
            <w:r>
              <w:rPr>
                <w:sz w:val="19"/>
                <w:szCs w:val="19"/>
              </w:rPr>
              <w:t>Absorción documentada de ~29% de metales pesados disponibles</w:t>
            </w:r>
          </w:p>
        </w:tc>
      </w:tr>
      <w:tr w:rsidR="000A179F" w14:paraId="0C4A9A74" w14:textId="77777777">
        <w:tblPrEx>
          <w:tblCellMar>
            <w:top w:w="0" w:type="dxa"/>
            <w:bottom w:w="0" w:type="dxa"/>
          </w:tblCellMar>
        </w:tblPrEx>
        <w:tc>
          <w:tcPr>
            <w:tcW w:w="26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E03249E" w14:textId="77777777" w:rsidR="000A179F" w:rsidRDefault="00000000">
            <w:r>
              <w:rPr>
                <w:b/>
                <w:bCs/>
                <w:sz w:val="19"/>
                <w:szCs w:val="19"/>
              </w:rPr>
              <w:t>Generación de crédito</w:t>
            </w:r>
          </w:p>
        </w:tc>
        <w:tc>
          <w:tcPr>
            <w:tcW w:w="3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9A0AEA6" w14:textId="77777777" w:rsidR="000A179F" w:rsidRDefault="00000000">
            <w:r>
              <w:rPr>
                <w:sz w:val="19"/>
                <w:szCs w:val="19"/>
              </w:rPr>
              <w:t>El carbono inmovilizado en el suelo es la base del crédito de remoción verificado</w:t>
            </w:r>
          </w:p>
        </w:tc>
        <w:tc>
          <w:tcPr>
            <w:tcW w:w="36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7458C355" w14:textId="77777777" w:rsidR="000A179F" w:rsidRDefault="00000000">
            <w:r>
              <w:rPr>
                <w:sz w:val="19"/>
                <w:szCs w:val="19"/>
              </w:rPr>
              <w:t xml:space="preserve">1 t </w:t>
            </w:r>
            <w:proofErr w:type="spellStart"/>
            <w:r>
              <w:rPr>
                <w:sz w:val="19"/>
                <w:szCs w:val="19"/>
              </w:rPr>
              <w:t>biochar</w:t>
            </w:r>
            <w:proofErr w:type="spellEnd"/>
            <w:r>
              <w:rPr>
                <w:sz w:val="19"/>
                <w:szCs w:val="19"/>
              </w:rPr>
              <w:t xml:space="preserve"> = 2,1 </w:t>
            </w:r>
            <w:proofErr w:type="spellStart"/>
            <w:r>
              <w:rPr>
                <w:sz w:val="19"/>
                <w:szCs w:val="19"/>
              </w:rPr>
              <w:t>tCO₂e</w:t>
            </w:r>
            <w:proofErr w:type="spellEnd"/>
            <w:r>
              <w:rPr>
                <w:sz w:val="19"/>
                <w:szCs w:val="19"/>
              </w:rPr>
              <w:t xml:space="preserve"> — estándar Global </w:t>
            </w:r>
            <w:proofErr w:type="spellStart"/>
            <w:r>
              <w:rPr>
                <w:sz w:val="19"/>
                <w:szCs w:val="19"/>
              </w:rPr>
              <w:t>Artisan</w:t>
            </w:r>
            <w:proofErr w:type="spellEnd"/>
            <w:r>
              <w:rPr>
                <w:sz w:val="19"/>
                <w:szCs w:val="19"/>
              </w:rPr>
              <w:t xml:space="preserve"> C-</w:t>
            </w:r>
            <w:proofErr w:type="spellStart"/>
            <w:r>
              <w:rPr>
                <w:sz w:val="19"/>
                <w:szCs w:val="19"/>
              </w:rPr>
              <w:t>Sink</w:t>
            </w:r>
            <w:proofErr w:type="spellEnd"/>
          </w:p>
        </w:tc>
      </w:tr>
    </w:tbl>
    <w:p w14:paraId="2514104F"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0A179F" w14:paraId="3308EA73"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0DC27B12" w14:textId="77777777" w:rsidR="000A179F" w:rsidRDefault="000A179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78F8293E" w14:textId="77777777" w:rsidR="000A179F" w:rsidRDefault="00000000">
            <w:pPr>
              <w:spacing w:after="80"/>
            </w:pPr>
            <w:r>
              <w:rPr>
                <w:b/>
                <w:bCs/>
                <w:color w:val="DA7052"/>
                <w:sz w:val="18"/>
                <w:szCs w:val="18"/>
              </w:rPr>
              <w:t xml:space="preserve">DATO CLAVE — por qué el </w:t>
            </w:r>
            <w:proofErr w:type="spellStart"/>
            <w:r>
              <w:rPr>
                <w:b/>
                <w:bCs/>
                <w:color w:val="DA7052"/>
                <w:sz w:val="18"/>
                <w:szCs w:val="18"/>
              </w:rPr>
              <w:t>biochar</w:t>
            </w:r>
            <w:proofErr w:type="spellEnd"/>
            <w:r>
              <w:rPr>
                <w:b/>
                <w:bCs/>
                <w:color w:val="DA7052"/>
                <w:sz w:val="18"/>
                <w:szCs w:val="18"/>
              </w:rPr>
              <w:t xml:space="preserve"> no es simplemente otro abono</w:t>
            </w:r>
          </w:p>
          <w:p w14:paraId="63532935" w14:textId="77777777" w:rsidR="000A179F" w:rsidRDefault="00000000">
            <w:pPr>
              <w:spacing w:after="60"/>
            </w:pPr>
            <w:r>
              <w:rPr>
                <w:color w:val="FFFFFF"/>
              </w:rPr>
              <w:t>Un abono orgánico convencional (compost, gallinaza) se descompone en meses o pocos años — el carbono vuelve a la atmósfera.</w:t>
            </w:r>
          </w:p>
          <w:p w14:paraId="0860AF7F" w14:textId="77777777" w:rsidR="000A179F" w:rsidRDefault="00000000">
            <w:pPr>
              <w:spacing w:after="60"/>
            </w:pPr>
            <w:r>
              <w:rPr>
                <w:color w:val="FFFFFF"/>
              </w:rPr>
              <w:t xml:space="preserve">El </w:t>
            </w:r>
            <w:proofErr w:type="spellStart"/>
            <w:r>
              <w:rPr>
                <w:color w:val="FFFFFF"/>
              </w:rPr>
              <w:t>biochar</w:t>
            </w:r>
            <w:proofErr w:type="spellEnd"/>
            <w:r>
              <w:rPr>
                <w:color w:val="FFFFFF"/>
              </w:rPr>
              <w:t xml:space="preserve"> no se descompone. Su carbono queda en el suelo durante siglos. Eso es lo que lo hace elegible para un crédito de remoción.</w:t>
            </w:r>
          </w:p>
          <w:p w14:paraId="00395B6E" w14:textId="77777777" w:rsidR="000A179F" w:rsidRDefault="00000000">
            <w:pPr>
              <w:spacing w:after="60"/>
            </w:pPr>
            <w:r>
              <w:rPr>
                <w:color w:val="FFFFFF"/>
              </w:rPr>
              <w:t xml:space="preserve">Un abono mejora el suelo. El </w:t>
            </w:r>
            <w:proofErr w:type="spellStart"/>
            <w:r>
              <w:rPr>
                <w:color w:val="FFFFFF"/>
              </w:rPr>
              <w:t>biochar</w:t>
            </w:r>
            <w:proofErr w:type="spellEnd"/>
            <w:r>
              <w:rPr>
                <w:color w:val="FFFFFF"/>
              </w:rPr>
              <w:t xml:space="preserve"> mejora el suelo Y remueve carbono de manera permanente.</w:t>
            </w:r>
          </w:p>
          <w:p w14:paraId="33753898" w14:textId="77777777" w:rsidR="000A179F" w:rsidRDefault="00000000">
            <w:pPr>
              <w:spacing w:after="60"/>
            </w:pPr>
            <w:r>
              <w:rPr>
                <w:color w:val="FFFFFF"/>
              </w:rPr>
              <w:t>Esa diferencia es la razón por la que alguien en Europa o Asia está dispuesto a pagar por él.</w:t>
            </w:r>
          </w:p>
        </w:tc>
      </w:tr>
    </w:tbl>
    <w:p w14:paraId="78170DB9" w14:textId="77777777" w:rsidR="000A179F" w:rsidRDefault="000A179F">
      <w:pPr>
        <w:spacing w:after="80"/>
      </w:pPr>
    </w:p>
    <w:p w14:paraId="27766B25" w14:textId="77777777" w:rsidR="000A179F" w:rsidRDefault="00000000">
      <w:pPr>
        <w:pBdr>
          <w:bottom w:val="single" w:sz="6" w:space="3" w:color="DA7052"/>
        </w:pBdr>
        <w:spacing w:before="320" w:after="100"/>
      </w:pPr>
      <w:r>
        <w:rPr>
          <w:rFonts w:ascii="Georgia" w:eastAsia="Georgia" w:hAnsi="Georgia" w:cs="Georgia"/>
          <w:b/>
          <w:bCs/>
          <w:sz w:val="30"/>
          <w:szCs w:val="30"/>
        </w:rPr>
        <w:t>4. Agricultura regenerativa y el mercado voluntario de carbono</w:t>
      </w:r>
    </w:p>
    <w:p w14:paraId="04F9245D" w14:textId="77777777" w:rsidR="000A179F" w:rsidRDefault="00000000">
      <w:pPr>
        <w:spacing w:before="200" w:after="60"/>
      </w:pPr>
      <w:r>
        <w:rPr>
          <w:b/>
          <w:bCs/>
          <w:color w:val="DA7052"/>
          <w:sz w:val="22"/>
          <w:szCs w:val="22"/>
        </w:rPr>
        <w:t>Marco conceptual: la diferencia entre sostenible y regenerativo</w:t>
      </w:r>
    </w:p>
    <w:p w14:paraId="64F4C6EB" w14:textId="77777777" w:rsidR="000A179F" w:rsidRDefault="00000000">
      <w:pPr>
        <w:spacing w:before="40" w:after="80"/>
      </w:pPr>
      <w:r>
        <w:t>La agricultura sostenible busca no empeorar. La agricultura regenerativa busca activamente restaurar — suelos degradados, biodiversidad perdida, ciclos hidrológicos alterados. No es solo semántica: implica un conjunto de prácticas que incrementan activamente el capital natural del sistema.</w:t>
      </w:r>
    </w:p>
    <w:p w14:paraId="1D801BFC" w14:textId="77777777" w:rsidR="000A179F" w:rsidRDefault="00000000">
      <w:pPr>
        <w:spacing w:before="40" w:after="80"/>
      </w:pPr>
      <w:r>
        <w:t xml:space="preserve">En el contexto cafetero, la conversión de zoca en </w:t>
      </w:r>
      <w:proofErr w:type="spellStart"/>
      <w:r>
        <w:t>biochar</w:t>
      </w:r>
      <w:proofErr w:type="spellEnd"/>
      <w:r>
        <w:t xml:space="preserve"> es una práctica regenerativa porque no solo evita una emisión (la quema) sino que añade carbono estable al suelo, mejora su biología y genera un producto verificable de remoción. Combina mejora agronómica con impacto climático medible.</w:t>
      </w:r>
    </w:p>
    <w:p w14:paraId="56BE5AA0"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3480"/>
      </w:tblGrid>
      <w:tr w:rsidR="000A179F" w14:paraId="725F3E11" w14:textId="77777777">
        <w:tblPrEx>
          <w:tblCellMar>
            <w:top w:w="0" w:type="dxa"/>
            <w:bottom w:w="0" w:type="dxa"/>
          </w:tblCellMar>
        </w:tblPrEx>
        <w:trPr>
          <w:tblHeader/>
        </w:trPr>
        <w:tc>
          <w:tcPr>
            <w:tcW w:w="2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5FA7A249" w14:textId="77777777" w:rsidR="000A179F" w:rsidRDefault="00000000">
            <w:r>
              <w:rPr>
                <w:b/>
                <w:bCs/>
                <w:color w:val="FFFFFF"/>
                <w:sz w:val="19"/>
                <w:szCs w:val="19"/>
              </w:rPr>
              <w:t>Práctica</w:t>
            </w:r>
          </w:p>
        </w:tc>
        <w:tc>
          <w:tcPr>
            <w:tcW w:w="380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D09B585" w14:textId="77777777" w:rsidR="000A179F" w:rsidRDefault="00000000">
            <w:r>
              <w:rPr>
                <w:b/>
                <w:bCs/>
                <w:color w:val="FFFFFF"/>
                <w:sz w:val="19"/>
                <w:szCs w:val="19"/>
              </w:rPr>
              <w:t>Qué aporta al ciclo de carbono</w:t>
            </w:r>
          </w:p>
        </w:tc>
        <w:tc>
          <w:tcPr>
            <w:tcW w:w="3480" w:type="dxa"/>
            <w:tcBorders>
              <w:top w:val="single" w:sz="1" w:space="0" w:color="DA7052"/>
              <w:left w:val="single" w:sz="1" w:space="0" w:color="DA7052"/>
              <w:bottom w:val="single" w:sz="1" w:space="0" w:color="DA7052"/>
              <w:right w:val="single" w:sz="1" w:space="0" w:color="DA7052"/>
            </w:tcBorders>
            <w:shd w:val="clear" w:color="auto" w:fill="DA7052"/>
            <w:tcMar>
              <w:top w:w="80" w:type="dxa"/>
              <w:left w:w="120" w:type="dxa"/>
              <w:bottom w:w="80" w:type="dxa"/>
              <w:right w:w="120" w:type="dxa"/>
            </w:tcMar>
          </w:tcPr>
          <w:p w14:paraId="3885717B" w14:textId="77777777" w:rsidR="000A179F" w:rsidRDefault="00000000">
            <w:r>
              <w:rPr>
                <w:b/>
                <w:bCs/>
                <w:color w:val="FFFFFF"/>
                <w:sz w:val="19"/>
                <w:szCs w:val="19"/>
              </w:rPr>
              <w:t xml:space="preserve">En el proyecto </w:t>
            </w:r>
            <w:proofErr w:type="spellStart"/>
            <w:r>
              <w:rPr>
                <w:b/>
                <w:bCs/>
                <w:color w:val="FFFFFF"/>
                <w:sz w:val="19"/>
                <w:szCs w:val="19"/>
              </w:rPr>
              <w:t>Coffee</w:t>
            </w:r>
            <w:proofErr w:type="spellEnd"/>
            <w:r>
              <w:rPr>
                <w:b/>
                <w:bCs/>
                <w:color w:val="FFFFFF"/>
                <w:sz w:val="19"/>
                <w:szCs w:val="19"/>
              </w:rPr>
              <w:t xml:space="preserve"> </w:t>
            </w:r>
            <w:proofErr w:type="spellStart"/>
            <w:r>
              <w:rPr>
                <w:b/>
                <w:bCs/>
                <w:color w:val="FFFFFF"/>
                <w:sz w:val="19"/>
                <w:szCs w:val="19"/>
              </w:rPr>
              <w:t>Biochar</w:t>
            </w:r>
            <w:proofErr w:type="spellEnd"/>
          </w:p>
        </w:tc>
      </w:tr>
      <w:tr w:rsidR="000A179F" w14:paraId="32F1227E"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4ADD0FD5" w14:textId="77777777" w:rsidR="000A179F" w:rsidRDefault="00000000">
            <w:r>
              <w:rPr>
                <w:b/>
                <w:bCs/>
                <w:sz w:val="19"/>
                <w:szCs w:val="19"/>
              </w:rPr>
              <w:t xml:space="preserve">Producción de </w:t>
            </w:r>
            <w:proofErr w:type="spellStart"/>
            <w:r>
              <w:rPr>
                <w:b/>
                <w:bCs/>
                <w:sz w:val="19"/>
                <w:szCs w:val="19"/>
              </w:rPr>
              <w:t>biochar</w:t>
            </w:r>
            <w:proofErr w:type="spellEnd"/>
            <w:r>
              <w:rPr>
                <w:b/>
                <w:bCs/>
                <w:sz w:val="19"/>
                <w:szCs w:val="19"/>
              </w:rPr>
              <w:t xml:space="preserve"> desde zoca</w:t>
            </w:r>
          </w:p>
        </w:tc>
        <w:tc>
          <w:tcPr>
            <w:tcW w:w="3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DB52962" w14:textId="77777777" w:rsidR="000A179F" w:rsidRDefault="00000000">
            <w:r>
              <w:rPr>
                <w:sz w:val="19"/>
                <w:szCs w:val="19"/>
              </w:rPr>
              <w:t>Inmoviliza C que estaba en la biomasa durante siglos</w:t>
            </w:r>
          </w:p>
        </w:tc>
        <w:tc>
          <w:tcPr>
            <w:tcW w:w="3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4A01679F" w14:textId="77777777" w:rsidR="000A179F" w:rsidRDefault="00000000">
            <w:r>
              <w:rPr>
                <w:sz w:val="19"/>
                <w:szCs w:val="19"/>
              </w:rPr>
              <w:t>El horno Kon-</w:t>
            </w:r>
            <w:proofErr w:type="spellStart"/>
            <w:r>
              <w:rPr>
                <w:sz w:val="19"/>
                <w:szCs w:val="19"/>
              </w:rPr>
              <w:t>Tiki</w:t>
            </w:r>
            <w:proofErr w:type="spellEnd"/>
            <w:r>
              <w:rPr>
                <w:sz w:val="19"/>
                <w:szCs w:val="19"/>
              </w:rPr>
              <w:t xml:space="preserve"> convierte zoca → </w:t>
            </w:r>
            <w:proofErr w:type="spellStart"/>
            <w:r>
              <w:rPr>
                <w:sz w:val="19"/>
                <w:szCs w:val="19"/>
              </w:rPr>
              <w:t>biochar</w:t>
            </w:r>
            <w:proofErr w:type="spellEnd"/>
            <w:r>
              <w:rPr>
                <w:sz w:val="19"/>
                <w:szCs w:val="19"/>
              </w:rPr>
              <w:t xml:space="preserve"> en cada </w:t>
            </w:r>
            <w:proofErr w:type="spellStart"/>
            <w:r>
              <w:rPr>
                <w:sz w:val="19"/>
                <w:szCs w:val="19"/>
              </w:rPr>
              <w:t>batch</w:t>
            </w:r>
            <w:proofErr w:type="spellEnd"/>
            <w:r>
              <w:rPr>
                <w:sz w:val="19"/>
                <w:szCs w:val="19"/>
              </w:rPr>
              <w:t xml:space="preserve"> de 15 días</w:t>
            </w:r>
          </w:p>
        </w:tc>
      </w:tr>
      <w:tr w:rsidR="000A179F" w14:paraId="733E6721"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67C50C8B" w14:textId="77777777" w:rsidR="000A179F" w:rsidRDefault="00000000">
            <w:r>
              <w:rPr>
                <w:b/>
                <w:bCs/>
                <w:sz w:val="19"/>
                <w:szCs w:val="19"/>
              </w:rPr>
              <w:t xml:space="preserve">Aplicación de </w:t>
            </w:r>
            <w:proofErr w:type="spellStart"/>
            <w:r>
              <w:rPr>
                <w:b/>
                <w:bCs/>
                <w:sz w:val="19"/>
                <w:szCs w:val="19"/>
              </w:rPr>
              <w:t>biochar</w:t>
            </w:r>
            <w:proofErr w:type="spellEnd"/>
            <w:r>
              <w:rPr>
                <w:b/>
                <w:bCs/>
                <w:sz w:val="19"/>
                <w:szCs w:val="19"/>
              </w:rPr>
              <w:t xml:space="preserve"> al suelo</w:t>
            </w:r>
          </w:p>
        </w:tc>
        <w:tc>
          <w:tcPr>
            <w:tcW w:w="3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D7F295C" w14:textId="77777777" w:rsidR="000A179F" w:rsidRDefault="00000000">
            <w:r>
              <w:rPr>
                <w:sz w:val="19"/>
                <w:szCs w:val="19"/>
              </w:rPr>
              <w:t>Suma C estable + mejora propiedades — doble beneficio</w:t>
            </w:r>
          </w:p>
        </w:tc>
        <w:tc>
          <w:tcPr>
            <w:tcW w:w="3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6262615F" w14:textId="77777777" w:rsidR="000A179F" w:rsidRDefault="00000000">
            <w:r>
              <w:rPr>
                <w:sz w:val="19"/>
                <w:szCs w:val="19"/>
              </w:rPr>
              <w:t xml:space="preserve">El productor aplica al cierre de cada </w:t>
            </w:r>
            <w:proofErr w:type="spellStart"/>
            <w:r>
              <w:rPr>
                <w:sz w:val="19"/>
                <w:szCs w:val="19"/>
              </w:rPr>
              <w:t>batch</w:t>
            </w:r>
            <w:proofErr w:type="spellEnd"/>
            <w:r>
              <w:rPr>
                <w:sz w:val="19"/>
                <w:szCs w:val="19"/>
              </w:rPr>
              <w:t xml:space="preserve">, documentado en </w:t>
            </w:r>
            <w:proofErr w:type="spellStart"/>
            <w:r>
              <w:rPr>
                <w:sz w:val="19"/>
                <w:szCs w:val="19"/>
              </w:rPr>
              <w:t>Planboo</w:t>
            </w:r>
            <w:proofErr w:type="spellEnd"/>
          </w:p>
        </w:tc>
      </w:tr>
      <w:tr w:rsidR="000A179F" w14:paraId="27DDAA98"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3C07533A" w14:textId="77777777" w:rsidR="000A179F" w:rsidRDefault="00000000">
            <w:r>
              <w:rPr>
                <w:b/>
                <w:bCs/>
                <w:sz w:val="19"/>
                <w:szCs w:val="19"/>
              </w:rPr>
              <w:t>Eliminación de quema de residuos</w:t>
            </w:r>
          </w:p>
        </w:tc>
        <w:tc>
          <w:tcPr>
            <w:tcW w:w="380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0010A3AD" w14:textId="77777777" w:rsidR="000A179F" w:rsidRDefault="00000000">
            <w:r>
              <w:rPr>
                <w:sz w:val="19"/>
                <w:szCs w:val="19"/>
              </w:rPr>
              <w:t>Evita emisión de CO₂ + CH₄ + N₂O en el momento de la quema</w:t>
            </w:r>
          </w:p>
        </w:tc>
        <w:tc>
          <w:tcPr>
            <w:tcW w:w="3480" w:type="dxa"/>
            <w:tcBorders>
              <w:top w:val="single" w:sz="1" w:space="0" w:color="E8E4DF"/>
              <w:left w:val="single" w:sz="1" w:space="0" w:color="E8E4DF"/>
              <w:bottom w:val="single" w:sz="1" w:space="0" w:color="E8E4DF"/>
              <w:right w:val="single" w:sz="1" w:space="0" w:color="E8E4DF"/>
            </w:tcBorders>
            <w:shd w:val="clear" w:color="auto" w:fill="FFFFFF"/>
            <w:tcMar>
              <w:top w:w="80" w:type="dxa"/>
              <w:left w:w="120" w:type="dxa"/>
              <w:bottom w:w="80" w:type="dxa"/>
              <w:right w:w="120" w:type="dxa"/>
            </w:tcMar>
          </w:tcPr>
          <w:p w14:paraId="1963E1E4" w14:textId="77777777" w:rsidR="000A179F" w:rsidRDefault="00000000">
            <w:r>
              <w:rPr>
                <w:sz w:val="19"/>
                <w:szCs w:val="19"/>
              </w:rPr>
              <w:t>Declaración de honor firmada — requisito del estándar C-</w:t>
            </w:r>
            <w:proofErr w:type="spellStart"/>
            <w:r>
              <w:rPr>
                <w:sz w:val="19"/>
                <w:szCs w:val="19"/>
              </w:rPr>
              <w:t>Sink</w:t>
            </w:r>
            <w:proofErr w:type="spellEnd"/>
          </w:p>
        </w:tc>
      </w:tr>
      <w:tr w:rsidR="000A179F" w14:paraId="134C5E26" w14:textId="77777777">
        <w:tblPrEx>
          <w:tblCellMar>
            <w:top w:w="0" w:type="dxa"/>
            <w:bottom w:w="0" w:type="dxa"/>
          </w:tblCellMar>
        </w:tblPrEx>
        <w:tc>
          <w:tcPr>
            <w:tcW w:w="2800" w:type="dxa"/>
            <w:tcBorders>
              <w:top w:val="single" w:sz="1" w:space="0" w:color="E8E4DF"/>
              <w:left w:val="single" w:sz="1" w:space="0" w:color="E8E4DF"/>
              <w:bottom w:val="single" w:sz="1" w:space="0" w:color="E8E4DF"/>
              <w:right w:val="single" w:sz="1" w:space="0" w:color="E8E4DF"/>
            </w:tcBorders>
            <w:shd w:val="clear" w:color="auto" w:fill="F7F5F2"/>
            <w:tcMar>
              <w:top w:w="80" w:type="dxa"/>
              <w:left w:w="120" w:type="dxa"/>
              <w:bottom w:w="80" w:type="dxa"/>
              <w:right w:w="120" w:type="dxa"/>
            </w:tcMar>
          </w:tcPr>
          <w:p w14:paraId="7DE64447" w14:textId="77777777" w:rsidR="000A179F" w:rsidRDefault="00000000">
            <w:r>
              <w:rPr>
                <w:b/>
                <w:bCs/>
                <w:sz w:val="19"/>
                <w:szCs w:val="19"/>
              </w:rPr>
              <w:lastRenderedPageBreak/>
              <w:t xml:space="preserve">Registro </w:t>
            </w:r>
            <w:proofErr w:type="spellStart"/>
            <w:r>
              <w:rPr>
                <w:b/>
                <w:bCs/>
                <w:sz w:val="19"/>
                <w:szCs w:val="19"/>
              </w:rPr>
              <w:t>dMRV</w:t>
            </w:r>
            <w:proofErr w:type="spellEnd"/>
            <w:r>
              <w:rPr>
                <w:b/>
                <w:bCs/>
                <w:sz w:val="19"/>
                <w:szCs w:val="19"/>
              </w:rPr>
              <w:t xml:space="preserve"> en </w:t>
            </w:r>
            <w:proofErr w:type="spellStart"/>
            <w:r>
              <w:rPr>
                <w:b/>
                <w:bCs/>
                <w:sz w:val="19"/>
                <w:szCs w:val="19"/>
              </w:rPr>
              <w:t>Planboo</w:t>
            </w:r>
            <w:proofErr w:type="spellEnd"/>
          </w:p>
        </w:tc>
        <w:tc>
          <w:tcPr>
            <w:tcW w:w="380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5D65544" w14:textId="77777777" w:rsidR="000A179F" w:rsidRDefault="00000000">
            <w:r>
              <w:rPr>
                <w:sz w:val="19"/>
                <w:szCs w:val="19"/>
              </w:rPr>
              <w:t>Convierte cada acción en evidencia verificable para CSI</w:t>
            </w:r>
          </w:p>
        </w:tc>
        <w:tc>
          <w:tcPr>
            <w:tcW w:w="3480" w:type="dxa"/>
            <w:tcBorders>
              <w:top w:val="single" w:sz="1" w:space="0" w:color="E8E4DF"/>
              <w:left w:val="single" w:sz="1" w:space="0" w:color="E8E4DF"/>
              <w:bottom w:val="single" w:sz="1" w:space="0" w:color="E8E4DF"/>
              <w:right w:val="single" w:sz="1" w:space="0" w:color="E8E4DF"/>
            </w:tcBorders>
            <w:shd w:val="clear" w:color="auto" w:fill="FAFAF8"/>
            <w:tcMar>
              <w:top w:w="80" w:type="dxa"/>
              <w:left w:w="120" w:type="dxa"/>
              <w:bottom w:w="80" w:type="dxa"/>
              <w:right w:w="120" w:type="dxa"/>
            </w:tcMar>
          </w:tcPr>
          <w:p w14:paraId="0A91B7FF" w14:textId="77777777" w:rsidR="000A179F" w:rsidRDefault="00000000">
            <w:r>
              <w:rPr>
                <w:sz w:val="19"/>
                <w:szCs w:val="19"/>
              </w:rPr>
              <w:t>El extensionista garantiza el registro de cada quema al día hábil siguiente</w:t>
            </w:r>
          </w:p>
        </w:tc>
      </w:tr>
    </w:tbl>
    <w:p w14:paraId="73C4873B" w14:textId="77777777" w:rsidR="000A179F" w:rsidRDefault="000A179F">
      <w:pPr>
        <w:spacing w:after="80"/>
      </w:pPr>
    </w:p>
    <w:p w14:paraId="5584E1D0" w14:textId="77777777" w:rsidR="000A179F" w:rsidRDefault="00000000">
      <w:pPr>
        <w:spacing w:before="200" w:after="60"/>
      </w:pPr>
      <w:r>
        <w:rPr>
          <w:b/>
          <w:bCs/>
          <w:color w:val="DA7052"/>
          <w:sz w:val="22"/>
          <w:szCs w:val="22"/>
        </w:rPr>
        <w:t>El mercado voluntario de carbono — por qué existe y cómo funciona</w:t>
      </w:r>
    </w:p>
    <w:p w14:paraId="65D7BA4F" w14:textId="77777777" w:rsidR="000A179F" w:rsidRDefault="00000000">
      <w:pPr>
        <w:spacing w:before="40" w:after="80"/>
      </w:pPr>
      <w:r>
        <w:t>El mercado voluntario de carbono (MVC) existe porque hay organizaciones — empresas, gobiernos, instituciones — que tienen compromisos de neutralidad climática o Net Zero pero no pueden eliminar el 100% de sus emisiones mediante cambios internos. Compran créditos de carbono verificados para compensar las emisiones que no logran reducir directamente.</w:t>
      </w:r>
    </w:p>
    <w:p w14:paraId="2013490F" w14:textId="77777777" w:rsidR="000A179F" w:rsidRDefault="00000000">
      <w:pPr>
        <w:spacing w:before="40" w:after="80"/>
      </w:pPr>
      <w:r>
        <w:t xml:space="preserve">Un crédito de carbono equivale a una tonelada de CO₂ removida o evitada, verificada por un organismo certificador independiente. Lo que hace el proyecto </w:t>
      </w:r>
      <w:proofErr w:type="spellStart"/>
      <w:r>
        <w:t>Coffee</w:t>
      </w:r>
      <w:proofErr w:type="spellEnd"/>
      <w:r>
        <w:t xml:space="preserve"> </w:t>
      </w:r>
      <w:proofErr w:type="spellStart"/>
      <w:r>
        <w:t>Biochar</w:t>
      </w:r>
      <w:proofErr w:type="spellEnd"/>
      <w:r>
        <w:t xml:space="preserve"> es exactamente eso: produce </w:t>
      </w:r>
      <w:proofErr w:type="spellStart"/>
      <w:r>
        <w:t>biochar</w:t>
      </w:r>
      <w:proofErr w:type="spellEnd"/>
      <w:r>
        <w:t xml:space="preserve">, lo aplica al suelo, lo registra en </w:t>
      </w:r>
      <w:proofErr w:type="spellStart"/>
      <w:r>
        <w:t>Planboo</w:t>
      </w:r>
      <w:proofErr w:type="spellEnd"/>
      <w:r>
        <w:t xml:space="preserve">, y un certificador independiente (CERES, bajo el estándar CSI) verifica que la remoción ocurrió. </w:t>
      </w:r>
      <w:proofErr w:type="spellStart"/>
      <w:r>
        <w:t>Biodiversal</w:t>
      </w:r>
      <w:proofErr w:type="spellEnd"/>
      <w:r>
        <w:t xml:space="preserve"> entonces puede vender esos créditos en el MVC.</w:t>
      </w:r>
    </w:p>
    <w:p w14:paraId="1EE68E8E"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0A179F" w14:paraId="79D8259F"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F7A9B7" w14:textId="77777777" w:rsidR="000A179F" w:rsidRDefault="000A179F"/>
        </w:tc>
        <w:tc>
          <w:tcPr>
            <w:tcW w:w="9980" w:type="dxa"/>
            <w:tcBorders>
              <w:top w:val="single" w:sz="1" w:space="0" w:color="50827C"/>
              <w:left w:val="single" w:sz="1" w:space="0" w:color="50827C"/>
              <w:bottom w:val="single" w:sz="1" w:space="0" w:color="50827C"/>
              <w:right w:val="single" w:sz="1" w:space="0" w:color="50827C"/>
            </w:tcBorders>
            <w:shd w:val="clear" w:color="auto" w:fill="50827C"/>
            <w:tcMar>
              <w:top w:w="120" w:type="dxa"/>
              <w:left w:w="160" w:type="dxa"/>
              <w:bottom w:w="120" w:type="dxa"/>
              <w:right w:w="160" w:type="dxa"/>
            </w:tcMar>
          </w:tcPr>
          <w:p w14:paraId="713699EF" w14:textId="77777777" w:rsidR="000A179F" w:rsidRDefault="00000000">
            <w:pPr>
              <w:spacing w:after="80"/>
            </w:pPr>
            <w:r>
              <w:rPr>
                <w:b/>
                <w:bCs/>
                <w:color w:val="FFFFFF"/>
                <w:sz w:val="18"/>
                <w:szCs w:val="18"/>
              </w:rPr>
              <w:t>DATO CLAVE — la conexión con tu trabajo diario</w:t>
            </w:r>
          </w:p>
          <w:p w14:paraId="56BC5877" w14:textId="77777777" w:rsidR="000A179F" w:rsidRDefault="00000000">
            <w:pPr>
              <w:spacing w:after="60"/>
            </w:pPr>
            <w:r>
              <w:rPr>
                <w:color w:val="FFFFFF"/>
              </w:rPr>
              <w:t xml:space="preserve">Tu registro correcto en </w:t>
            </w:r>
            <w:proofErr w:type="spellStart"/>
            <w:r>
              <w:rPr>
                <w:color w:val="FFFFFF"/>
              </w:rPr>
              <w:t>Planboo</w:t>
            </w:r>
            <w:proofErr w:type="spellEnd"/>
            <w:r>
              <w:rPr>
                <w:color w:val="FFFFFF"/>
              </w:rPr>
              <w:t xml:space="preserve"> → quema existe para CSI → crédito se verifica → </w:t>
            </w:r>
            <w:proofErr w:type="spellStart"/>
            <w:r>
              <w:rPr>
                <w:color w:val="FFFFFF"/>
              </w:rPr>
              <w:t>Biodiversal</w:t>
            </w:r>
            <w:proofErr w:type="spellEnd"/>
            <w:r>
              <w:rPr>
                <w:color w:val="FFFFFF"/>
              </w:rPr>
              <w:t xml:space="preserve"> vende → productor recibe ingreso.</w:t>
            </w:r>
          </w:p>
          <w:p w14:paraId="129AA3A0" w14:textId="77777777" w:rsidR="000A179F" w:rsidRDefault="00000000">
            <w:pPr>
              <w:spacing w:after="60"/>
            </w:pPr>
            <w:r>
              <w:rPr>
                <w:color w:val="FFFFFF"/>
              </w:rPr>
              <w:t>Un registro faltante → esa quema no existe → crédito no se emite → ingreso del productor se reduce.</w:t>
            </w:r>
          </w:p>
          <w:p w14:paraId="5183F529" w14:textId="77777777" w:rsidR="000A179F" w:rsidRDefault="00000000">
            <w:pPr>
              <w:spacing w:after="60"/>
            </w:pPr>
            <w:r>
              <w:rPr>
                <w:color w:val="FFFFFF"/>
              </w:rPr>
              <w:t xml:space="preserve">Además: si los </w:t>
            </w:r>
            <w:proofErr w:type="spellStart"/>
            <w:r>
              <w:rPr>
                <w:color w:val="FFFFFF"/>
              </w:rPr>
              <w:t>KPIs</w:t>
            </w:r>
            <w:proofErr w:type="spellEnd"/>
            <w:r>
              <w:rPr>
                <w:color w:val="FFFFFF"/>
              </w:rPr>
              <w:t xml:space="preserve"> del clúster se cumplen, la tasa de interés de </w:t>
            </w:r>
            <w:proofErr w:type="spellStart"/>
            <w:r>
              <w:rPr>
                <w:color w:val="FFFFFF"/>
              </w:rPr>
              <w:t>Incofin</w:t>
            </w:r>
            <w:proofErr w:type="spellEnd"/>
            <w:r>
              <w:rPr>
                <w:color w:val="FFFFFF"/>
              </w:rPr>
              <w:t xml:space="preserve"> baja. Eso se traduce en más ingreso para las familias del clúster.</w:t>
            </w:r>
          </w:p>
          <w:p w14:paraId="4E60FD09" w14:textId="77777777" w:rsidR="000A179F" w:rsidRDefault="00000000">
            <w:pPr>
              <w:spacing w:after="60"/>
            </w:pPr>
            <w:r>
              <w:rPr>
                <w:color w:val="FFFFFF"/>
              </w:rPr>
              <w:t>No estás registrando datos. Estás operando las condiciones del ingreso de los productores que acompañas.</w:t>
            </w:r>
          </w:p>
        </w:tc>
      </w:tr>
    </w:tbl>
    <w:p w14:paraId="74283F6B" w14:textId="77777777" w:rsidR="000A179F" w:rsidRDefault="000A179F">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
        <w:gridCol w:w="9980"/>
      </w:tblGrid>
      <w:tr w:rsidR="000A179F" w14:paraId="054A45E6" w14:textId="77777777">
        <w:tblPrEx>
          <w:tblCellMar>
            <w:top w:w="0" w:type="dxa"/>
            <w:bottom w:w="0" w:type="dxa"/>
          </w:tblCellMar>
        </w:tblPrEx>
        <w:tc>
          <w:tcPr>
            <w:tcW w:w="100" w:type="dxa"/>
            <w:tcBorders>
              <w:top w:val="none" w:sz="0" w:space="0" w:color="FFFFFF"/>
              <w:left w:val="none" w:sz="0" w:space="0" w:color="FFFFFF"/>
              <w:bottom w:val="none" w:sz="0" w:space="0" w:color="FFFFFF"/>
              <w:right w:val="none" w:sz="0" w:space="0" w:color="FFFFFF"/>
            </w:tcBorders>
            <w:shd w:val="clear" w:color="auto" w:fill="DA7052"/>
            <w:tcMar>
              <w:top w:w="0" w:type="dxa"/>
              <w:left w:w="0" w:type="dxa"/>
              <w:bottom w:w="0" w:type="dxa"/>
              <w:right w:w="0" w:type="dxa"/>
            </w:tcMar>
          </w:tcPr>
          <w:p w14:paraId="4715D30C" w14:textId="77777777" w:rsidR="000A179F" w:rsidRDefault="000A179F"/>
        </w:tc>
        <w:tc>
          <w:tcPr>
            <w:tcW w:w="9980" w:type="dxa"/>
            <w:tcBorders>
              <w:top w:val="single" w:sz="1" w:space="0" w:color="3E4D58"/>
              <w:left w:val="single" w:sz="1" w:space="0" w:color="3E4D58"/>
              <w:bottom w:val="single" w:sz="1" w:space="0" w:color="3E4D58"/>
              <w:right w:val="single" w:sz="1" w:space="0" w:color="3E4D58"/>
            </w:tcBorders>
            <w:shd w:val="clear" w:color="auto" w:fill="3E4D58"/>
            <w:tcMar>
              <w:top w:w="120" w:type="dxa"/>
              <w:left w:w="160" w:type="dxa"/>
              <w:bottom w:w="120" w:type="dxa"/>
              <w:right w:w="160" w:type="dxa"/>
            </w:tcMar>
          </w:tcPr>
          <w:p w14:paraId="2B4E51D8" w14:textId="77777777" w:rsidR="000A179F" w:rsidRDefault="00000000">
            <w:pPr>
              <w:spacing w:after="80"/>
            </w:pPr>
            <w:r>
              <w:rPr>
                <w:b/>
                <w:bCs/>
                <w:color w:val="DA7052"/>
                <w:sz w:val="18"/>
                <w:szCs w:val="18"/>
              </w:rPr>
              <w:t>FRASE PARA EL CAMPO — cuando el productor pregunte '¿y esto para qué sirve?'</w:t>
            </w:r>
          </w:p>
          <w:p w14:paraId="76A6A72E" w14:textId="77777777" w:rsidR="000A179F" w:rsidRDefault="00000000">
            <w:pPr>
              <w:spacing w:after="60"/>
            </w:pPr>
            <w:r>
              <w:rPr>
                <w:color w:val="FFFFFF"/>
              </w:rPr>
              <w:t>"Don Hernando, la zoca que usted quemaba antes liberaba ese carbono al aire en pocas horas.</w:t>
            </w:r>
          </w:p>
          <w:p w14:paraId="72687623" w14:textId="77777777" w:rsidR="000A179F" w:rsidRDefault="00000000">
            <w:pPr>
              <w:spacing w:after="60"/>
            </w:pPr>
            <w:r>
              <w:rPr>
                <w:color w:val="FFFFFF"/>
              </w:rPr>
              <w:t>El horno Kon-</w:t>
            </w:r>
            <w:proofErr w:type="spellStart"/>
            <w:r>
              <w:rPr>
                <w:color w:val="FFFFFF"/>
              </w:rPr>
              <w:t>Tiki</w:t>
            </w:r>
            <w:proofErr w:type="spellEnd"/>
            <w:r>
              <w:rPr>
                <w:color w:val="FFFFFF"/>
              </w:rPr>
              <w:t xml:space="preserve"> convierte esa misma zoca en </w:t>
            </w:r>
            <w:proofErr w:type="spellStart"/>
            <w:r>
              <w:rPr>
                <w:color w:val="FFFFFF"/>
              </w:rPr>
              <w:t>biochar</w:t>
            </w:r>
            <w:proofErr w:type="spellEnd"/>
            <w:r>
              <w:rPr>
                <w:color w:val="FFFFFF"/>
              </w:rPr>
              <w:t>. Ese carbono ya no va al aire — queda en el suelo de su finca, estable, por cientos de años.</w:t>
            </w:r>
          </w:p>
          <w:p w14:paraId="2C89023F" w14:textId="77777777" w:rsidR="000A179F" w:rsidRDefault="00000000">
            <w:pPr>
              <w:spacing w:after="60"/>
            </w:pPr>
            <w:r>
              <w:rPr>
                <w:color w:val="FFFFFF"/>
              </w:rPr>
              <w:t>El carbono que guarda en el suelo es lo que se certifica como crédito. Ese crédito lo compran empresas que necesitan compensar sus emisiones.</w:t>
            </w:r>
          </w:p>
          <w:p w14:paraId="1F27E329" w14:textId="77777777" w:rsidR="000A179F" w:rsidRDefault="00000000">
            <w:pPr>
              <w:spacing w:after="60"/>
            </w:pPr>
            <w:r>
              <w:rPr>
                <w:color w:val="FFFFFF"/>
              </w:rPr>
              <w:t>De ese dinero viene el ingreso adicional que usted recibe.</w:t>
            </w:r>
          </w:p>
          <w:p w14:paraId="58425F2E" w14:textId="77777777" w:rsidR="000A179F" w:rsidRDefault="00000000">
            <w:pPr>
              <w:spacing w:after="60"/>
            </w:pPr>
            <w:r>
              <w:rPr>
                <w:color w:val="FFFFFF"/>
              </w:rPr>
              <w:t xml:space="preserve">No le pagan por el </w:t>
            </w:r>
            <w:proofErr w:type="spellStart"/>
            <w:r>
              <w:rPr>
                <w:color w:val="FFFFFF"/>
              </w:rPr>
              <w:t>biochar</w:t>
            </w:r>
            <w:proofErr w:type="spellEnd"/>
            <w:r>
              <w:rPr>
                <w:color w:val="FFFFFF"/>
              </w:rPr>
              <w:t xml:space="preserve"> en sí — le pagan porque lo que hace con ese </w:t>
            </w:r>
            <w:proofErr w:type="spellStart"/>
            <w:r>
              <w:rPr>
                <w:color w:val="FFFFFF"/>
              </w:rPr>
              <w:t>biochar</w:t>
            </w:r>
            <w:proofErr w:type="spellEnd"/>
            <w:r>
              <w:rPr>
                <w:color w:val="FFFFFF"/>
              </w:rPr>
              <w:t xml:space="preserve"> saca carbono del aire de forma verificada y permanente."</w:t>
            </w:r>
          </w:p>
        </w:tc>
      </w:tr>
    </w:tbl>
    <w:p w14:paraId="0D684866" w14:textId="77777777" w:rsidR="000A179F" w:rsidRDefault="000A179F">
      <w:pPr>
        <w:spacing w:after="80"/>
      </w:pPr>
    </w:p>
    <w:p w14:paraId="74AE1B3D" w14:textId="77777777" w:rsidR="000A179F" w:rsidRDefault="00000000">
      <w:pPr>
        <w:pBdr>
          <w:bottom w:val="single" w:sz="6" w:space="3" w:color="DA7052"/>
        </w:pBdr>
        <w:spacing w:before="320" w:after="100"/>
      </w:pPr>
      <w:r>
        <w:rPr>
          <w:rFonts w:ascii="Georgia" w:eastAsia="Georgia" w:hAnsi="Georgia" w:cs="Georgia"/>
          <w:b/>
          <w:bCs/>
          <w:sz w:val="30"/>
          <w:szCs w:val="30"/>
        </w:rPr>
        <w:t>Autoevaluación — activa lo que aprendiste</w:t>
      </w:r>
    </w:p>
    <w:p w14:paraId="5657D71D" w14:textId="77777777" w:rsidR="000A179F" w:rsidRDefault="00000000">
      <w:pPr>
        <w:spacing w:before="40" w:after="80"/>
      </w:pPr>
      <w:r>
        <w:t>Responde con tus propias palabras. Evita copiar frases de la lectura — el objetivo es verificar que el concepto quedó tuyo, no del texto.</w:t>
      </w:r>
    </w:p>
    <w:p w14:paraId="02E45938" w14:textId="77777777" w:rsidR="000A179F" w:rsidRDefault="000A179F">
      <w:pPr>
        <w:spacing w:after="80"/>
      </w:pPr>
    </w:p>
    <w:p w14:paraId="0D3F591E" w14:textId="77777777" w:rsidR="000A179F" w:rsidRDefault="00000000">
      <w:pPr>
        <w:pStyle w:val="Prrafodelista"/>
        <w:numPr>
          <w:ilvl w:val="0"/>
          <w:numId w:val="2"/>
        </w:numPr>
        <w:spacing w:before="60" w:after="80"/>
      </w:pPr>
      <w:r>
        <w:t>¿Cuál es la concentración actual de CO₂ en la atmósfera y cuál era antes de la industrialización? ¿Por qué ese incremento importa para el proyecto específicamente?</w:t>
      </w:r>
    </w:p>
    <w:p w14:paraId="524A87FA" w14:textId="77777777" w:rsidR="000A179F" w:rsidRDefault="00000000">
      <w:pPr>
        <w:pStyle w:val="Prrafodelista"/>
        <w:numPr>
          <w:ilvl w:val="0"/>
          <w:numId w:val="2"/>
        </w:numPr>
        <w:spacing w:before="60" w:after="80"/>
      </w:pPr>
      <w:r>
        <w:t xml:space="preserve">Explica en dos frases la diferencia entre el destino del carbono cuando se quema la zoca y cuando se convierte en </w:t>
      </w:r>
      <w:proofErr w:type="spellStart"/>
      <w:r>
        <w:t>biochar</w:t>
      </w:r>
      <w:proofErr w:type="spellEnd"/>
      <w:r>
        <w:t>. Usa el lenguaje que le usarías a Don Hernando, no el de un informe técnico.</w:t>
      </w:r>
    </w:p>
    <w:p w14:paraId="104F5582" w14:textId="77777777" w:rsidR="000A179F" w:rsidRDefault="00000000">
      <w:pPr>
        <w:pStyle w:val="Prrafodelista"/>
        <w:numPr>
          <w:ilvl w:val="0"/>
          <w:numId w:val="2"/>
        </w:numPr>
        <w:spacing w:before="60" w:after="80"/>
      </w:pPr>
      <w:r>
        <w:t>El suelo puede ser sumidero o fuente de carbono. ¿Qué determina cuál de los dos es el suelo de una finca cafetera en Ataco? Menciona al menos dos factores.</w:t>
      </w:r>
    </w:p>
    <w:p w14:paraId="4E9022A9" w14:textId="77777777" w:rsidR="000A179F" w:rsidRDefault="00000000">
      <w:pPr>
        <w:pStyle w:val="Prrafodelista"/>
        <w:numPr>
          <w:ilvl w:val="0"/>
          <w:numId w:val="2"/>
        </w:numPr>
        <w:spacing w:before="60" w:after="80"/>
      </w:pPr>
      <w:r>
        <w:t xml:space="preserve">Recuerda o imagina una conversación con un productor escéptico. ¿Qué pregunta te haría que te resultaría más difícil responder sobre el cambio climático o el </w:t>
      </w:r>
      <w:proofErr w:type="spellStart"/>
      <w:r>
        <w:t>biochar</w:t>
      </w:r>
      <w:proofErr w:type="spellEnd"/>
      <w:r>
        <w:t>? Escribe esa pregunta y tu respuesta.</w:t>
      </w:r>
    </w:p>
    <w:p w14:paraId="0A8E7D59" w14:textId="77777777" w:rsidR="000A179F" w:rsidRDefault="00000000">
      <w:pPr>
        <w:pStyle w:val="Prrafodelista"/>
        <w:numPr>
          <w:ilvl w:val="0"/>
          <w:numId w:val="2"/>
        </w:numPr>
        <w:spacing w:before="60" w:after="80"/>
      </w:pPr>
      <w:r>
        <w:lastRenderedPageBreak/>
        <w:t xml:space="preserve">¿Cómo conecta tu trabajo de registro diario en </w:t>
      </w:r>
      <w:proofErr w:type="spellStart"/>
      <w:r>
        <w:t>Planboo</w:t>
      </w:r>
      <w:proofErr w:type="spellEnd"/>
      <w:r>
        <w:t xml:space="preserve"> con el precio del crédito de carbono que recibe el productor? Describe la cadena completa en no más de cinco pasos.</w:t>
      </w:r>
    </w:p>
    <w:p w14:paraId="176B6B8B" w14:textId="77777777" w:rsidR="000A179F" w:rsidRDefault="000A179F">
      <w:pPr>
        <w:spacing w:after="80"/>
      </w:pPr>
    </w:p>
    <w:p w14:paraId="0F096D6B" w14:textId="77777777" w:rsidR="000A179F" w:rsidRDefault="00000000">
      <w:pPr>
        <w:pBdr>
          <w:top w:val="single" w:sz="2" w:space="4" w:color="E8E4DF"/>
        </w:pBdr>
        <w:spacing w:before="280"/>
        <w:jc w:val="center"/>
      </w:pPr>
      <w:r>
        <w:rPr>
          <w:color w:val="6B7280"/>
          <w:sz w:val="15"/>
          <w:szCs w:val="15"/>
        </w:rPr>
        <w:t xml:space="preserve">BIODIVERSAL SAS BIC — Agricultura Regenerativa  |  Línea </w:t>
      </w:r>
      <w:proofErr w:type="spellStart"/>
      <w:r>
        <w:rPr>
          <w:color w:val="6B7280"/>
          <w:sz w:val="15"/>
          <w:szCs w:val="15"/>
        </w:rPr>
        <w:t>Bioimpacto</w:t>
      </w:r>
      <w:proofErr w:type="spellEnd"/>
      <w:r>
        <w:rPr>
          <w:color w:val="6B7280"/>
          <w:sz w:val="15"/>
          <w:szCs w:val="15"/>
        </w:rPr>
        <w:t xml:space="preserve">  |  Proyecto </w:t>
      </w:r>
      <w:proofErr w:type="spellStart"/>
      <w:r>
        <w:rPr>
          <w:color w:val="6B7280"/>
          <w:sz w:val="15"/>
          <w:szCs w:val="15"/>
        </w:rPr>
        <w:t>Coffee</w:t>
      </w:r>
      <w:proofErr w:type="spellEnd"/>
      <w:r>
        <w:rPr>
          <w:color w:val="6B7280"/>
          <w:sz w:val="15"/>
          <w:szCs w:val="15"/>
        </w:rPr>
        <w:t xml:space="preserve"> </w:t>
      </w:r>
      <w:proofErr w:type="spellStart"/>
      <w:r>
        <w:rPr>
          <w:color w:val="6B7280"/>
          <w:sz w:val="15"/>
          <w:szCs w:val="15"/>
        </w:rPr>
        <w:t>Biochar</w:t>
      </w:r>
      <w:proofErr w:type="spellEnd"/>
      <w:r>
        <w:rPr>
          <w:color w:val="6B7280"/>
          <w:sz w:val="15"/>
          <w:szCs w:val="15"/>
        </w:rPr>
        <w:t xml:space="preserve">  |  Guía de Lectura  —  Sesión 2.1 — Cambio Climático y el Rol del Suelo  |  v1.0 — 2025</w:t>
      </w:r>
    </w:p>
    <w:sectPr w:rsidR="000A17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13080"/>
    <w:multiLevelType w:val="hybridMultilevel"/>
    <w:tmpl w:val="9C00224C"/>
    <w:lvl w:ilvl="0" w:tplc="2A0A4EF8">
      <w:start w:val="1"/>
      <w:numFmt w:val="bullet"/>
      <w:lvlText w:val="●"/>
      <w:lvlJc w:val="left"/>
      <w:pPr>
        <w:ind w:left="720" w:hanging="360"/>
      </w:pPr>
    </w:lvl>
    <w:lvl w:ilvl="1" w:tplc="FF60AF44">
      <w:start w:val="1"/>
      <w:numFmt w:val="bullet"/>
      <w:lvlText w:val="○"/>
      <w:lvlJc w:val="left"/>
      <w:pPr>
        <w:ind w:left="1440" w:hanging="360"/>
      </w:pPr>
    </w:lvl>
    <w:lvl w:ilvl="2" w:tplc="5968568E">
      <w:start w:val="1"/>
      <w:numFmt w:val="bullet"/>
      <w:lvlText w:val="■"/>
      <w:lvlJc w:val="left"/>
      <w:pPr>
        <w:ind w:left="2160" w:hanging="360"/>
      </w:pPr>
    </w:lvl>
    <w:lvl w:ilvl="3" w:tplc="ED9AEB60">
      <w:start w:val="1"/>
      <w:numFmt w:val="bullet"/>
      <w:lvlText w:val="●"/>
      <w:lvlJc w:val="left"/>
      <w:pPr>
        <w:ind w:left="2880" w:hanging="360"/>
      </w:pPr>
    </w:lvl>
    <w:lvl w:ilvl="4" w:tplc="511E5120">
      <w:start w:val="1"/>
      <w:numFmt w:val="bullet"/>
      <w:lvlText w:val="○"/>
      <w:lvlJc w:val="left"/>
      <w:pPr>
        <w:ind w:left="3600" w:hanging="360"/>
      </w:pPr>
    </w:lvl>
    <w:lvl w:ilvl="5" w:tplc="A426EBB2">
      <w:start w:val="1"/>
      <w:numFmt w:val="bullet"/>
      <w:lvlText w:val="■"/>
      <w:lvlJc w:val="left"/>
      <w:pPr>
        <w:ind w:left="4320" w:hanging="360"/>
      </w:pPr>
    </w:lvl>
    <w:lvl w:ilvl="6" w:tplc="BDD081FA">
      <w:start w:val="1"/>
      <w:numFmt w:val="bullet"/>
      <w:lvlText w:val="●"/>
      <w:lvlJc w:val="left"/>
      <w:pPr>
        <w:ind w:left="5040" w:hanging="360"/>
      </w:pPr>
    </w:lvl>
    <w:lvl w:ilvl="7" w:tplc="E5FCBBBC">
      <w:start w:val="1"/>
      <w:numFmt w:val="bullet"/>
      <w:lvlText w:val="●"/>
      <w:lvlJc w:val="left"/>
      <w:pPr>
        <w:ind w:left="5760" w:hanging="360"/>
      </w:pPr>
    </w:lvl>
    <w:lvl w:ilvl="8" w:tplc="CBC6E62A">
      <w:start w:val="1"/>
      <w:numFmt w:val="bullet"/>
      <w:lvlText w:val="●"/>
      <w:lvlJc w:val="left"/>
      <w:pPr>
        <w:ind w:left="6480" w:hanging="360"/>
      </w:pPr>
    </w:lvl>
  </w:abstractNum>
  <w:abstractNum w:abstractNumId="1" w15:restartNumberingAfterBreak="0">
    <w:nsid w:val="338B243B"/>
    <w:multiLevelType w:val="hybridMultilevel"/>
    <w:tmpl w:val="33B86146"/>
    <w:lvl w:ilvl="0" w:tplc="3670C5A6">
      <w:start w:val="1"/>
      <w:numFmt w:val="bullet"/>
      <w:lvlText w:val="•"/>
      <w:lvlJc w:val="left"/>
      <w:pPr>
        <w:spacing w:before="40" w:after="60"/>
        <w:ind w:left="720" w:hanging="360"/>
      </w:pPr>
    </w:lvl>
    <w:lvl w:ilvl="1" w:tplc="E9923C2C">
      <w:numFmt w:val="decimal"/>
      <w:lvlText w:val=""/>
      <w:lvlJc w:val="left"/>
    </w:lvl>
    <w:lvl w:ilvl="2" w:tplc="B906C8A2">
      <w:numFmt w:val="decimal"/>
      <w:lvlText w:val=""/>
      <w:lvlJc w:val="left"/>
    </w:lvl>
    <w:lvl w:ilvl="3" w:tplc="AA2A8D0E">
      <w:numFmt w:val="decimal"/>
      <w:lvlText w:val=""/>
      <w:lvlJc w:val="left"/>
    </w:lvl>
    <w:lvl w:ilvl="4" w:tplc="FBEE9B34">
      <w:numFmt w:val="decimal"/>
      <w:lvlText w:val=""/>
      <w:lvlJc w:val="left"/>
    </w:lvl>
    <w:lvl w:ilvl="5" w:tplc="A4723790">
      <w:numFmt w:val="decimal"/>
      <w:lvlText w:val=""/>
      <w:lvlJc w:val="left"/>
    </w:lvl>
    <w:lvl w:ilvl="6" w:tplc="F530C448">
      <w:numFmt w:val="decimal"/>
      <w:lvlText w:val=""/>
      <w:lvlJc w:val="left"/>
    </w:lvl>
    <w:lvl w:ilvl="7" w:tplc="74847C86">
      <w:numFmt w:val="decimal"/>
      <w:lvlText w:val=""/>
      <w:lvlJc w:val="left"/>
    </w:lvl>
    <w:lvl w:ilvl="8" w:tplc="918E9550">
      <w:numFmt w:val="decimal"/>
      <w:lvlText w:val=""/>
      <w:lvlJc w:val="left"/>
    </w:lvl>
  </w:abstractNum>
  <w:abstractNum w:abstractNumId="2" w15:restartNumberingAfterBreak="0">
    <w:nsid w:val="522C195B"/>
    <w:multiLevelType w:val="hybridMultilevel"/>
    <w:tmpl w:val="FCFCF47E"/>
    <w:lvl w:ilvl="0" w:tplc="0F86D58C">
      <w:start w:val="1"/>
      <w:numFmt w:val="decimal"/>
      <w:lvlText w:val="%1."/>
      <w:lvlJc w:val="left"/>
      <w:pPr>
        <w:spacing w:before="40" w:after="60"/>
        <w:ind w:left="720" w:hanging="360"/>
      </w:pPr>
    </w:lvl>
    <w:lvl w:ilvl="1" w:tplc="F9421A08">
      <w:numFmt w:val="decimal"/>
      <w:lvlText w:val=""/>
      <w:lvlJc w:val="left"/>
    </w:lvl>
    <w:lvl w:ilvl="2" w:tplc="27DEF8B4">
      <w:numFmt w:val="decimal"/>
      <w:lvlText w:val=""/>
      <w:lvlJc w:val="left"/>
    </w:lvl>
    <w:lvl w:ilvl="3" w:tplc="C6703A90">
      <w:numFmt w:val="decimal"/>
      <w:lvlText w:val=""/>
      <w:lvlJc w:val="left"/>
    </w:lvl>
    <w:lvl w:ilvl="4" w:tplc="35D6C794">
      <w:numFmt w:val="decimal"/>
      <w:lvlText w:val=""/>
      <w:lvlJc w:val="left"/>
    </w:lvl>
    <w:lvl w:ilvl="5" w:tplc="286624D0">
      <w:numFmt w:val="decimal"/>
      <w:lvlText w:val=""/>
      <w:lvlJc w:val="left"/>
    </w:lvl>
    <w:lvl w:ilvl="6" w:tplc="87E284D4">
      <w:numFmt w:val="decimal"/>
      <w:lvlText w:val=""/>
      <w:lvlJc w:val="left"/>
    </w:lvl>
    <w:lvl w:ilvl="7" w:tplc="36829CCA">
      <w:numFmt w:val="decimal"/>
      <w:lvlText w:val=""/>
      <w:lvlJc w:val="left"/>
    </w:lvl>
    <w:lvl w:ilvl="8" w:tplc="7BE0C0F4">
      <w:numFmt w:val="decimal"/>
      <w:lvlText w:val=""/>
      <w:lvlJc w:val="left"/>
    </w:lvl>
  </w:abstractNum>
  <w:num w:numId="1" w16cid:durableId="868377194">
    <w:abstractNumId w:val="0"/>
    <w:lvlOverride w:ilvl="0">
      <w:startOverride w:val="1"/>
    </w:lvlOverride>
  </w:num>
  <w:num w:numId="2" w16cid:durableId="357366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79F"/>
    <w:rsid w:val="000A179F"/>
    <w:rsid w:val="003D44DF"/>
    <w:rsid w:val="008150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D1AC897"/>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E4D58"/>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2300</Words>
  <Characters>12656</Characters>
  <Application>Microsoft Office Word</Application>
  <DocSecurity>0</DocSecurity>
  <Lines>105</Lines>
  <Paragraphs>29</Paragraphs>
  <ScaleCrop>false</ScaleCrop>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2026-03-06T19:15:00Z</dcterms:created>
  <dcterms:modified xsi:type="dcterms:W3CDTF">2026-03-06T19:15:00Z</dcterms:modified>
</cp:coreProperties>
</file>