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Lectura Complementaria S2.2</w:t>
      </w:r>
    </w:p>
    <w:p>
      <w:pPr>
        <w:pStyle w:val="Ttulo2"/>
      </w:pPr>
      <w:r>
        <w:t>Mercados voluntarios de carbono y metodologías de certificación</w:t>
      </w:r>
    </w:p>
    <w:p>
      <w:pPr>
        <w:jc w:val="center"/>
      </w:pPr>
      <w:r>
        <w:rPr>
          <w:b/>
          <w:sz w:val="22"/>
        </w:rPr>
        <w:t>Coffee Biochar Academy — Módulo 02: Fundamentos del proyecto y carbono</w:t>
      </w:r>
    </w:p>
    <w:p>
      <w:pPr>
        <w:jc w:val="center"/>
      </w:pPr>
      <w:r>
        <w:rPr>
          <w:b/>
          <w:sz w:val="22"/>
        </w:rPr>
        <w:t>Equipo Biodiversal | 2026</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2.2_mercado_carbono.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Arquitectura del mercado voluntario de carbono: actores, estándares y flujos de créditos.</w:t>
      </w:r>
    </w:p>
    <w:p>
      <w:pPr>
        <w:pStyle w:val="Ttulo2"/>
      </w:pPr>
      <w:r>
        <w:t>Introducción</w:t>
      </w:r>
    </w:p>
    <w:p>
      <w:pPr/>
      <w:r>
        <w:t>Cuando un caficultor aplica biochar en su lote y ese acto queda registrado en una plataforma digital, verificado por un auditor externo y convertido en un certificado que una empresa en Europa o Asia compra para compensar sus emisiones, está participando en uno de los mercados más dinámicos y debatidos de la economía global: el mercado voluntario de carbono (</w:t>
      </w:r>
      <w:r>
        <w:rPr>
          <w:i/>
        </w:rPr>
        <w:t>Voluntary Carbon Market</w:t>
      </w:r>
      <w:r>
        <w:t>, VCM). Este mercado no existe por azar: es el resultado de décadas de negociaciones internacionales sobre el clima, de la incapacidad histórica de los gobiernos para acordar precios globales del carbono obligatorios, y de la presión creciente sobre corporaciones para que respondan de sus emisiones ante accionistas, reguladores y consumidores.</w:t>
      </w:r>
    </w:p>
    <w:p>
      <w:pPr/>
      <w:r>
        <w:t>Comprender cómo funciona este mercado —su lógica, su historia, sus estándares y sus limitaciones— no es solo un requisito técnico para el extensionista del Coffee Biochar Academy. Es la diferencia entre ser un operador que ejecuta sin comprender y ser un profesional capaz de explicarle a un caficultor de Caldas por qué su trabajo genera un crédito con valor real en el mercado global, qué garantiza que ese crédito representa una reducción real de emisiones, y por qué la calidad del proceso importa tanto como el volumen de biochar producido. Esta comprensión es también la que permite al extensionista anticipar preguntas difíciles —¿es esto real o es un engaño?— con respuestas honestas y fundamentadas en la evidencia.</w:t>
      </w:r>
    </w:p>
    <w:p>
      <w:pPr/>
      <w:r>
        <w:t>Esta lectura presenta la historia y estructura del VCM, los principios fundamentales que determinan la integridad de un crédito de carbono, los principales estándares del mercado relevantes para el biochar artesanal, el estado crítico del debate sobre la eficacia del mercado, y las implicaciones prácticas para el trabajo de extensión en territorio cafetero.</w:t>
      </w:r>
    </w:p>
    <w:p>
      <w:pPr>
        <w:pStyle w:val="Ttulo2"/>
      </w:pPr>
      <w:r>
        <w:t>1. Historia y estructura del mercado voluntario de carbono</w:t>
      </w:r>
    </w:p>
    <w:p>
      <w:pPr>
        <w:pStyle w:val="Ttulo3"/>
      </w:pPr>
      <w:r>
        <w:t>1.1 Del Protocolo de Kyoto al Acuerdo de París</w:t>
      </w:r>
    </w:p>
    <w:p>
      <w:pPr/>
      <w:r>
        <w:t xml:space="preserve">Los mercados de carbono nacieron como instrumento del Protocolo de Kyoto de 1997, el primer tratado vinculante sobre reducción de emisiones de gases de efecto invernadero. Kyoto introdujo tres mecanismos de mercado: el comercio de emisiones entre países industrializados, la Implementación Conjunta entre países del Anexo I, y el Mecanismo de Desarrollo Limpio (MDL, o CDM por sus siglas en inglés), que permitía a países industrializados financiar proyectos de reducción de emisiones en países en desarrollo y recibir créditos </w:t>
      </w:r>
      <w:r>
        <w:rPr>
          <w:i/>
        </w:rPr>
        <w:t>Certified Emission Reductions</w:t>
      </w:r>
      <w:r>
        <w:t xml:space="preserve"> (CERs) a cambio. Michaelowa, Shishlov y Brescia (2019), en una revisión histórica exhaustiva publicada en </w:t>
      </w:r>
      <w:r>
        <w:rPr>
          <w:i/>
        </w:rPr>
        <w:t>WIREs Climate Change</w:t>
      </w:r>
      <w:r>
        <w:t>, documentaron la evolución de este sistema a lo largo de más de dos décadas: más de 7.700 proyectos CDM registrados, con 2,1 gigatoneladas de CO₂e certificadas entre 1997 y 2019, y un mercado que en 2008 movió USD 135 mil millones en su pico de actividad.</w:t>
      </w:r>
    </w:p>
    <w:p>
      <w:pPr/>
      <w:r>
        <w:t xml:space="preserve">El mercado </w:t>
      </w:r>
      <w:r>
        <w:rPr>
          <w:i/>
        </w:rPr>
        <w:t>voluntario</w:t>
      </w:r>
      <w:r>
        <w:t xml:space="preserve"> emergió en paralelo al CDM: empresas y particulares que, sin obligación legal, querían compensar sus emisiones desarrollaron proyectos y estándares de certificación privados. A diferencia del mercado de cumplimiento, donde las reglas las impone el Estado o los tratados internacionales, el VCM opera sobre la base de estándares privados cuya credibilidad depende exclusivamente de su rigor metodológico y de la reputación acumulada por los organismos que los desarrollan.</w:t>
      </w:r>
    </w:p>
    <w:p>
      <w:pPr/>
      <w:r>
        <w:t xml:space="preserve">El Acuerdo de París (2015) marcó un punto de inflexión fundamental en la arquitectura del mercado. A diferencia de Kyoto, que imponía cuotas de reducción a países específicos, el Acuerdo de París establece que cada nación define sus propias Contribuciones Determinadas a Nivel Nacional (NDC). El artículo 6 del Acuerdo habilita la cooperación internacional mediante mecanismos de mercado, pero introduce un requisito nuevo y decisivo: los </w:t>
      </w:r>
      <w:r>
        <w:rPr>
          <w:i/>
        </w:rPr>
        <w:t>ajustes correspondientes</w:t>
      </w:r>
      <w:r>
        <w:t xml:space="preserve"> (</w:t>
      </w:r>
      <w:r>
        <w:rPr>
          <w:i/>
        </w:rPr>
        <w:t>corresponding adjustments</w:t>
      </w:r>
      <w:r>
        <w:t xml:space="preserve">), diseñados para evitar que un mismo crédito se contabilice dos veces —una por la empresa compradora y otra por el país donde se generó en el marco de sus NDC. Kreibich (2024), en una revisión publicada en </w:t>
      </w:r>
      <w:r>
        <w:rPr>
          <w:i/>
        </w:rPr>
        <w:t>WIREs Climate Change</w:t>
      </w:r>
      <w:r>
        <w:t>, describe la tensión fundamental que esto crea: los créditos vendidos a compradores internacionales sin ajuste correspondiente del país anfitrión no garantizan integridad ambiental bajo la arquitectura del Acuerdo de París, lo que divide al mercado entre estándares que exigen el ajuste y aquellos que aún no lo requieren de manera sistemática.</w:t>
      </w:r>
    </w:p>
    <w:p>
      <w:pPr>
        <w:pStyle w:val="Ttulo3"/>
      </w:pPr>
      <w:r>
        <w:t>1.2 El mercado voluntario en la era post-París: escala, segmentos y tendencias</w:t>
      </w:r>
    </w:p>
    <w:p>
      <w:pPr/>
      <w:r>
        <w:t xml:space="preserve">La demanda corporativa en el VCM creció exponencialmente entre 2018 y 2022, impulsada por compromisos </w:t>
      </w:r>
      <w:r>
        <w:rPr>
          <w:i/>
        </w:rPr>
        <w:t>net-zero</w:t>
      </w:r>
      <w:r>
        <w:t xml:space="preserve"> de cientos de grandes corporaciones que adoptaron estos objetivos ante la presión de accionistas institucionales, marcos regulatorios emergentes y compromisos públicos. Streck (2021), en </w:t>
      </w:r>
      <w:r>
        <w:rPr>
          <w:i/>
        </w:rPr>
        <w:t>Journal of Energy &amp; Natural Resources Law</w:t>
      </w:r>
      <w:r>
        <w:t>, documentó que la demanda corporativa en el VCM casi se triplicó en los tres años anteriores a la publicación, señalando al mercado voluntario como un driver real de mitigación en países en desarrollo donde los créditos se generan pero los mercados de cumplimiento no alcanzan. En 2021, el VCM superó por primera vez los USD 1.000 millones en transacciones anuales según datos de Ecosystem Marketplace.</w:t>
      </w:r>
    </w:p>
    <w:p>
      <w:pPr/>
      <w:r>
        <w:t>Los precios promedio por tonelada de CO₂e han oscilado entre USD 4 y 8 para el mercado general, pero la dispersión es enorme: créditos de baja calidad se venden por debajo de USD 2/t, mientras que créditos de remoción de carbono de alta durabilidad —la categoría en la que califica el biochar artesanal certificado— se transaccionan en rangos de USD 50-200/t en plataformas especializadas. Una prima de hasta el 78% para créditos que incorporan co-beneficios certificados en biodiversidad, comunidades locales o mejora del suelo confirma que el mercado premia la calidad verificable sobre el volumen.</w:t>
      </w:r>
    </w:p>
    <w:p>
      <w:pPr/>
      <w:r>
        <w:t>El segmento de biochar y remoción de carbono de alta durabilidad (</w:t>
      </w:r>
      <w:r>
        <w:rPr>
          <w:i/>
        </w:rPr>
        <w:t>Carbon Dioxide Removal</w:t>
      </w:r>
      <w:r>
        <w:t>, CDR) es uno de los de crecimiento más acelerado. A diferencia de los proyectos de forestación o REDD+, que dependen de árboles que pueden morir, arder o ser talados, el biochar ofrece permanencia verificable de más de 100 años mediante caracterización química directa del material producido. Esta característica le confiere una categoría de riesgo climático inferior en el lenguaje del mercado, y una prima de precio creciente que refleja la escasez de créditos con permanencia demostrada.</w:t>
      </w:r>
    </w:p>
    <w:p>
      <w:pPr>
        <w:pStyle w:val="Ttulo2"/>
      </w:pPr>
      <w:r>
        <w:t>2. Los principios de integridad de un crédito de carbono</w:t>
      </w:r>
    </w:p>
    <w:p>
      <w:pPr>
        <w:pStyle w:val="Ttulo3"/>
      </w:pPr>
      <w:r>
        <w:t>2.1 Adicionalidad: la condición de no-trivialidad</w:t>
      </w:r>
    </w:p>
    <w:p>
      <w:pPr/>
      <w:r>
        <w:t xml:space="preserve">La </w:t>
      </w:r>
      <w:r>
        <w:rPr>
          <w:i/>
        </w:rPr>
        <w:t>adicionalidad</w:t>
      </w:r>
      <w:r>
        <w:t xml:space="preserve"> es el principio más fundamental en la certificación de carbono: la reducción o remoción de emisiones representada por el crédito debe ser el resultado directo de la existencia del mecanismo de mercado. Un proyecto es adicional cuando la actividad solo se vuelve viable económicamente, o solo ocurre en la práctica, gracias al flujo de ingresos generado por el crédito de carbono. Sin adicionalidad, el crédito representa una reducción que habría ocurrido de todas formas, sin ningún beneficio climático neto.</w:t>
      </w:r>
    </w:p>
    <w:p>
      <w:pPr/>
      <w:r>
        <w:t xml:space="preserve">Michaelowa, Hermwille, Obergassel y Butzengeiger (2019), en </w:t>
      </w:r>
      <w:r>
        <w:rPr>
          <w:i/>
        </w:rPr>
        <w:t>Climate Policy</w:t>
      </w:r>
      <w:r>
        <w:t>, analizaron los riesgos de la adicionalidad bajo el Acuerdo de París, especialmente el problema del "</w:t>
      </w:r>
      <w:r>
        <w:rPr>
          <w:i/>
        </w:rPr>
        <w:t>hot air</w:t>
      </w:r>
      <w:r>
        <w:t>": créditos que representan reducciones de emisiones que habrían ocurrido de todas formas porque la actividad ya era rentable, o porque los escenarios de referencia (</w:t>
      </w:r>
      <w:r>
        <w:rPr>
          <w:i/>
        </w:rPr>
        <w:t>baselines</w:t>
      </w:r>
      <w:r>
        <w:t>) fueron fijados de manera demasiado generosa. Para el biochar artesanal en zonas cafeteras colombianas, la adicionalidad no suele ser problemática: la producción de biochar mediante hornos Kon-Tiki no es una práctica establecida en estas comunidades, requiere inversión en capacitación y tiempo, y solo se justifica económicamente si existe un mecanismo de pago por el crédito de carbono generado.</w:t>
      </w:r>
    </w:p>
    <w:p>
      <w:pPr>
        <w:pStyle w:val="Ttulo3"/>
      </w:pPr>
      <w:r>
        <w:t>2.2 Permanencia: la durabilidad de la remoción</w:t>
      </w:r>
    </w:p>
    <w:p>
      <w:pPr/>
      <w:r>
        <w:t xml:space="preserve">La </w:t>
      </w:r>
      <w:r>
        <w:rPr>
          <w:i/>
        </w:rPr>
        <w:t>permanencia</w:t>
      </w:r>
      <w:r>
        <w:t xml:space="preserve"> se refiere a la durabilidad de la reducción o remoción de emisiones en el tiempo. ¿Durante cuánto tiempo el carbono permanecerá fuera de la atmósfera? Este es el punto débil más grave de muchos proyectos de carbono forestal: los árboles plantados pueden morir por incendio, plaga o tala, devolviendo el carbono a la atmósfera. Badgley et al. (2022), en </w:t>
      </w:r>
      <w:r>
        <w:rPr>
          <w:i/>
        </w:rPr>
        <w:t>Global Change Biology</w:t>
      </w:r>
      <w:r>
        <w:t>, demostraron que el sistema de amortiguación del programa de offsets forestales de California fue sistemáticamente insuficiente: más de 30 millones de toneladas de créditos potencialmente sobre-acreditados, con un valor de USD 410 millones, porque el "buffer" de reserva no anticipó la escala de los incendios acelerados por el cambio climático.</w:t>
      </w:r>
    </w:p>
    <w:p>
      <w:pPr/>
      <w:r>
        <w:t xml:space="preserve">El biochar tiene una ventaja de permanencia fundamental sobre los créditos forestales convencionales: el carbono estabilizado en la fracción aromática policíclica del biochar tiene una vida media estimada superior a 100 años bajo condiciones de suelo típicas, con proyecciones de persistencia de más de 1.000 años para la fracción más estable. Esta permanencia es verificable </w:t>
      </w:r>
      <w:r>
        <w:rPr>
          <w:i/>
        </w:rPr>
        <w:t>ex ante</w:t>
      </w:r>
      <w:r>
        <w:t xml:space="preserve"> mediante el ratio H/C orgánico del biochar, analizado en laboratorio sobre el material producido, lo que elimina la incertidumbre sobre durabilidad que afecta a otras categorías de créditos.</w:t>
      </w:r>
    </w:p>
    <w:p>
      <w:pPr>
        <w:pStyle w:val="Ttulo3"/>
      </w:pPr>
      <w:r>
        <w:t>2.3 Fugas de carbono (leakage): el desplazamiento invisible</w:t>
      </w:r>
    </w:p>
    <w:p>
      <w:pPr/>
      <w:r>
        <w:t xml:space="preserve">El </w:t>
      </w:r>
      <w:r>
        <w:rPr>
          <w:i/>
        </w:rPr>
        <w:t>leakage</w:t>
      </w:r>
      <w:r>
        <w:t xml:space="preserve"> o fuga ocurre cuando una reducción de emisiones en un lugar desplaza las emisiones hacia otro lugar fuera del perímetro del proyecto. El ejemplo clásico son los proyectos de protección forestal: si se evita la tala en un bosque protegido, pero la demanda de madera no disminuye, la tala puede trasladarse a otro bosque no protegido. Para el biochar artesanal producido a partir de residuos del cafeto —zoca, pulpa, cascarilla—, el riesgo de leakage es mínimo: se utilizan materiales que de otra forma se descompondrían o quemarían en campo, sin que su uso en la pirolisis represente un servicio diferente que ahora deba proveerse desde otro lugar.</w:t>
      </w:r>
    </w:p>
    <w:p>
      <w:pPr>
        <w:pStyle w:val="Ttulo3"/>
      </w:pPr>
      <w:r>
        <w:t>2.4 MRV: Monitoreo, Reporte y Verificación</w:t>
      </w:r>
    </w:p>
    <w:p>
      <w:pPr/>
      <w:r>
        <w:t xml:space="preserve">El </w:t>
      </w:r>
      <w:r>
        <w:rPr>
          <w:i/>
        </w:rPr>
        <w:t>MRV</w:t>
      </w:r>
      <w:r>
        <w:t xml:space="preserve"> (Monitoreo, Reporte y Verificación) es el sistema mediante el cual se cuantifican y acreditan las reducciones o remociones de emisiones. Un sistema MRV robusto debe responder tres preguntas: ¿cuánto carbono se removió o redujo (monitoreo)?, ¿está correctamente documentado y calculado (reporte)?, y ¿lo confirma una tercera parte independiente (verificación)? La debilidad del MRV ha sido el principal vector de fraude y sobreacreditación en el VCM desde sus orígenes.</w:t>
      </w:r>
    </w:p>
    <w:p>
      <w:pPr/>
      <w:r>
        <w:t xml:space="preserve">Haya, Broekhoff y Spalding-Fecher (2023), en </w:t>
      </w:r>
      <w:r>
        <w:rPr>
          <w:i/>
        </w:rPr>
        <w:t>Annual Review of Environment and Resources</w:t>
      </w:r>
      <w:r>
        <w:t>, sintetizaron 25 años de evidencia empírica sobre los fallos del MRV en el VCM: sobreestimación sistemática del impacto climático en los programas más usados, con factores de exageración de cinco a diez veces en comparación con mediciones independientes. Esta conclusión severa afecta principalmente a metodologías para bosques y suelos donde la cuantificación depende de modelos estadísticos sobre escenarios hipotéticos. Para el biochar, el MRV es inherentemente más robusto porque el carbono se cuantifica directamente sobre el material producido, cuya masa y composición química son medibles con alta precisión mediante análisis elemental certificado.</w:t>
      </w:r>
    </w:p>
    <w:p>
      <w:pPr>
        <w:pStyle w:val="Ttulo2"/>
      </w:pPr>
      <w:r>
        <w:t>3. Los principales estándares de certificación</w:t>
      </w:r>
    </w:p>
    <w:p>
      <w:pPr>
        <w:pStyle w:val="Ttulo3"/>
      </w:pPr>
      <w:r>
        <w:t>3.1 Verra VCS y la metodología VM0044</w:t>
      </w:r>
    </w:p>
    <w:p>
      <w:pPr/>
      <w:r>
        <w:t>Verra (</w:t>
      </w:r>
      <w:r>
        <w:rPr>
          <w:i/>
        </w:rPr>
        <w:t>Verified Carbon Standard</w:t>
      </w:r>
      <w:r>
        <w:t xml:space="preserve">) es el estándar privado de certificación de carbono con mayor cuota de mercado global, responsable de la mayoría de los créditos </w:t>
      </w:r>
      <w:r>
        <w:rPr>
          <w:i/>
        </w:rPr>
        <w:t>Verified Carbon Units</w:t>
      </w:r>
      <w:r>
        <w:t xml:space="preserve"> (VCUs) transaccionados en el VCM. Su metodología VM0044 es el instrumento específicamente diseñado para proyectos de biochar y es una de las dos metodologías principales de certificación en este segmento a nivel mundial. VM0044 cuantifica la remoción de CO₂ considerando el carbono orgánico estable del biochar, el cambio en las emisiones de N₂O del suelo tras la aplicación, el CO₂ de la biomasa original que habría sido liberado por descomposición en ausencia del proyecto, y los insumos energéticos del proceso de producción. La metodología exige caracterización química completa del biochar mediante laboratorio acreditado y georreferenciación del sitio de producción y aplicación.</w:t>
      </w:r>
    </w:p>
    <w:p>
      <w:pPr>
        <w:pStyle w:val="Ttulo3"/>
      </w:pPr>
      <w:r>
        <w:t>3.2 Puro.earth: especialización en remoción de alta durabilidad</w:t>
      </w:r>
    </w:p>
    <w:p>
      <w:pPr/>
      <w:r>
        <w:t>Puro.earth es una plataforma de certificación con énfasis exclusivo en tecnologías de remoción de carbono de alta durabilidad, incluido el biochar. A diferencia de Verra, que certifica tanto reducciones como remociones, Puro.earth solo acepta proyectos que genuinamente extraen CO₂ de la atmósfera y lo almacenan de forma verificablemente duradera. Su metodología para biochar comparte la base científica de VM0044 pero incorpora requisitos adicionales de permanencia y calidad del proceso, y está específicamente diseñada para productores artesanales y de pequeña escala. Puro.earth ha sido la plataforma que ha establecido los precios de referencia más altos del segmento biochar en los últimos años.</w:t>
      </w:r>
    </w:p>
    <w:p>
      <w:pPr>
        <w:pStyle w:val="Ttulo3"/>
      </w:pPr>
      <w:r>
        <w:t>3.3 Gold Standard: co-beneficios y Objetivos de Desarrollo Sostenible</w:t>
      </w:r>
    </w:p>
    <w:p>
      <w:pPr/>
      <w:r>
        <w:t>El Gold Standard, fundado por WWF y otras organizaciones no gubernamentales ambientales, se distingue por su énfasis en los co-beneficios de desarrollo sostenible. Los proyectos certificados deben demostrar impacto positivo en los Objetivos de Desarrollo Sostenible (ODS) además de la reducción o remoción de GEI. Para comunidades cafeteras donde el biochar mejora los medios de vida, la salud del suelo, la biodiversidad y los ingresos rurales, el Gold Standard ofrece una narrativa de certificación que va más allá del carbono y puede activar fuentes adicionales de financiamiento de impacto.</w:t>
      </w:r>
    </w:p>
    <w:p>
      <w:pPr>
        <w:pStyle w:val="Ttulo3"/>
      </w:pPr>
      <w:r>
        <w:t>3.4 El European Biochar Certificate como base técnica del C-Sink</w:t>
      </w:r>
    </w:p>
    <w:p>
      <w:pPr/>
      <w:r>
        <w:t>El Certificado Europeo de Biochar (</w:t>
      </w:r>
      <w:r>
        <w:rPr>
          <w:i/>
        </w:rPr>
        <w:t>European Biochar Certificate</w:t>
      </w:r>
      <w:r>
        <w:t>, EBC), desarrollado por el Instituto Ithaka, no es estrictamente un estándar de mercado de carbono sino un estándar de calidad del producto biochar. Establece los parámetros mínimos de calidad para que un biochar sea considerado seguro y efectivo como enmienda de suelo: H/C orgánico inferior a 0,7 (grado básico), contenido mínimo de carbono orgánico, PAH totales inferiores a 12 mg/kg, y metales pesados dentro de límites establecidos. El EBC es la base técnica sobre la que se construye el estándar Global Artisan C-Sink descrito en detalle en la sesión S2.3, y su adopción por los principales estándares del mercado —VM0044, Puro.earth— convierte sus parámetros en el lenguaje común de calidad del biochar en el VCM global.</w:t>
      </w:r>
    </w:p>
    <w:p>
      <w:pPr>
        <w:pStyle w:val="Ttulo2"/>
      </w:pPr>
      <w:r>
        <w:t>4. Crisis de credibilidad y perspectivas de reforma del VCM</w:t>
      </w:r>
    </w:p>
    <w:p>
      <w:pPr>
        <w:pStyle w:val="Ttulo3"/>
      </w:pPr>
      <w:r>
        <w:t>4.1 La evidencia empírica sobre sobreacreditación y adicionalidad</w:t>
      </w:r>
    </w:p>
    <w:p>
      <w:pPr/>
      <w:r>
        <w:t xml:space="preserve">La crisis de credibilidad que atravesó el VCM entre 2022 y 2024 tuvo como detonante principal los hallazgos sobre créditos REDD+ —proyectos de protección forestal en países tropicales que habían sido durante años los instrumentos más transaccionados del mercado. West et al. (2023), en un estudio publicado en </w:t>
      </w:r>
      <w:r>
        <w:rPr>
          <w:i/>
        </w:rPr>
        <w:t>Science</w:t>
      </w:r>
      <w:r>
        <w:t xml:space="preserve"> que analizó 26 proyectos REDD+ en distintos países, encontraron que solo el 6,1% de los créditos emitidos era verificablemente adicional: es decir, representaba una reducción real de deforestación que no habría ocurrido sin el proyecto. Los baselines —los escenarios de referencia contra los que se mide el impacto— estaban sobreestimados en un 46% en promedio. Más de 60 millones de créditos habían sido emitidos sin generar una reducción significativa de deforestación, lo que equivale a que las empresas compradoras pagaron por una compensación climática que no existía.</w:t>
      </w:r>
    </w:p>
    <w:p>
      <w:pPr/>
      <w:r>
        <w:t>Badgley et al. (2022) confirmaron un patrón similar en el programa forestal de California, documentando una sobreacreditación neta de 30 millones de toneladas de CO₂e, valorada en aproximadamente USD 410 millones, resultado directo de baselines mal calibrados y de un sistema de amortiguación insuficiente para absorber las reversiones causadas por incendios. Haya, Broekhoff y Spalding-Fecher (2023) sintetizaron 25 años de evidencia empírica sobre los programas de carbono más usados y concluyeron que la sobreestimación del impacto climático es sistémica: los programas más populares exageran su impacto entre cinco y diez veces. Esta conclusión no es abstracta para el extensionista: es la razón por la que la integridad del MRV del biochar artesanal es una condición de su valor en el mercado, no una exigencia burocrática.</w:t>
      </w:r>
    </w:p>
    <w:p>
      <w:pPr/>
      <w:r>
        <w:t>Estos hallazgos no invalidan el VCM como instrumento de política climática, pero demuestran con claridad que la calidad del estándar y la robustez de la metodología son el único factor que distingue un crédito real de uno fraudulento. La razón por la que el biochar artesanal correctamente certificado tiene credibilidad creciente en el mercado es precisamente que su MRV se basa en la medición directa de un material físico con propiedades verificables, no en la comparación con hipotéticos escenarios contrafactuales de deforestación o en estimaciones de SOC basadas en modelos.</w:t>
      </w:r>
    </w:p>
    <w:p>
      <w:pPr>
        <w:pStyle w:val="Ttulo3"/>
      </w:pPr>
      <w:r>
        <w:t>4.2 El debate sobre los ajustes correspondientes bajo el Acuerdo de París</w:t>
      </w:r>
    </w:p>
    <w:p>
      <w:pPr/>
      <w:r>
        <w:t xml:space="preserve">Schneider y La Hoz Theuer (2019), en </w:t>
      </w:r>
      <w:r>
        <w:rPr>
          <w:i/>
        </w:rPr>
        <w:t>Climate Policy</w:t>
      </w:r>
      <w:r>
        <w:t>, formalizaron el marco conceptual para evaluar la integridad ambiental de los mecanismos de mercado de carbono bajo el Acuerdo de París. Su argumento central es que para que un crédito de carbono generado en Colombia y comprado por una empresa alemana sea climáticamente íntegro, Colombia debe realizar un "ajuste correspondiente" que descuente ese crédito de su propio inventario de reducción de emisiones. De lo contrario, la misma reducción se contabiliza dos veces: una por la empresa compradora, que declara haber compensado sus emisiones, y otra por Colombia en sus NDC. Esta doble contabilidad no genera daño climático adicional inmediato, pero sí genera una inflación de la ambición climática declarada sin respaldo en reducciones reales.</w:t>
      </w:r>
    </w:p>
    <w:p>
      <w:pPr/>
      <w:r>
        <w:t xml:space="preserve">Kreibich y Hermwille (2021), en </w:t>
      </w:r>
      <w:r>
        <w:rPr>
          <w:i/>
        </w:rPr>
        <w:t>Climate Policy</w:t>
      </w:r>
      <w:r>
        <w:t>, documentaron la tensión práctica entre esta exigencia de integridad y la factibilidad política y económica de los ajustes correspondientes: los países anfitriones que realizan el ajuste "renuncian" a contabilizar esa reducción en sus NDC, lo que desincentiva la cooperación cuando los países tienen metas climáticas ambiciosas propias. En el contexto del Coffee Biochar Academy, este debate tiene implicaciones concretas: los créditos generados bajo metodologías que exigen ajuste correspondiente tienen mayor credibilidad climática internacional y acceso a compradores corporativos más exigentes, pero pueden tener implicaciones para la contabilidad climática nacional colombiana que requieren coordinación con la política de clima del país.</w:t>
      </w:r>
    </w:p>
    <w:p>
      <w:pPr>
        <w:pStyle w:val="Ttulo3"/>
      </w:pPr>
      <w:r>
        <w:t>4.3 El argumento constructivista: un mercado imperfecto pero necesario</w:t>
      </w:r>
    </w:p>
    <w:p>
      <w:pPr/>
      <w:r>
        <w:t xml:space="preserve">Frente a las críticas dominantes, Miltenberger, Jospe y Pittman (2021), en </w:t>
      </w:r>
      <w:r>
        <w:rPr>
          <w:i/>
        </w:rPr>
        <w:t>Frontiers in Climate</w:t>
      </w:r>
      <w:r>
        <w:t>, ofrecen una perspectiva deliberadamente contrapuesta: argumentan que las imperfecciones actuales del VCM no son razones para descartarlo sino señales de un mercado en aprendizaje iterativo. La transparencia creciente en los registros, la consolidación de estándares de alta calidad y la emergencia de bases de datos públicas auditables representan una mejora estructural continua. Para comunidades rurales en países en desarrollo, la pregunta relevante no es si el VCM es perfecto —no lo es— sino si proporciona un mecanismo de pago por servicios ambientales que de otra forma el mercado convencional ignora completamente. La respuesta, con los estándares correctos y el MRV adecuado, es afirmativa, y el biochar artesanal certificado es uno de los instrumentos que mejor ilustra este argumento.</w:t>
      </w:r>
    </w:p>
    <w:p>
      <w:pPr>
        <w:pStyle w:val="Ttulo2"/>
      </w:pPr>
      <w:r>
        <w:t>5. El precio del carbono y la economía del biochar artesanal</w:t>
      </w:r>
    </w:p>
    <w:p>
      <w:pPr/>
      <w:r>
        <w:t>El aspecto que más directamente importa al caficultor no es la arquitectura normativa del VCM sino una pregunta concreta: ¿cuánto pagan por una tonelada de CO₂e certificada? Los precios del VCM son heterogéneos y responden a la demanda corporativa, la calidad de la metodología y el tipo de proyecto. Datos de Ecosystem Marketplace muestran que el precio promedio general estuvo cerca de USD 4,04/tCO₂e en 2021, subió a USD 7,37/tCO₂e en 2022 en un momento de alta demanda corporativa, y se estabilizó en torno a USD 6,97/tCO₂e en 2023. Sin embargo, estos promedios ocultan una dispersión enorme que es decisiva para comprender el valor del biochar artesanal.</w:t>
      </w:r>
    </w:p>
    <w:p>
      <w:pPr/>
      <w:r>
        <w:t>Los créditos de CDR de alta durabilidad —categoría en la que califica el biochar certificado bajo estándares rigurosos— se han transaccionado históricamente entre USD 50 y 200 por tonelada en plataformas como Puro.earth, con primas que reflejan la escasez relativa de créditos con permanencia verificada frente a la creciente demanda corporativa por compensaciones de alta calidad. Plataformas de compra anticipada como Frontier —creada por Stripe, Alphabet, McKinsey y otras corporaciones— han comprometido cientos de millones de dólares específicamente para créditos de remoción de carbono de alta durabilidad, lo que consolida la demanda de largo plazo para este segmento.</w:t>
      </w:r>
    </w:p>
    <w:p>
      <w:pPr/>
      <w:r>
        <w:t>Para un caficultor que produce una tonelada de biochar, el contenido de carbono orgánico es aproximadamente el 60-80% en peso. De ese carbono, entre el 63 y el 82% se considera permanente por más de 100 años (Woolf et al., 2021), lo que equivale en términos prácticos a que cada tonelada de biochar correctamente caracterizado puede generar entre 1,0 y 1,5 créditos de CO₂e dependiendo del feedstock y la temperatura de pirolisis. A un precio conservador de USD 80/t de crédito, una tonelada de biochar genera ingresos de carbono de entre USD 80 y 120, que se suman al valor agronómico del biochar como enmienda del suelo y al ahorro en insumos derivado de la mejora de la fertilidad.</w:t>
      </w:r>
    </w:p>
    <w:p>
      <w:pPr>
        <w:pStyle w:val="Ttulo2"/>
      </w:pPr>
      <w:r>
        <w:t>6. Implicaciones prácticas para el extensionista</w:t>
      </w:r>
    </w:p>
    <w:p>
      <w:pPr/>
      <w:r>
        <w:t>La comprensión del VCM tiene implicaciones directas en tres dimensiones del trabajo del extensionista en territorio cafetero. La primera es la gestión de expectativas del caficultor sobre el ingreso de carbono. El extensionista que conoce la estructura del mercado puede explicar con honestidad que el valor del crédito no está garantizado por el mero hecho de producir biochar: está condicionado a la calidad del proceso, al cumplimiento de los parámetros del estándar, y a la documentación rigurosa de cada lote. Un caficultor con expectativas correctamente calibradas sobre el origen del valor del crédito es un productor más disciplinado en el registro y la trazabilidad, y un interlocutor más confiable ante el sistema de certificación.</w:t>
      </w:r>
    </w:p>
    <w:p>
      <w:pPr/>
      <w:r>
        <w:t>La segunda implicación es la capacidad de responder a la pregunta más difícil que el extensionista enfrentará en campo: ¿son reales estos créditos de carbono, o son solo otro engaño? La evidencia sobre REDD+ documentada por West et al. (2023) y Badgley et al. (2022) ofrece la respuesta más honesta: algunos créditos son reales y algunos no, y la diferencia está en la metodología. El biochar artesanal tiene ventajas estructurales de verificabilidad —se mide sobre un material físico con propiedades analíticas definidas— que lo distinguen de los créditos forestales basados en modelos estadísticos. El argumento no es que el VCM sea perfecto: es que el biochar certificado bajo el C-Sink o Puro.earth representa uno de los créditos con mayor integridad metodológica disponibles en el mercado, precisamente porque el carbono que certifica existe de forma material y es medible directamente. Esta distinción, comunicada con claridad, transforma la credibilidad del sistema ante el caficultor más escéptico.</w:t>
      </w:r>
    </w:p>
    <w:p>
      <w:pPr/>
      <w:r>
        <w:t>La tercera implicación es la comprensión del incentivo correcto que el sistema genera. Streck (2021) argumenta que el VCM puede ser un driver genuino de ambición climática en países en desarrollo como Colombia, donde los mercados de cumplimiento no alcanzan a la mayoría de los productores agrícolas. Para que esto ocurra, el mercado debe pagar bien los créditos de mayor calidad. El extensionista que mantiene altos estándares de proceso —feedstock correcto, temperatura de pirolisis adecuada, registro completo del lote— no solo cumple con una exigencia técnica: está posicionando al caficultor en el segmento más valorado del mercado, el de remoción de carbono de alta durabilidad, cuya prima de precio refleja exactamente la calidad del trabajo realizado en campo.</w:t>
      </w:r>
    </w:p>
    <w:p>
      <w:pPr>
        <w:pStyle w:val="Ttulo2"/>
      </w:pPr>
      <w:r>
        <w:t>Conclusión</w:t>
      </w:r>
    </w:p>
    <w:p>
      <w:pPr/>
      <w:r>
        <w:t>El mercado voluntario de carbono es un instrumento imperfecto pero real, con más de USD 1.000 millones anuales en transacciones y una trayectoria documentada de mejora continua en estándares y transparencia. Sus fallos documentados —sobreacreditación en proyectos forestales, problemas estructurales de adicionalidad, riesgo de doble contabilidad bajo el Acuerdo de París— son precisamente los que los estándares de alta calidad como el Global Artisan C-Sink han sido diseñados para evitar mediante MRV robusto, caracterización química verificable y permanencia demostrada del carbono producido.</w:t>
      </w:r>
    </w:p>
    <w:p>
      <w:pPr/>
      <w:r>
        <w:t>Para el extensionista del Coffee Biochar Academy, comprender este mercado implica dos capacidades que van más allá de la información técnica: primero, la capacidad de transmitir con honestidad al caficultor que el valor del crédito es real pero está condicionado a la calidad del proceso, no garantizado por el simple hecho de producir biochar; y segundo, la capacidad de reconocer que el trabajo riguroso de registro, caracterización y verificación no es burocracia sino la infraestructura que convierte una práctica agrícola en un activo financiero con valor verificado en el mercado global. La diferencia entre un biochar que genera ingresos de carbono y uno que no los genera no está en el horno: está en la trazabilidad y en la calidad del proceso documentado.</w:t>
      </w:r>
    </w:p>
    <w:p>
      <w:pPr>
        <w:pStyle w:val="Ttulo2"/>
      </w:pPr>
      <w:r>
        <w:t>Referencias</w:t>
      </w:r>
    </w:p>
    <w:p>
      <w:pPr/>
      <w:r>
        <w:rPr>
          <w:sz w:val="20"/>
        </w:rPr>
        <w:t xml:space="preserve">Badgley, G., Freeman, J., Hamman, J. J., Haya, B., Trugman, A. T., Anderegg, W. R. L., &amp; Cullenward, D. (2022). Systematic over-crediting in California's forest carbon offsets program. </w:t>
      </w:r>
      <w:r>
        <w:rPr>
          <w:i/>
          <w:sz w:val="20"/>
        </w:rPr>
        <w:t>Global Change Biology</w:t>
      </w:r>
      <w:r>
        <w:rPr>
          <w:sz w:val="20"/>
        </w:rPr>
        <w:t>, 28(11), 3476–3492. https://doi.org/10.1111/gcb.15943</w:t>
      </w:r>
    </w:p>
    <w:p>
      <w:pPr/>
      <w:r>
        <w:rPr>
          <w:sz w:val="20"/>
        </w:rPr>
        <w:t xml:space="preserve">Haya, B. K., Broekhoff, D., &amp; Spalding-Fecher, R. (2023). Are Carbon Offsets Fixable? </w:t>
      </w:r>
      <w:r>
        <w:rPr>
          <w:i/>
          <w:sz w:val="20"/>
        </w:rPr>
        <w:t>Annual Review of Environment and Resources</w:t>
      </w:r>
      <w:r>
        <w:rPr>
          <w:sz w:val="20"/>
        </w:rPr>
        <w:t>, 48. https://doi.org/10.1146/annurev-environ-112823-064813</w:t>
      </w:r>
    </w:p>
    <w:p>
      <w:pPr/>
      <w:r>
        <w:rPr>
          <w:sz w:val="20"/>
        </w:rPr>
        <w:t xml:space="preserve">Kreibich, N. (2024). Toward global net zero: The voluntary carbon market on its quest to find its place in the post-Paris climate regime. </w:t>
      </w:r>
      <w:r>
        <w:rPr>
          <w:i/>
          <w:sz w:val="20"/>
        </w:rPr>
        <w:t>WIREs Climate Change</w:t>
      </w:r>
      <w:r>
        <w:rPr>
          <w:sz w:val="20"/>
        </w:rPr>
        <w:t>. https://doi.org/10.1002/wcc.892</w:t>
      </w:r>
    </w:p>
    <w:p>
      <w:pPr/>
      <w:r>
        <w:rPr>
          <w:sz w:val="20"/>
        </w:rPr>
        <w:t xml:space="preserve">Kreibich, N., &amp; Hermwille, L. (2021). Caught in between: credibility and feasibility of the voluntary carbon market post-2020. </w:t>
      </w:r>
      <w:r>
        <w:rPr>
          <w:i/>
          <w:sz w:val="20"/>
        </w:rPr>
        <w:t>Climate Policy</w:t>
      </w:r>
      <w:r>
        <w:rPr>
          <w:sz w:val="20"/>
        </w:rPr>
        <w:t>, 21(7), 939–957. https://doi.org/10.1080/14693062.2021.1948384</w:t>
      </w:r>
    </w:p>
    <w:p>
      <w:pPr/>
      <w:r>
        <w:rPr>
          <w:sz w:val="20"/>
        </w:rPr>
        <w:t xml:space="preserve">Michaelowa, A., Hermwille, L., Obergassel, W., &amp; Butzengeiger, S. (2019). Additionality revisited: guarding the integrity of market mechanisms under the Paris Agreement. </w:t>
      </w:r>
      <w:r>
        <w:rPr>
          <w:i/>
          <w:sz w:val="20"/>
        </w:rPr>
        <w:t>Climate Policy</w:t>
      </w:r>
      <w:r>
        <w:rPr>
          <w:sz w:val="20"/>
        </w:rPr>
        <w:t>, 19(10), 1161–1173. https://doi.org/10.1080/14693062.2019.1628695</w:t>
      </w:r>
    </w:p>
    <w:p>
      <w:pPr/>
      <w:r>
        <w:rPr>
          <w:sz w:val="20"/>
        </w:rPr>
        <w:t xml:space="preserve">Michaelowa, A., Shishlov, I., &amp; Brescia, D. (2019). Evolution of international carbon markets: lessons for the Paris Agreement. </w:t>
      </w:r>
      <w:r>
        <w:rPr>
          <w:i/>
          <w:sz w:val="20"/>
        </w:rPr>
        <w:t>WIREs Climate Change</w:t>
      </w:r>
      <w:r>
        <w:rPr>
          <w:sz w:val="20"/>
        </w:rPr>
        <w:t>, 10(6), e613. https://doi.org/10.1002/wcc.613</w:t>
      </w:r>
    </w:p>
    <w:p>
      <w:pPr/>
      <w:r>
        <w:rPr>
          <w:sz w:val="20"/>
        </w:rPr>
        <w:t xml:space="preserve">Miltenberger, O., Jospe, C., &amp; Pittman, J. (2021). The Good Is Never Perfect: Why the Current Flaws of Voluntary Carbon Markets Are Services, Not Barriers to Successful Climate Change Action. </w:t>
      </w:r>
      <w:r>
        <w:rPr>
          <w:i/>
          <w:sz w:val="20"/>
        </w:rPr>
        <w:t>Frontiers in Climate</w:t>
      </w:r>
      <w:r>
        <w:rPr>
          <w:sz w:val="20"/>
        </w:rPr>
        <w:t>, 3, 686516. https://doi.org/10.3389/fclim.2021.686516</w:t>
      </w:r>
    </w:p>
    <w:p>
      <w:pPr/>
      <w:r>
        <w:rPr>
          <w:sz w:val="20"/>
        </w:rPr>
        <w:t xml:space="preserve">Schneider, L., &amp; La Hoz Theuer, S. (2019). Environmental integrity of international carbon market mechanisms under the Paris Agreement. </w:t>
      </w:r>
      <w:r>
        <w:rPr>
          <w:i/>
          <w:sz w:val="20"/>
        </w:rPr>
        <w:t>Climate Policy</w:t>
      </w:r>
      <w:r>
        <w:rPr>
          <w:sz w:val="20"/>
        </w:rPr>
        <w:t>, 19(3), 386–400. https://doi.org/10.1080/14693062.2018.1521332</w:t>
      </w:r>
    </w:p>
    <w:p>
      <w:pPr/>
      <w:r>
        <w:rPr>
          <w:sz w:val="20"/>
        </w:rPr>
        <w:t xml:space="preserve">Streck, C. (2021). How voluntary carbon markets can drive climate ambition. </w:t>
      </w:r>
      <w:r>
        <w:rPr>
          <w:i/>
          <w:sz w:val="20"/>
        </w:rPr>
        <w:t>Journal of Energy &amp; Natural Resources Law</w:t>
      </w:r>
      <w:r>
        <w:rPr>
          <w:sz w:val="20"/>
        </w:rPr>
        <w:t>, 39(3), 367–388. https://doi.org/10.1080/02646811.2021.1881275</w:t>
      </w:r>
    </w:p>
    <w:p>
      <w:pPr/>
      <w:r>
        <w:rPr>
          <w:sz w:val="20"/>
        </w:rPr>
        <w:t xml:space="preserve">West, T. A. P., Wunder, S., Sills, E. O., Börner, J., Rifai, S. W., Neidermeier, A. N., Frey, G. P., &amp; Kontoleon, A. (2023). Action needed to make carbon offsets from forest conservation work for climate change mitigation. </w:t>
      </w:r>
      <w:r>
        <w:rPr>
          <w:i/>
          <w:sz w:val="20"/>
        </w:rPr>
        <w:t>Science</w:t>
      </w:r>
      <w:r>
        <w:rPr>
          <w:sz w:val="20"/>
        </w:rPr>
        <w:t>, 381(6660), 873–877. https://doi.org/10.1126/science.ade3535</w:t>
      </w:r>
    </w:p>
    <w:p>
      <w:pPr/>
      <w:r>
        <w:rPr>
          <w:sz w:val="20"/>
        </w:rPr>
        <w:t xml:space="preserve">Woolf, D., Lehmann, J., Ogle, S., Kishimoto-Mo, A. W., McConkey, B., &amp; Baldock, J. (2021). Greenhouse Gas Inventory Model for Biochar Additions to Soil. </w:t>
      </w:r>
      <w:r>
        <w:rPr>
          <w:i/>
          <w:sz w:val="20"/>
        </w:rPr>
        <w:t>Environmental Science &amp; Technology</w:t>
      </w:r>
      <w:r>
        <w:rPr>
          <w:sz w:val="20"/>
        </w:rPr>
        <w:t>, 55(23), 14795–14805. https://doi.org/10.1021/acs.est.1c02425</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