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8A60FB" w14:paraId="7436C59A" w14:textId="77777777">
        <w:tblPrEx>
          <w:tblCellMar>
            <w:top w:w="0" w:type="dxa"/>
            <w:bottom w:w="0" w:type="dxa"/>
          </w:tblCellMar>
        </w:tblPrEx>
        <w:tc>
          <w:tcPr>
            <w:tcW w:w="10080" w:type="dxa"/>
            <w:tcBorders>
              <w:top w:val="single" w:sz="1" w:space="0" w:color="3E4D58"/>
              <w:left w:val="single" w:sz="1" w:space="0" w:color="3E4D58"/>
              <w:bottom w:val="single" w:sz="1" w:space="0" w:color="3E4D58"/>
              <w:right w:val="single" w:sz="1" w:space="0" w:color="3E4D58"/>
            </w:tcBorders>
            <w:shd w:val="clear" w:color="auto" w:fill="3E4D58"/>
            <w:tcMar>
              <w:top w:w="160" w:type="dxa"/>
              <w:left w:w="200" w:type="dxa"/>
              <w:bottom w:w="160" w:type="dxa"/>
              <w:right w:w="200" w:type="dxa"/>
            </w:tcMar>
          </w:tcPr>
          <w:p w14:paraId="29E76672" w14:textId="77777777" w:rsidR="008A60FB" w:rsidRDefault="00000000">
            <w:pPr>
              <w:spacing w:after="80"/>
            </w:pPr>
            <w:r>
              <w:rPr>
                <w:b/>
                <w:bCs/>
                <w:color w:val="DA7052"/>
                <w:sz w:val="16"/>
                <w:szCs w:val="16"/>
              </w:rPr>
              <w:t>BIOIMPACTO  ·  PLAN DE FORMACIÓN EXTENSIONISTAS</w:t>
            </w:r>
          </w:p>
          <w:p w14:paraId="2D51F5E9" w14:textId="77777777" w:rsidR="008A60FB" w:rsidRDefault="00000000">
            <w:pPr>
              <w:spacing w:after="100"/>
            </w:pPr>
            <w:r>
              <w:rPr>
                <w:b/>
                <w:bCs/>
                <w:color w:val="CDC4B4"/>
                <w:sz w:val="18"/>
                <w:szCs w:val="18"/>
              </w:rPr>
              <w:t xml:space="preserve">MÓDULO 2  </w:t>
            </w:r>
            <w:r>
              <w:rPr>
                <w:b/>
                <w:bCs/>
                <w:color w:val="BDE0D6"/>
                <w:sz w:val="18"/>
                <w:szCs w:val="18"/>
              </w:rPr>
              <w:t xml:space="preserve">  SESIÓN 2.2</w:t>
            </w:r>
          </w:p>
          <w:p w14:paraId="3C53C4F6" w14:textId="77777777" w:rsidR="008A60FB" w:rsidRDefault="00000000">
            <w:pPr>
              <w:spacing w:after="80"/>
            </w:pPr>
            <w:r>
              <w:rPr>
                <w:rFonts w:ascii="Georgia" w:eastAsia="Georgia" w:hAnsi="Georgia" w:cs="Georgia"/>
                <w:b/>
                <w:bCs/>
                <w:color w:val="FFFFFF"/>
                <w:sz w:val="44"/>
                <w:szCs w:val="44"/>
              </w:rPr>
              <w:t>Guía de Lectura</w:t>
            </w:r>
          </w:p>
          <w:p w14:paraId="74B7D89F" w14:textId="77777777" w:rsidR="008A60FB" w:rsidRDefault="00000000">
            <w:pPr>
              <w:spacing w:after="100"/>
            </w:pPr>
            <w:r>
              <w:rPr>
                <w:color w:val="BDE0D6"/>
                <w:sz w:val="22"/>
                <w:szCs w:val="22"/>
              </w:rPr>
              <w:t>El Modelo Coffee Biochar de Inicio a Fin</w:t>
            </w:r>
          </w:p>
          <w:p w14:paraId="4BFE4200" w14:textId="77777777" w:rsidR="008A60FB" w:rsidRDefault="00000000">
            <w:r>
              <w:rPr>
                <w:color w:val="CDC4B4"/>
                <w:sz w:val="18"/>
                <w:szCs w:val="18"/>
              </w:rPr>
              <w:t>Leer antes o después de la sesión sincrónica — Semana 4</w:t>
            </w:r>
          </w:p>
        </w:tc>
      </w:tr>
    </w:tbl>
    <w:p w14:paraId="74478959" w14:textId="77777777" w:rsidR="008A60FB" w:rsidRDefault="008A60FB">
      <w:pPr>
        <w:spacing w:after="80"/>
      </w:pPr>
    </w:p>
    <w:p w14:paraId="776D0474" w14:textId="77777777" w:rsidR="008A60FB" w:rsidRDefault="00000000">
      <w:pPr>
        <w:spacing w:before="40" w:after="80"/>
      </w:pPr>
      <w:r>
        <w:t>Esta lectura tiene un propósito operativo y uno conceptual. El operativo: que puedas describir los ocho pasos del modelo y el rol de cada actor sin titubear — frente al productor más escéptico o al coordinador más exigente. El conceptual: que entiendas por qué el modelo está diseñado así, qué falla si cada pieza no cumple su función, y cómo tu trabajo diario de extensionista es el eslabón que mantiene todo funcionando.</w:t>
      </w:r>
    </w:p>
    <w:p w14:paraId="2C50D05A" w14:textId="77777777" w:rsidR="008A60FB" w:rsidRDefault="008A60FB">
      <w:pPr>
        <w:spacing w:after="80"/>
      </w:pPr>
    </w:p>
    <w:p w14:paraId="3355CA10" w14:textId="77777777" w:rsidR="008A60FB" w:rsidRDefault="00000000">
      <w:pPr>
        <w:pBdr>
          <w:bottom w:val="single" w:sz="6" w:space="3" w:color="DA7052"/>
        </w:pBdr>
        <w:spacing w:before="320" w:after="100"/>
      </w:pPr>
      <w:r>
        <w:rPr>
          <w:rFonts w:ascii="Georgia" w:eastAsia="Georgia" w:hAnsi="Georgia" w:cs="Georgia"/>
          <w:b/>
          <w:bCs/>
          <w:sz w:val="30"/>
          <w:szCs w:val="30"/>
        </w:rPr>
        <w:t>1. Los 8 pasos del modelo — de la biomasa al crédito verificado</w:t>
      </w:r>
    </w:p>
    <w:p w14:paraId="7D359895" w14:textId="77777777" w:rsidR="008A60FB" w:rsidRDefault="00000000">
      <w:pPr>
        <w:spacing w:before="200" w:after="60"/>
      </w:pPr>
      <w:r>
        <w:rPr>
          <w:b/>
          <w:bCs/>
          <w:color w:val="DA7052"/>
          <w:sz w:val="22"/>
          <w:szCs w:val="22"/>
        </w:rPr>
        <w:t>Marco conceptual: cadenas de valor de impacto en mercados voluntarios</w:t>
      </w:r>
    </w:p>
    <w:p w14:paraId="0C2B84FE" w14:textId="77777777" w:rsidR="008A60FB" w:rsidRDefault="00000000">
      <w:pPr>
        <w:spacing w:before="40" w:after="80"/>
      </w:pPr>
      <w:r>
        <w:t>El Proyecto Coffee Biochar opera dentro de la lógica de los mercados voluntarios de carbono (MVC), donde el valor no es el producto físico (el biochar) sino la remoción de carbono que ese producto genera de manera verificable. Esta distinción es fundamental: el comprador final no compra biochar — compra la certeza de que una tonelada de CO₂ fue removida de la atmósfera y permanecerá fuera de ella.</w:t>
      </w:r>
    </w:p>
    <w:p w14:paraId="7C99B74C" w14:textId="77777777" w:rsidR="008A60FB" w:rsidRDefault="00000000">
      <w:pPr>
        <w:spacing w:before="40" w:after="80"/>
      </w:pPr>
      <w:r>
        <w:t>Para que esa certeza exista, el proceso completo — desde la biomasa hasta el registro y la certificación — debe cumplir estándares rigurosos. El estándar Global Artisan C-Sink, administrado por Carbon Standards International (CSI), define exactamente qué debe ocurrir en cada paso y qué evidencia debe existir. Sin esa cadena completa, no hay crédito. Sin crédito, no hay ingreso para el productor.</w:t>
      </w:r>
    </w:p>
    <w:p w14:paraId="3019D333" w14:textId="77777777" w:rsidR="008A60FB" w:rsidRDefault="008A60FB">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5"/>
        <w:gridCol w:w="1687"/>
        <w:gridCol w:w="2434"/>
        <w:gridCol w:w="1947"/>
        <w:gridCol w:w="3317"/>
      </w:tblGrid>
      <w:tr w:rsidR="008A60FB" w14:paraId="5FE2729E" w14:textId="77777777">
        <w:tblPrEx>
          <w:tblCellMar>
            <w:top w:w="0" w:type="dxa"/>
            <w:bottom w:w="0" w:type="dxa"/>
          </w:tblCellMar>
        </w:tblPrEx>
        <w:trPr>
          <w:tblHeader/>
        </w:trPr>
        <w:tc>
          <w:tcPr>
            <w:tcW w:w="600" w:type="dxa"/>
            <w:tcBorders>
              <w:top w:val="single" w:sz="1" w:space="0" w:color="DA7052"/>
              <w:left w:val="single" w:sz="1" w:space="0" w:color="DA7052"/>
              <w:bottom w:val="single" w:sz="1" w:space="0" w:color="DA7052"/>
              <w:right w:val="single" w:sz="1" w:space="0" w:color="DA7052"/>
            </w:tcBorders>
            <w:shd w:val="clear" w:color="auto" w:fill="DA7052"/>
            <w:tcMar>
              <w:top w:w="80" w:type="dxa"/>
              <w:left w:w="120" w:type="dxa"/>
              <w:bottom w:w="80" w:type="dxa"/>
              <w:right w:w="120" w:type="dxa"/>
            </w:tcMar>
          </w:tcPr>
          <w:p w14:paraId="69C81747" w14:textId="77777777" w:rsidR="008A60FB" w:rsidRDefault="00000000">
            <w:r>
              <w:rPr>
                <w:b/>
                <w:bCs/>
                <w:color w:val="FFFFFF"/>
                <w:sz w:val="19"/>
                <w:szCs w:val="19"/>
              </w:rPr>
              <w:t>Paso</w:t>
            </w:r>
          </w:p>
        </w:tc>
        <w:tc>
          <w:tcPr>
            <w:tcW w:w="1400" w:type="dxa"/>
            <w:tcBorders>
              <w:top w:val="single" w:sz="1" w:space="0" w:color="DA7052"/>
              <w:left w:val="single" w:sz="1" w:space="0" w:color="DA7052"/>
              <w:bottom w:val="single" w:sz="1" w:space="0" w:color="DA7052"/>
              <w:right w:val="single" w:sz="1" w:space="0" w:color="DA7052"/>
            </w:tcBorders>
            <w:shd w:val="clear" w:color="auto" w:fill="DA7052"/>
            <w:tcMar>
              <w:top w:w="80" w:type="dxa"/>
              <w:left w:w="120" w:type="dxa"/>
              <w:bottom w:w="80" w:type="dxa"/>
              <w:right w:w="120" w:type="dxa"/>
            </w:tcMar>
          </w:tcPr>
          <w:p w14:paraId="3C31F122" w14:textId="77777777" w:rsidR="008A60FB" w:rsidRDefault="00000000">
            <w:r>
              <w:rPr>
                <w:b/>
                <w:bCs/>
                <w:color w:val="FFFFFF"/>
                <w:sz w:val="19"/>
                <w:szCs w:val="19"/>
              </w:rPr>
              <w:t>Nombre</w:t>
            </w:r>
          </w:p>
        </w:tc>
        <w:tc>
          <w:tcPr>
            <w:tcW w:w="2500" w:type="dxa"/>
            <w:tcBorders>
              <w:top w:val="single" w:sz="1" w:space="0" w:color="DA7052"/>
              <w:left w:val="single" w:sz="1" w:space="0" w:color="DA7052"/>
              <w:bottom w:val="single" w:sz="1" w:space="0" w:color="DA7052"/>
              <w:right w:val="single" w:sz="1" w:space="0" w:color="DA7052"/>
            </w:tcBorders>
            <w:shd w:val="clear" w:color="auto" w:fill="DA7052"/>
            <w:tcMar>
              <w:top w:w="80" w:type="dxa"/>
              <w:left w:w="120" w:type="dxa"/>
              <w:bottom w:w="80" w:type="dxa"/>
              <w:right w:w="120" w:type="dxa"/>
            </w:tcMar>
          </w:tcPr>
          <w:p w14:paraId="62FC863B" w14:textId="77777777" w:rsidR="008A60FB" w:rsidRDefault="00000000">
            <w:r>
              <w:rPr>
                <w:b/>
                <w:bCs/>
                <w:color w:val="FFFFFF"/>
                <w:sz w:val="19"/>
                <w:szCs w:val="19"/>
              </w:rPr>
              <w:t>Qué ocurre</w:t>
            </w:r>
          </w:p>
        </w:tc>
        <w:tc>
          <w:tcPr>
            <w:tcW w:w="2000" w:type="dxa"/>
            <w:tcBorders>
              <w:top w:val="single" w:sz="1" w:space="0" w:color="DA7052"/>
              <w:left w:val="single" w:sz="1" w:space="0" w:color="DA7052"/>
              <w:bottom w:val="single" w:sz="1" w:space="0" w:color="DA7052"/>
              <w:right w:val="single" w:sz="1" w:space="0" w:color="DA7052"/>
            </w:tcBorders>
            <w:shd w:val="clear" w:color="auto" w:fill="DA7052"/>
            <w:tcMar>
              <w:top w:w="80" w:type="dxa"/>
              <w:left w:w="120" w:type="dxa"/>
              <w:bottom w:w="80" w:type="dxa"/>
              <w:right w:w="120" w:type="dxa"/>
            </w:tcMar>
          </w:tcPr>
          <w:p w14:paraId="0CB68052" w14:textId="77777777" w:rsidR="008A60FB" w:rsidRDefault="00000000">
            <w:r>
              <w:rPr>
                <w:b/>
                <w:bCs/>
                <w:color w:val="FFFFFF"/>
                <w:sz w:val="19"/>
                <w:szCs w:val="19"/>
              </w:rPr>
              <w:t>Actor principal</w:t>
            </w:r>
          </w:p>
        </w:tc>
        <w:tc>
          <w:tcPr>
            <w:tcW w:w="3580" w:type="dxa"/>
            <w:tcBorders>
              <w:top w:val="single" w:sz="1" w:space="0" w:color="DA7052"/>
              <w:left w:val="single" w:sz="1" w:space="0" w:color="DA7052"/>
              <w:bottom w:val="single" w:sz="1" w:space="0" w:color="DA7052"/>
              <w:right w:val="single" w:sz="1" w:space="0" w:color="DA7052"/>
            </w:tcBorders>
            <w:shd w:val="clear" w:color="auto" w:fill="DA7052"/>
            <w:tcMar>
              <w:top w:w="80" w:type="dxa"/>
              <w:left w:w="120" w:type="dxa"/>
              <w:bottom w:w="80" w:type="dxa"/>
              <w:right w:w="120" w:type="dxa"/>
            </w:tcMar>
          </w:tcPr>
          <w:p w14:paraId="50657911" w14:textId="77777777" w:rsidR="008A60FB" w:rsidRDefault="00000000">
            <w:r>
              <w:rPr>
                <w:b/>
                <w:bCs/>
                <w:color w:val="FFFFFF"/>
                <w:sz w:val="19"/>
                <w:szCs w:val="19"/>
              </w:rPr>
              <w:t>Por qué no puede fallar</w:t>
            </w:r>
          </w:p>
        </w:tc>
      </w:tr>
      <w:tr w:rsidR="008A60FB" w14:paraId="5E7D9C4A" w14:textId="77777777">
        <w:tblPrEx>
          <w:tblCellMar>
            <w:top w:w="0" w:type="dxa"/>
            <w:bottom w:w="0" w:type="dxa"/>
          </w:tblCellMar>
        </w:tblPrEx>
        <w:tc>
          <w:tcPr>
            <w:tcW w:w="6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0D53F164" w14:textId="77777777" w:rsidR="008A60FB" w:rsidRDefault="00000000">
            <w:r>
              <w:rPr>
                <w:b/>
                <w:bCs/>
                <w:sz w:val="19"/>
                <w:szCs w:val="19"/>
              </w:rPr>
              <w:t>1</w:t>
            </w:r>
          </w:p>
        </w:tc>
        <w:tc>
          <w:tcPr>
            <w:tcW w:w="14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68604292" w14:textId="77777777" w:rsidR="008A60FB" w:rsidRDefault="00000000">
            <w:r>
              <w:rPr>
                <w:sz w:val="19"/>
                <w:szCs w:val="19"/>
              </w:rPr>
              <w:t>Comunidad</w:t>
            </w:r>
          </w:p>
        </w:tc>
        <w:tc>
          <w:tcPr>
            <w:tcW w:w="25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4FE6D28D" w14:textId="77777777" w:rsidR="008A60FB" w:rsidRDefault="00000000">
            <w:r>
              <w:rPr>
                <w:sz w:val="19"/>
                <w:szCs w:val="19"/>
              </w:rPr>
              <w:t>Se constituye una C-Sink Network: mínimo 80 productores con 110 ha de zoca renovada en el clúster</w:t>
            </w:r>
          </w:p>
        </w:tc>
        <w:tc>
          <w:tcPr>
            <w:tcW w:w="20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65283A32" w14:textId="77777777" w:rsidR="008A60FB" w:rsidRDefault="00000000">
            <w:r>
              <w:rPr>
                <w:sz w:val="19"/>
                <w:szCs w:val="19"/>
              </w:rPr>
              <w:t>Biodiversal + Cirkular Agro</w:t>
            </w:r>
          </w:p>
        </w:tc>
        <w:tc>
          <w:tcPr>
            <w:tcW w:w="358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534D7B3C" w14:textId="77777777" w:rsidR="008A60FB" w:rsidRDefault="00000000">
            <w:r>
              <w:rPr>
                <w:sz w:val="19"/>
                <w:szCs w:val="19"/>
              </w:rPr>
              <w:t>Sin la escala mínima el clúster no es elegible para el estándar C-Sink</w:t>
            </w:r>
          </w:p>
        </w:tc>
      </w:tr>
      <w:tr w:rsidR="008A60FB" w14:paraId="2C958ACE" w14:textId="77777777">
        <w:tblPrEx>
          <w:tblCellMar>
            <w:top w:w="0" w:type="dxa"/>
            <w:bottom w:w="0" w:type="dxa"/>
          </w:tblCellMar>
        </w:tblPrEx>
        <w:tc>
          <w:tcPr>
            <w:tcW w:w="6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13E1A784" w14:textId="77777777" w:rsidR="008A60FB" w:rsidRDefault="00000000">
            <w:r>
              <w:rPr>
                <w:b/>
                <w:bCs/>
                <w:sz w:val="19"/>
                <w:szCs w:val="19"/>
              </w:rPr>
              <w:t>2</w:t>
            </w:r>
          </w:p>
        </w:tc>
        <w:tc>
          <w:tcPr>
            <w:tcW w:w="140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52E42441" w14:textId="77777777" w:rsidR="008A60FB" w:rsidRDefault="00000000">
            <w:r>
              <w:rPr>
                <w:sz w:val="19"/>
                <w:szCs w:val="19"/>
              </w:rPr>
              <w:t>Formación</w:t>
            </w:r>
          </w:p>
        </w:tc>
        <w:tc>
          <w:tcPr>
            <w:tcW w:w="250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154FBF63" w14:textId="77777777" w:rsidR="008A60FB" w:rsidRDefault="00000000">
            <w:r>
              <w:rPr>
                <w:sz w:val="19"/>
                <w:szCs w:val="19"/>
              </w:rPr>
              <w:t>Se forma a los productores en la operación del horno Kon-Tiki, el protocolo de registro y la declaración de honor</w:t>
            </w:r>
          </w:p>
        </w:tc>
        <w:tc>
          <w:tcPr>
            <w:tcW w:w="200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2F6DF06A" w14:textId="77777777" w:rsidR="008A60FB" w:rsidRDefault="00000000">
            <w:r>
              <w:rPr>
                <w:sz w:val="19"/>
                <w:szCs w:val="19"/>
              </w:rPr>
              <w:t>Biodiversal + Cirkular Agro (extensionistas)</w:t>
            </w:r>
          </w:p>
        </w:tc>
        <w:tc>
          <w:tcPr>
            <w:tcW w:w="358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27ACD5DF" w14:textId="77777777" w:rsidR="008A60FB" w:rsidRDefault="00000000">
            <w:r>
              <w:rPr>
                <w:sz w:val="19"/>
                <w:szCs w:val="19"/>
              </w:rPr>
              <w:t>Sin formación adecuada, los registros tienen errores que invalidan los créditos</w:t>
            </w:r>
          </w:p>
        </w:tc>
      </w:tr>
      <w:tr w:rsidR="008A60FB" w14:paraId="6F3062D9" w14:textId="77777777">
        <w:tblPrEx>
          <w:tblCellMar>
            <w:top w:w="0" w:type="dxa"/>
            <w:bottom w:w="0" w:type="dxa"/>
          </w:tblCellMar>
        </w:tblPrEx>
        <w:tc>
          <w:tcPr>
            <w:tcW w:w="6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7FFABC8D" w14:textId="77777777" w:rsidR="008A60FB" w:rsidRDefault="00000000">
            <w:r>
              <w:rPr>
                <w:b/>
                <w:bCs/>
                <w:sz w:val="19"/>
                <w:szCs w:val="19"/>
              </w:rPr>
              <w:t>3</w:t>
            </w:r>
          </w:p>
        </w:tc>
        <w:tc>
          <w:tcPr>
            <w:tcW w:w="14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51206482" w14:textId="77777777" w:rsidR="008A60FB" w:rsidRDefault="00000000">
            <w:r>
              <w:rPr>
                <w:sz w:val="19"/>
                <w:szCs w:val="19"/>
              </w:rPr>
              <w:t>Pirólisis</w:t>
            </w:r>
          </w:p>
        </w:tc>
        <w:tc>
          <w:tcPr>
            <w:tcW w:w="25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62BCAFA8" w14:textId="77777777" w:rsidR="008A60FB" w:rsidRDefault="00000000">
            <w:r>
              <w:rPr>
                <w:sz w:val="19"/>
                <w:szCs w:val="19"/>
              </w:rPr>
              <w:t>La zoca se transforma en biochar mediante pirólisis en el horno Kon-Tiki — temperatura &gt;300°C, oxígeno reducido</w:t>
            </w:r>
          </w:p>
        </w:tc>
        <w:tc>
          <w:tcPr>
            <w:tcW w:w="20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7BABB777" w14:textId="77777777" w:rsidR="008A60FB" w:rsidRDefault="00000000">
            <w:r>
              <w:rPr>
                <w:sz w:val="19"/>
                <w:szCs w:val="19"/>
              </w:rPr>
              <w:t>Productor (C-Sink Farmer)</w:t>
            </w:r>
          </w:p>
        </w:tc>
        <w:tc>
          <w:tcPr>
            <w:tcW w:w="358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05AA3E9B" w14:textId="77777777" w:rsidR="008A60FB" w:rsidRDefault="00000000">
            <w:r>
              <w:rPr>
                <w:sz w:val="19"/>
                <w:szCs w:val="19"/>
              </w:rPr>
              <w:t>Es la conversión física que genera el carbono inmovilizable — sin ella no hay producto</w:t>
            </w:r>
          </w:p>
        </w:tc>
      </w:tr>
      <w:tr w:rsidR="008A60FB" w14:paraId="10BD03F8" w14:textId="77777777">
        <w:tblPrEx>
          <w:tblCellMar>
            <w:top w:w="0" w:type="dxa"/>
            <w:bottom w:w="0" w:type="dxa"/>
          </w:tblCellMar>
        </w:tblPrEx>
        <w:tc>
          <w:tcPr>
            <w:tcW w:w="6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2E4D14EC" w14:textId="77777777" w:rsidR="008A60FB" w:rsidRDefault="00000000">
            <w:r>
              <w:rPr>
                <w:b/>
                <w:bCs/>
                <w:sz w:val="19"/>
                <w:szCs w:val="19"/>
              </w:rPr>
              <w:t>4</w:t>
            </w:r>
          </w:p>
        </w:tc>
        <w:tc>
          <w:tcPr>
            <w:tcW w:w="140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5E285F66" w14:textId="77777777" w:rsidR="008A60FB" w:rsidRDefault="00000000">
            <w:r>
              <w:rPr>
                <w:sz w:val="19"/>
                <w:szCs w:val="19"/>
              </w:rPr>
              <w:t>Aplicación al suelo</w:t>
            </w:r>
          </w:p>
        </w:tc>
        <w:tc>
          <w:tcPr>
            <w:tcW w:w="250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4DE0B8B3" w14:textId="77777777" w:rsidR="008A60FB" w:rsidRDefault="00000000">
            <w:r>
              <w:rPr>
                <w:sz w:val="19"/>
                <w:szCs w:val="19"/>
              </w:rPr>
              <w:t>El biochar producido se aplica al suelo del productor en la dosis y el lote documentados en Planboo</w:t>
            </w:r>
          </w:p>
        </w:tc>
        <w:tc>
          <w:tcPr>
            <w:tcW w:w="200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411A9367" w14:textId="77777777" w:rsidR="008A60FB" w:rsidRDefault="00000000">
            <w:r>
              <w:rPr>
                <w:sz w:val="19"/>
                <w:szCs w:val="19"/>
              </w:rPr>
              <w:t>Productor, orientado por el extensionista</w:t>
            </w:r>
          </w:p>
        </w:tc>
        <w:tc>
          <w:tcPr>
            <w:tcW w:w="358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3395B13B" w14:textId="77777777" w:rsidR="008A60FB" w:rsidRDefault="00000000">
            <w:r>
              <w:rPr>
                <w:sz w:val="19"/>
                <w:szCs w:val="19"/>
              </w:rPr>
              <w:t>El crédito es por remoción al suelo — biochar producido pero no aplicado no genera crédito</w:t>
            </w:r>
          </w:p>
        </w:tc>
      </w:tr>
      <w:tr w:rsidR="008A60FB" w14:paraId="4967C8D2" w14:textId="77777777">
        <w:tblPrEx>
          <w:tblCellMar>
            <w:top w:w="0" w:type="dxa"/>
            <w:bottom w:w="0" w:type="dxa"/>
          </w:tblCellMar>
        </w:tblPrEx>
        <w:tc>
          <w:tcPr>
            <w:tcW w:w="6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3E4E0B46" w14:textId="77777777" w:rsidR="008A60FB" w:rsidRDefault="00000000">
            <w:r>
              <w:rPr>
                <w:b/>
                <w:bCs/>
                <w:sz w:val="19"/>
                <w:szCs w:val="19"/>
              </w:rPr>
              <w:t>5</w:t>
            </w:r>
          </w:p>
        </w:tc>
        <w:tc>
          <w:tcPr>
            <w:tcW w:w="14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53134F86" w14:textId="77777777" w:rsidR="008A60FB" w:rsidRDefault="00000000">
            <w:r>
              <w:rPr>
                <w:sz w:val="19"/>
                <w:szCs w:val="19"/>
              </w:rPr>
              <w:t>Registro dMRV</w:t>
            </w:r>
          </w:p>
        </w:tc>
        <w:tc>
          <w:tcPr>
            <w:tcW w:w="25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26DEB261" w14:textId="77777777" w:rsidR="008A60FB" w:rsidRDefault="00000000">
            <w:r>
              <w:rPr>
                <w:sz w:val="19"/>
                <w:szCs w:val="19"/>
              </w:rPr>
              <w:t xml:space="preserve">Cada quema y cada aplicación se registra en Planboo: litros, foto </w:t>
            </w:r>
            <w:r>
              <w:rPr>
                <w:sz w:val="19"/>
                <w:szCs w:val="19"/>
              </w:rPr>
              <w:lastRenderedPageBreak/>
              <w:t>georeferenciada, fecha, identificación del lote</w:t>
            </w:r>
          </w:p>
        </w:tc>
        <w:tc>
          <w:tcPr>
            <w:tcW w:w="20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486DFFE4" w14:textId="77777777" w:rsidR="008A60FB" w:rsidRDefault="00000000">
            <w:r>
              <w:rPr>
                <w:sz w:val="19"/>
                <w:szCs w:val="19"/>
              </w:rPr>
              <w:lastRenderedPageBreak/>
              <w:t>Extensionista (responsable directo)</w:t>
            </w:r>
          </w:p>
        </w:tc>
        <w:tc>
          <w:tcPr>
            <w:tcW w:w="358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3EFEA0B3" w14:textId="77777777" w:rsidR="008A60FB" w:rsidRDefault="00000000">
            <w:r>
              <w:rPr>
                <w:sz w:val="19"/>
                <w:szCs w:val="19"/>
              </w:rPr>
              <w:t>Sin registro verificable, la quema no existe para CSI — es el eslabón más crítico del modelo</w:t>
            </w:r>
          </w:p>
        </w:tc>
      </w:tr>
      <w:tr w:rsidR="008A60FB" w14:paraId="0E62C175" w14:textId="77777777">
        <w:tblPrEx>
          <w:tblCellMar>
            <w:top w:w="0" w:type="dxa"/>
            <w:bottom w:w="0" w:type="dxa"/>
          </w:tblCellMar>
        </w:tblPrEx>
        <w:tc>
          <w:tcPr>
            <w:tcW w:w="6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2D8FF94E" w14:textId="77777777" w:rsidR="008A60FB" w:rsidRDefault="00000000">
            <w:r>
              <w:rPr>
                <w:b/>
                <w:bCs/>
                <w:sz w:val="19"/>
                <w:szCs w:val="19"/>
              </w:rPr>
              <w:t>6</w:t>
            </w:r>
          </w:p>
        </w:tc>
        <w:tc>
          <w:tcPr>
            <w:tcW w:w="140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075BF716" w14:textId="77777777" w:rsidR="008A60FB" w:rsidRDefault="00000000">
            <w:r>
              <w:rPr>
                <w:sz w:val="19"/>
                <w:szCs w:val="19"/>
              </w:rPr>
              <w:t>Certificación</w:t>
            </w:r>
          </w:p>
        </w:tc>
        <w:tc>
          <w:tcPr>
            <w:tcW w:w="250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6E22C0FC" w14:textId="77777777" w:rsidR="008A60FB" w:rsidRDefault="00000000">
            <w:r>
              <w:rPr>
                <w:sz w:val="19"/>
                <w:szCs w:val="19"/>
              </w:rPr>
              <w:t>CSI verifica los datos de Planboo y CERES audita independientemente — se emite el crédito de remoción</w:t>
            </w:r>
          </w:p>
        </w:tc>
        <w:tc>
          <w:tcPr>
            <w:tcW w:w="200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46527404" w14:textId="77777777" w:rsidR="008A60FB" w:rsidRDefault="00000000">
            <w:r>
              <w:rPr>
                <w:sz w:val="19"/>
                <w:szCs w:val="19"/>
              </w:rPr>
              <w:t>CSI + CERES</w:t>
            </w:r>
          </w:p>
        </w:tc>
        <w:tc>
          <w:tcPr>
            <w:tcW w:w="358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643989A7" w14:textId="77777777" w:rsidR="008A60FB" w:rsidRDefault="00000000">
            <w:r>
              <w:rPr>
                <w:sz w:val="19"/>
                <w:szCs w:val="19"/>
              </w:rPr>
              <w:t>Sin aval independiente el crédito no es vendible en el MVC</w:t>
            </w:r>
          </w:p>
        </w:tc>
      </w:tr>
      <w:tr w:rsidR="008A60FB" w14:paraId="23B4CB8E" w14:textId="77777777">
        <w:tblPrEx>
          <w:tblCellMar>
            <w:top w:w="0" w:type="dxa"/>
            <w:bottom w:w="0" w:type="dxa"/>
          </w:tblCellMar>
        </w:tblPrEx>
        <w:tc>
          <w:tcPr>
            <w:tcW w:w="6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7DA46DA8" w14:textId="77777777" w:rsidR="008A60FB" w:rsidRDefault="00000000">
            <w:r>
              <w:rPr>
                <w:b/>
                <w:bCs/>
                <w:sz w:val="19"/>
                <w:szCs w:val="19"/>
              </w:rPr>
              <w:t>7</w:t>
            </w:r>
          </w:p>
        </w:tc>
        <w:tc>
          <w:tcPr>
            <w:tcW w:w="14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280FC32A" w14:textId="77777777" w:rsidR="008A60FB" w:rsidRDefault="00000000">
            <w:r>
              <w:rPr>
                <w:sz w:val="19"/>
                <w:szCs w:val="19"/>
              </w:rPr>
              <w:t>Comercialización</w:t>
            </w:r>
          </w:p>
        </w:tc>
        <w:tc>
          <w:tcPr>
            <w:tcW w:w="25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7FBEE2C4" w14:textId="77777777" w:rsidR="008A60FB" w:rsidRDefault="00000000">
            <w:r>
              <w:rPr>
                <w:sz w:val="19"/>
                <w:szCs w:val="19"/>
              </w:rPr>
              <w:t>Biodiversal vende los créditos verificados en el mercado voluntario de carbono — compradores en Europa, Asia, Norteamérica</w:t>
            </w:r>
          </w:p>
        </w:tc>
        <w:tc>
          <w:tcPr>
            <w:tcW w:w="20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590E8877" w14:textId="77777777" w:rsidR="008A60FB" w:rsidRDefault="00000000">
            <w:r>
              <w:rPr>
                <w:sz w:val="19"/>
                <w:szCs w:val="19"/>
              </w:rPr>
              <w:t>Biodiversal</w:t>
            </w:r>
          </w:p>
        </w:tc>
        <w:tc>
          <w:tcPr>
            <w:tcW w:w="358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1D962276" w14:textId="77777777" w:rsidR="008A60FB" w:rsidRDefault="00000000">
            <w:r>
              <w:rPr>
                <w:sz w:val="19"/>
                <w:szCs w:val="19"/>
              </w:rPr>
              <w:t>Es el mecanismo que convierte el crédito en dinero</w:t>
            </w:r>
          </w:p>
        </w:tc>
      </w:tr>
      <w:tr w:rsidR="008A60FB" w14:paraId="02F3B617" w14:textId="77777777">
        <w:tblPrEx>
          <w:tblCellMar>
            <w:top w:w="0" w:type="dxa"/>
            <w:bottom w:w="0" w:type="dxa"/>
          </w:tblCellMar>
        </w:tblPrEx>
        <w:tc>
          <w:tcPr>
            <w:tcW w:w="6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69F1D363" w14:textId="77777777" w:rsidR="008A60FB" w:rsidRDefault="00000000">
            <w:r>
              <w:rPr>
                <w:b/>
                <w:bCs/>
                <w:sz w:val="19"/>
                <w:szCs w:val="19"/>
              </w:rPr>
              <w:t>8</w:t>
            </w:r>
          </w:p>
        </w:tc>
        <w:tc>
          <w:tcPr>
            <w:tcW w:w="140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7D475DC5" w14:textId="77777777" w:rsidR="008A60FB" w:rsidRDefault="00000000">
            <w:r>
              <w:rPr>
                <w:sz w:val="19"/>
                <w:szCs w:val="19"/>
              </w:rPr>
              <w:t>Pago al productor</w:t>
            </w:r>
          </w:p>
        </w:tc>
        <w:tc>
          <w:tcPr>
            <w:tcW w:w="250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35E5427B" w14:textId="77777777" w:rsidR="008A60FB" w:rsidRDefault="00000000">
            <w:r>
              <w:rPr>
                <w:sz w:val="19"/>
                <w:szCs w:val="19"/>
              </w:rPr>
              <w:t>El valor económico generado se distribuye según la estructura del proyecto — parte llega al productor como ingreso adicional</w:t>
            </w:r>
          </w:p>
        </w:tc>
        <w:tc>
          <w:tcPr>
            <w:tcW w:w="200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37344286" w14:textId="77777777" w:rsidR="008A60FB" w:rsidRDefault="00000000">
            <w:r>
              <w:rPr>
                <w:sz w:val="19"/>
                <w:szCs w:val="19"/>
              </w:rPr>
              <w:t>Biodiversal + estructura del proyecto</w:t>
            </w:r>
          </w:p>
        </w:tc>
        <w:tc>
          <w:tcPr>
            <w:tcW w:w="358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6AE8E059" w14:textId="77777777" w:rsidR="008A60FB" w:rsidRDefault="00000000">
            <w:r>
              <w:rPr>
                <w:sz w:val="19"/>
                <w:szCs w:val="19"/>
              </w:rPr>
              <w:t>Es el resultado final que justifica todo el esfuerzo del clúster</w:t>
            </w:r>
          </w:p>
        </w:tc>
      </w:tr>
    </w:tbl>
    <w:p w14:paraId="5A9D384A" w14:textId="77777777" w:rsidR="008A60FB" w:rsidRDefault="008A60FB">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
        <w:gridCol w:w="9980"/>
      </w:tblGrid>
      <w:tr w:rsidR="008A60FB" w14:paraId="037C8EDF" w14:textId="77777777">
        <w:tblPrEx>
          <w:tblCellMar>
            <w:top w:w="0" w:type="dxa"/>
            <w:bottom w:w="0" w:type="dxa"/>
          </w:tblCellMar>
        </w:tblPrEx>
        <w:tc>
          <w:tcPr>
            <w:tcW w:w="100" w:type="dxa"/>
            <w:tcBorders>
              <w:top w:val="none" w:sz="0" w:space="0" w:color="FFFFFF"/>
              <w:left w:val="none" w:sz="0" w:space="0" w:color="FFFFFF"/>
              <w:bottom w:val="none" w:sz="0" w:space="0" w:color="FFFFFF"/>
              <w:right w:val="none" w:sz="0" w:space="0" w:color="FFFFFF"/>
            </w:tcBorders>
            <w:shd w:val="clear" w:color="auto" w:fill="DA7052"/>
            <w:tcMar>
              <w:top w:w="0" w:type="dxa"/>
              <w:left w:w="0" w:type="dxa"/>
              <w:bottom w:w="0" w:type="dxa"/>
              <w:right w:w="0" w:type="dxa"/>
            </w:tcMar>
          </w:tcPr>
          <w:p w14:paraId="5C8567F8" w14:textId="77777777" w:rsidR="008A60FB" w:rsidRDefault="008A60FB"/>
        </w:tc>
        <w:tc>
          <w:tcPr>
            <w:tcW w:w="9980" w:type="dxa"/>
            <w:tcBorders>
              <w:top w:val="single" w:sz="1" w:space="0" w:color="3E4D58"/>
              <w:left w:val="single" w:sz="1" w:space="0" w:color="3E4D58"/>
              <w:bottom w:val="single" w:sz="1" w:space="0" w:color="3E4D58"/>
              <w:right w:val="single" w:sz="1" w:space="0" w:color="3E4D58"/>
            </w:tcBorders>
            <w:shd w:val="clear" w:color="auto" w:fill="3E4D58"/>
            <w:tcMar>
              <w:top w:w="120" w:type="dxa"/>
              <w:left w:w="160" w:type="dxa"/>
              <w:bottom w:w="120" w:type="dxa"/>
              <w:right w:w="160" w:type="dxa"/>
            </w:tcMar>
          </w:tcPr>
          <w:p w14:paraId="04F273F5" w14:textId="77777777" w:rsidR="008A60FB" w:rsidRDefault="00000000">
            <w:pPr>
              <w:spacing w:after="80"/>
            </w:pPr>
            <w:r>
              <w:rPr>
                <w:b/>
                <w:bCs/>
                <w:color w:val="DA7052"/>
                <w:sz w:val="18"/>
                <w:szCs w:val="18"/>
              </w:rPr>
              <w:t>DATO CLAVE — el paso 5 es el eslabón más frágil</w:t>
            </w:r>
          </w:p>
          <w:p w14:paraId="64572FD4" w14:textId="77777777" w:rsidR="008A60FB" w:rsidRDefault="00000000">
            <w:pPr>
              <w:spacing w:after="60"/>
            </w:pPr>
            <w:r>
              <w:rPr>
                <w:color w:val="FFFFFF"/>
              </w:rPr>
              <w:t>De los ocho pasos, el que más depende del extensionista es el paso 5: el registro dMRV.</w:t>
            </w:r>
          </w:p>
          <w:p w14:paraId="7FD2D032" w14:textId="77777777" w:rsidR="008A60FB" w:rsidRDefault="00000000">
            <w:pPr>
              <w:spacing w:after="60"/>
            </w:pPr>
            <w:r>
              <w:rPr>
                <w:color w:val="FFFFFF"/>
              </w:rPr>
              <w:t>Si la quema ocurre pero no se registra en Planboo, esa producción no existe para el certificador.</w:t>
            </w:r>
          </w:p>
          <w:p w14:paraId="558A1BDA" w14:textId="77777777" w:rsidR="008A60FB" w:rsidRDefault="00000000">
            <w:pPr>
              <w:spacing w:after="60"/>
            </w:pPr>
            <w:r>
              <w:rPr>
                <w:color w:val="FFFFFF"/>
              </w:rPr>
              <w:t>No existe → no genera crédito → no genera ingreso para el productor.</w:t>
            </w:r>
          </w:p>
          <w:p w14:paraId="2E5B669E" w14:textId="77777777" w:rsidR="008A60FB" w:rsidRDefault="00000000">
            <w:pPr>
              <w:spacing w:after="60"/>
            </w:pPr>
            <w:r>
              <w:rPr>
                <w:color w:val="FFFFFF"/>
              </w:rPr>
              <w:t>El extensionista tiene control directo sobre ese eslabón — nadie más lo puede reemplazar en el campo.</w:t>
            </w:r>
          </w:p>
        </w:tc>
      </w:tr>
    </w:tbl>
    <w:p w14:paraId="5C81C1D3" w14:textId="77777777" w:rsidR="008A60FB" w:rsidRDefault="008A60FB">
      <w:pPr>
        <w:spacing w:after="80"/>
      </w:pPr>
    </w:p>
    <w:p w14:paraId="78F59A0F" w14:textId="77777777" w:rsidR="008A60FB" w:rsidRDefault="00000000">
      <w:pPr>
        <w:pBdr>
          <w:bottom w:val="single" w:sz="6" w:space="3" w:color="DA7052"/>
        </w:pBdr>
        <w:spacing w:before="320" w:after="100"/>
      </w:pPr>
      <w:r>
        <w:rPr>
          <w:rFonts w:ascii="Georgia" w:eastAsia="Georgia" w:hAnsi="Georgia" w:cs="Georgia"/>
          <w:b/>
          <w:bCs/>
          <w:sz w:val="30"/>
          <w:szCs w:val="30"/>
        </w:rPr>
        <w:t>2. Los actores y sus roles — qué pasa si cada uno falla</w:t>
      </w:r>
    </w:p>
    <w:p w14:paraId="01242C90" w14:textId="77777777" w:rsidR="008A60FB" w:rsidRDefault="00000000">
      <w:pPr>
        <w:spacing w:before="200" w:after="60"/>
      </w:pPr>
      <w:r>
        <w:rPr>
          <w:b/>
          <w:bCs/>
          <w:color w:val="DA7052"/>
          <w:sz w:val="22"/>
          <w:szCs w:val="22"/>
        </w:rPr>
        <w:t>Marco conceptual: gobernanza de estándares de carbono</w:t>
      </w:r>
    </w:p>
    <w:p w14:paraId="63CE2E35" w14:textId="77777777" w:rsidR="008A60FB" w:rsidRDefault="00000000">
      <w:pPr>
        <w:spacing w:before="40" w:after="80"/>
      </w:pPr>
      <w:r>
        <w:t>Los mercados voluntarios de carbono requieren una separación de roles muy específica para garantizar la integridad del crédito. El mismo actor no puede diseñar el estándar, implementarlo y certificarlo. Por eso el modelo tiene múltiples actores independientes con funciones distintas y complementarias.</w:t>
      </w:r>
    </w:p>
    <w:p w14:paraId="77CF934C" w14:textId="77777777" w:rsidR="008A60FB" w:rsidRDefault="00000000">
      <w:pPr>
        <w:spacing w:before="40" w:after="80"/>
      </w:pPr>
      <w:r>
        <w:t>Esta separación no es burocrática — es lo que hace que el crédito sea confiable para el comprador. Un comprador en Alemania que adquiere un crédito Coffee Biochar necesita saber que alguien que no tiene interés económico directo en vender ese crédito verificó que la remoción fue real. Eso es exactamente lo que hace CERES como certificador independiente.</w:t>
      </w:r>
    </w:p>
    <w:p w14:paraId="7152D36D" w14:textId="77777777" w:rsidR="008A60FB" w:rsidRDefault="008A60FB">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2"/>
        <w:gridCol w:w="1400"/>
        <w:gridCol w:w="2400"/>
        <w:gridCol w:w="2399"/>
        <w:gridCol w:w="2479"/>
      </w:tblGrid>
      <w:tr w:rsidR="008A60FB" w14:paraId="70B4FFB0" w14:textId="77777777">
        <w:tblPrEx>
          <w:tblCellMar>
            <w:top w:w="0" w:type="dxa"/>
            <w:bottom w:w="0" w:type="dxa"/>
          </w:tblCellMar>
        </w:tblPrEx>
        <w:trPr>
          <w:tblHeader/>
        </w:trPr>
        <w:tc>
          <w:tcPr>
            <w:tcW w:w="1400" w:type="dxa"/>
            <w:tcBorders>
              <w:top w:val="single" w:sz="1" w:space="0" w:color="DA7052"/>
              <w:left w:val="single" w:sz="1" w:space="0" w:color="DA7052"/>
              <w:bottom w:val="single" w:sz="1" w:space="0" w:color="DA7052"/>
              <w:right w:val="single" w:sz="1" w:space="0" w:color="DA7052"/>
            </w:tcBorders>
            <w:shd w:val="clear" w:color="auto" w:fill="DA7052"/>
            <w:tcMar>
              <w:top w:w="80" w:type="dxa"/>
              <w:left w:w="120" w:type="dxa"/>
              <w:bottom w:w="80" w:type="dxa"/>
              <w:right w:w="120" w:type="dxa"/>
            </w:tcMar>
          </w:tcPr>
          <w:p w14:paraId="1185F05D" w14:textId="77777777" w:rsidR="008A60FB" w:rsidRDefault="00000000">
            <w:r>
              <w:rPr>
                <w:b/>
                <w:bCs/>
                <w:color w:val="FFFFFF"/>
                <w:sz w:val="19"/>
                <w:szCs w:val="19"/>
              </w:rPr>
              <w:t>Actor</w:t>
            </w:r>
          </w:p>
        </w:tc>
        <w:tc>
          <w:tcPr>
            <w:tcW w:w="1400" w:type="dxa"/>
            <w:tcBorders>
              <w:top w:val="single" w:sz="1" w:space="0" w:color="DA7052"/>
              <w:left w:val="single" w:sz="1" w:space="0" w:color="DA7052"/>
              <w:bottom w:val="single" w:sz="1" w:space="0" w:color="DA7052"/>
              <w:right w:val="single" w:sz="1" w:space="0" w:color="DA7052"/>
            </w:tcBorders>
            <w:shd w:val="clear" w:color="auto" w:fill="DA7052"/>
            <w:tcMar>
              <w:top w:w="80" w:type="dxa"/>
              <w:left w:w="120" w:type="dxa"/>
              <w:bottom w:w="80" w:type="dxa"/>
              <w:right w:w="120" w:type="dxa"/>
            </w:tcMar>
          </w:tcPr>
          <w:p w14:paraId="5A62EBB0" w14:textId="77777777" w:rsidR="008A60FB" w:rsidRDefault="00000000">
            <w:r>
              <w:rPr>
                <w:b/>
                <w:bCs/>
                <w:color w:val="FFFFFF"/>
                <w:sz w:val="19"/>
                <w:szCs w:val="19"/>
              </w:rPr>
              <w:t>Rol formal</w:t>
            </w:r>
          </w:p>
        </w:tc>
        <w:tc>
          <w:tcPr>
            <w:tcW w:w="2400" w:type="dxa"/>
            <w:tcBorders>
              <w:top w:val="single" w:sz="1" w:space="0" w:color="DA7052"/>
              <w:left w:val="single" w:sz="1" w:space="0" w:color="DA7052"/>
              <w:bottom w:val="single" w:sz="1" w:space="0" w:color="DA7052"/>
              <w:right w:val="single" w:sz="1" w:space="0" w:color="DA7052"/>
            </w:tcBorders>
            <w:shd w:val="clear" w:color="auto" w:fill="DA7052"/>
            <w:tcMar>
              <w:top w:w="80" w:type="dxa"/>
              <w:left w:w="120" w:type="dxa"/>
              <w:bottom w:w="80" w:type="dxa"/>
              <w:right w:w="120" w:type="dxa"/>
            </w:tcMar>
          </w:tcPr>
          <w:p w14:paraId="1FF898DB" w14:textId="77777777" w:rsidR="008A60FB" w:rsidRDefault="00000000">
            <w:r>
              <w:rPr>
                <w:b/>
                <w:bCs/>
                <w:color w:val="FFFFFF"/>
                <w:sz w:val="19"/>
                <w:szCs w:val="19"/>
              </w:rPr>
              <w:t>Función concreta</w:t>
            </w:r>
          </w:p>
        </w:tc>
        <w:tc>
          <w:tcPr>
            <w:tcW w:w="2400" w:type="dxa"/>
            <w:tcBorders>
              <w:top w:val="single" w:sz="1" w:space="0" w:color="DA7052"/>
              <w:left w:val="single" w:sz="1" w:space="0" w:color="DA7052"/>
              <w:bottom w:val="single" w:sz="1" w:space="0" w:color="DA7052"/>
              <w:right w:val="single" w:sz="1" w:space="0" w:color="DA7052"/>
            </w:tcBorders>
            <w:shd w:val="clear" w:color="auto" w:fill="DA7052"/>
            <w:tcMar>
              <w:top w:w="80" w:type="dxa"/>
              <w:left w:w="120" w:type="dxa"/>
              <w:bottom w:w="80" w:type="dxa"/>
              <w:right w:w="120" w:type="dxa"/>
            </w:tcMar>
          </w:tcPr>
          <w:p w14:paraId="1F0CBBD6" w14:textId="77777777" w:rsidR="008A60FB" w:rsidRDefault="00000000">
            <w:r>
              <w:rPr>
                <w:b/>
                <w:bCs/>
                <w:color w:val="FFFFFF"/>
                <w:sz w:val="19"/>
                <w:szCs w:val="19"/>
              </w:rPr>
              <w:t>Consecuencia si falla</w:t>
            </w:r>
          </w:p>
        </w:tc>
        <w:tc>
          <w:tcPr>
            <w:tcW w:w="2480" w:type="dxa"/>
            <w:tcBorders>
              <w:top w:val="single" w:sz="1" w:space="0" w:color="DA7052"/>
              <w:left w:val="single" w:sz="1" w:space="0" w:color="DA7052"/>
              <w:bottom w:val="single" w:sz="1" w:space="0" w:color="DA7052"/>
              <w:right w:val="single" w:sz="1" w:space="0" w:color="DA7052"/>
            </w:tcBorders>
            <w:shd w:val="clear" w:color="auto" w:fill="DA7052"/>
            <w:tcMar>
              <w:top w:w="80" w:type="dxa"/>
              <w:left w:w="120" w:type="dxa"/>
              <w:bottom w:w="80" w:type="dxa"/>
              <w:right w:w="120" w:type="dxa"/>
            </w:tcMar>
          </w:tcPr>
          <w:p w14:paraId="468ED603" w14:textId="77777777" w:rsidR="008A60FB" w:rsidRDefault="00000000">
            <w:r>
              <w:rPr>
                <w:b/>
                <w:bCs/>
                <w:color w:val="FFFFFF"/>
                <w:sz w:val="19"/>
                <w:szCs w:val="19"/>
              </w:rPr>
              <w:t>Relación con el extensionista</w:t>
            </w:r>
          </w:p>
        </w:tc>
      </w:tr>
      <w:tr w:rsidR="008A60FB" w14:paraId="7DDFE251" w14:textId="77777777">
        <w:tblPrEx>
          <w:tblCellMar>
            <w:top w:w="0" w:type="dxa"/>
            <w:bottom w:w="0" w:type="dxa"/>
          </w:tblCellMar>
        </w:tblPrEx>
        <w:tc>
          <w:tcPr>
            <w:tcW w:w="14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6AC1F188" w14:textId="77777777" w:rsidR="008A60FB" w:rsidRDefault="00000000">
            <w:r>
              <w:rPr>
                <w:b/>
                <w:bCs/>
                <w:sz w:val="19"/>
                <w:szCs w:val="19"/>
              </w:rPr>
              <w:t>Biodiversal SAS BIC</w:t>
            </w:r>
          </w:p>
        </w:tc>
        <w:tc>
          <w:tcPr>
            <w:tcW w:w="14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2D5BCC25" w14:textId="77777777" w:rsidR="008A60FB" w:rsidRDefault="00000000">
            <w:r>
              <w:rPr>
                <w:sz w:val="19"/>
                <w:szCs w:val="19"/>
              </w:rPr>
              <w:t>C-Sink Manager</w:t>
            </w:r>
          </w:p>
        </w:tc>
        <w:tc>
          <w:tcPr>
            <w:tcW w:w="24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35B363D6" w14:textId="77777777" w:rsidR="008A60FB" w:rsidRDefault="00000000">
            <w:r>
              <w:rPr>
                <w:sz w:val="19"/>
                <w:szCs w:val="19"/>
              </w:rPr>
              <w:t>Diseña el programa, recluta y forma clústeres, establece los protocolos, comercializa los créditos</w:t>
            </w:r>
          </w:p>
        </w:tc>
        <w:tc>
          <w:tcPr>
            <w:tcW w:w="24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3E09CBA7" w14:textId="77777777" w:rsidR="008A60FB" w:rsidRDefault="00000000">
            <w:r>
              <w:rPr>
                <w:sz w:val="19"/>
                <w:szCs w:val="19"/>
              </w:rPr>
              <w:t>Sin Biodiversal no hay estructura de crédito ni acceso al MVC — el proyecto no opera</w:t>
            </w:r>
          </w:p>
        </w:tc>
        <w:tc>
          <w:tcPr>
            <w:tcW w:w="248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18D6A761" w14:textId="77777777" w:rsidR="008A60FB" w:rsidRDefault="00000000">
            <w:r>
              <w:rPr>
                <w:sz w:val="19"/>
                <w:szCs w:val="19"/>
              </w:rPr>
              <w:t>El extensionista trabaja bajo los protocolos que define Biodiversal</w:t>
            </w:r>
          </w:p>
        </w:tc>
      </w:tr>
      <w:tr w:rsidR="008A60FB" w14:paraId="7B324DFE" w14:textId="77777777">
        <w:tblPrEx>
          <w:tblCellMar>
            <w:top w:w="0" w:type="dxa"/>
            <w:bottom w:w="0" w:type="dxa"/>
          </w:tblCellMar>
        </w:tblPrEx>
        <w:tc>
          <w:tcPr>
            <w:tcW w:w="14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10FA3278" w14:textId="77777777" w:rsidR="008A60FB" w:rsidRDefault="00000000">
            <w:r>
              <w:rPr>
                <w:b/>
                <w:bCs/>
                <w:sz w:val="19"/>
                <w:szCs w:val="19"/>
              </w:rPr>
              <w:t>Cirkular Agro</w:t>
            </w:r>
          </w:p>
        </w:tc>
        <w:tc>
          <w:tcPr>
            <w:tcW w:w="140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696ECE6D" w14:textId="77777777" w:rsidR="008A60FB" w:rsidRDefault="00000000">
            <w:r>
              <w:rPr>
                <w:sz w:val="19"/>
                <w:szCs w:val="19"/>
              </w:rPr>
              <w:t>Aliado operativo en campo</w:t>
            </w:r>
          </w:p>
        </w:tc>
        <w:tc>
          <w:tcPr>
            <w:tcW w:w="240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5AF22B93" w14:textId="77777777" w:rsidR="008A60FB" w:rsidRDefault="00000000">
            <w:r>
              <w:rPr>
                <w:sz w:val="19"/>
                <w:szCs w:val="19"/>
              </w:rPr>
              <w:t>Despliega extensionistas, supervisa clústeres, apoya la operación técnica y logística en territorio</w:t>
            </w:r>
          </w:p>
        </w:tc>
        <w:tc>
          <w:tcPr>
            <w:tcW w:w="240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177E8989" w14:textId="77777777" w:rsidR="008A60FB" w:rsidRDefault="00000000">
            <w:r>
              <w:rPr>
                <w:sz w:val="19"/>
                <w:szCs w:val="19"/>
              </w:rPr>
              <w:t>Sin Cirkular Agro la presencia en campo se debilita — los extensionistas pierden soporte</w:t>
            </w:r>
          </w:p>
        </w:tc>
        <w:tc>
          <w:tcPr>
            <w:tcW w:w="248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6C6F0C28" w14:textId="77777777" w:rsidR="008A60FB" w:rsidRDefault="00000000">
            <w:r>
              <w:rPr>
                <w:sz w:val="19"/>
                <w:szCs w:val="19"/>
              </w:rPr>
              <w:t>El extensionista reporta a Cirkular Agro en la estructura de campo</w:t>
            </w:r>
          </w:p>
        </w:tc>
      </w:tr>
      <w:tr w:rsidR="008A60FB" w14:paraId="2465047F" w14:textId="77777777">
        <w:tblPrEx>
          <w:tblCellMar>
            <w:top w:w="0" w:type="dxa"/>
            <w:bottom w:w="0" w:type="dxa"/>
          </w:tblCellMar>
        </w:tblPrEx>
        <w:tc>
          <w:tcPr>
            <w:tcW w:w="14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53E70607" w14:textId="77777777" w:rsidR="008A60FB" w:rsidRDefault="00000000">
            <w:r>
              <w:rPr>
                <w:b/>
                <w:bCs/>
                <w:sz w:val="19"/>
                <w:szCs w:val="19"/>
              </w:rPr>
              <w:lastRenderedPageBreak/>
              <w:t>Productor (C-Sink Farmer)</w:t>
            </w:r>
          </w:p>
        </w:tc>
        <w:tc>
          <w:tcPr>
            <w:tcW w:w="14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60DF2504" w14:textId="77777777" w:rsidR="008A60FB" w:rsidRDefault="00000000">
            <w:r>
              <w:rPr>
                <w:sz w:val="19"/>
                <w:szCs w:val="19"/>
              </w:rPr>
              <w:t>Operador del horno</w:t>
            </w:r>
          </w:p>
        </w:tc>
        <w:tc>
          <w:tcPr>
            <w:tcW w:w="24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6B9BE890" w14:textId="77777777" w:rsidR="008A60FB" w:rsidRDefault="00000000">
            <w:r>
              <w:rPr>
                <w:sz w:val="19"/>
                <w:szCs w:val="19"/>
              </w:rPr>
              <w:t>Opera el Kon-Tiki batch a batch, aplica el biochar al suelo, firma la declaración de honor (no quema de residuos en paralelo)</w:t>
            </w:r>
          </w:p>
        </w:tc>
        <w:tc>
          <w:tcPr>
            <w:tcW w:w="24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5735BB8C" w14:textId="77777777" w:rsidR="008A60FB" w:rsidRDefault="00000000">
            <w:r>
              <w:rPr>
                <w:sz w:val="19"/>
                <w:szCs w:val="19"/>
              </w:rPr>
              <w:t>Sin el productor operando no hay biochar producido ni aplicado — la cadena se rompe en el origen</w:t>
            </w:r>
          </w:p>
        </w:tc>
        <w:tc>
          <w:tcPr>
            <w:tcW w:w="248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4368BE9A" w14:textId="77777777" w:rsidR="008A60FB" w:rsidRDefault="00000000">
            <w:r>
              <w:rPr>
                <w:sz w:val="19"/>
                <w:szCs w:val="19"/>
              </w:rPr>
              <w:t>El extensionista visita al productor diariamente durante el batch activo</w:t>
            </w:r>
          </w:p>
        </w:tc>
      </w:tr>
      <w:tr w:rsidR="008A60FB" w14:paraId="4A428965" w14:textId="77777777">
        <w:tblPrEx>
          <w:tblCellMar>
            <w:top w:w="0" w:type="dxa"/>
            <w:bottom w:w="0" w:type="dxa"/>
          </w:tblCellMar>
        </w:tblPrEx>
        <w:tc>
          <w:tcPr>
            <w:tcW w:w="14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526A3ADA" w14:textId="77777777" w:rsidR="008A60FB" w:rsidRDefault="00000000">
            <w:r>
              <w:rPr>
                <w:b/>
                <w:bCs/>
                <w:sz w:val="19"/>
                <w:szCs w:val="19"/>
              </w:rPr>
              <w:t>Planboo</w:t>
            </w:r>
          </w:p>
        </w:tc>
        <w:tc>
          <w:tcPr>
            <w:tcW w:w="140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5060984F" w14:textId="77777777" w:rsidR="008A60FB" w:rsidRDefault="00000000">
            <w:r>
              <w:rPr>
                <w:sz w:val="19"/>
                <w:szCs w:val="19"/>
              </w:rPr>
              <w:t>dMRV Provider</w:t>
            </w:r>
          </w:p>
        </w:tc>
        <w:tc>
          <w:tcPr>
            <w:tcW w:w="240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24BFE3BF" w14:textId="77777777" w:rsidR="008A60FB" w:rsidRDefault="00000000">
            <w:r>
              <w:rPr>
                <w:sz w:val="19"/>
                <w:szCs w:val="19"/>
              </w:rPr>
              <w:t>Registra y verifica digitalmente cada quema y cada aplicación con georreferenciación, litros y marca temporal</w:t>
            </w:r>
          </w:p>
        </w:tc>
        <w:tc>
          <w:tcPr>
            <w:tcW w:w="240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7090D014" w14:textId="77777777" w:rsidR="008A60FB" w:rsidRDefault="00000000">
            <w:r>
              <w:rPr>
                <w:sz w:val="19"/>
                <w:szCs w:val="19"/>
              </w:rPr>
              <w:t>Sin Planboo no existe evidencia verificable — CSI no puede emitir ningún crédito</w:t>
            </w:r>
          </w:p>
        </w:tc>
        <w:tc>
          <w:tcPr>
            <w:tcW w:w="248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7E8B8A38" w14:textId="77777777" w:rsidR="008A60FB" w:rsidRDefault="00000000">
            <w:r>
              <w:rPr>
                <w:sz w:val="19"/>
                <w:szCs w:val="19"/>
              </w:rPr>
              <w:t>El extensionista usa Planboo como herramienta principal de registro — es su responsabilidad operativa directa</w:t>
            </w:r>
          </w:p>
        </w:tc>
      </w:tr>
      <w:tr w:rsidR="008A60FB" w14:paraId="7DDAB4B1" w14:textId="77777777">
        <w:tblPrEx>
          <w:tblCellMar>
            <w:top w:w="0" w:type="dxa"/>
            <w:bottom w:w="0" w:type="dxa"/>
          </w:tblCellMar>
        </w:tblPrEx>
        <w:tc>
          <w:tcPr>
            <w:tcW w:w="14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759DB5B0" w14:textId="77777777" w:rsidR="008A60FB" w:rsidRDefault="00000000">
            <w:r>
              <w:rPr>
                <w:b/>
                <w:bCs/>
                <w:sz w:val="19"/>
                <w:szCs w:val="19"/>
              </w:rPr>
              <w:t>Carbon Standards International (CSI)</w:t>
            </w:r>
          </w:p>
        </w:tc>
        <w:tc>
          <w:tcPr>
            <w:tcW w:w="14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3E502483" w14:textId="77777777" w:rsidR="008A60FB" w:rsidRDefault="00000000">
            <w:r>
              <w:rPr>
                <w:sz w:val="19"/>
                <w:szCs w:val="19"/>
              </w:rPr>
              <w:t>Standard Owner + Registry</w:t>
            </w:r>
          </w:p>
        </w:tc>
        <w:tc>
          <w:tcPr>
            <w:tcW w:w="24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23958DEF" w14:textId="77777777" w:rsidR="008A60FB" w:rsidRDefault="00000000">
            <w:r>
              <w:rPr>
                <w:sz w:val="19"/>
                <w:szCs w:val="19"/>
              </w:rPr>
              <w:t>Administra el estándar Global Artisan C-Sink, verifica que el proyecto cumple todos los requisitos, mantiene el registro público de créditos</w:t>
            </w:r>
          </w:p>
        </w:tc>
        <w:tc>
          <w:tcPr>
            <w:tcW w:w="24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3B72C338" w14:textId="77777777" w:rsidR="008A60FB" w:rsidRDefault="00000000">
            <w:r>
              <w:rPr>
                <w:sz w:val="19"/>
                <w:szCs w:val="19"/>
              </w:rPr>
              <w:t>Sin CSI no hay estándar reconocido — los créditos no tienen validez en el MVC</w:t>
            </w:r>
          </w:p>
        </w:tc>
        <w:tc>
          <w:tcPr>
            <w:tcW w:w="248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3CB81A6E" w14:textId="77777777" w:rsidR="008A60FB" w:rsidRDefault="00000000">
            <w:r>
              <w:rPr>
                <w:sz w:val="19"/>
                <w:szCs w:val="19"/>
              </w:rPr>
              <w:t>El extensionista cumple el estándar — no interactúa directamente con CSI</w:t>
            </w:r>
          </w:p>
        </w:tc>
      </w:tr>
      <w:tr w:rsidR="008A60FB" w14:paraId="4EFD8B3F" w14:textId="77777777">
        <w:tblPrEx>
          <w:tblCellMar>
            <w:top w:w="0" w:type="dxa"/>
            <w:bottom w:w="0" w:type="dxa"/>
          </w:tblCellMar>
        </w:tblPrEx>
        <w:tc>
          <w:tcPr>
            <w:tcW w:w="14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4A52D61F" w14:textId="77777777" w:rsidR="008A60FB" w:rsidRDefault="00000000">
            <w:r>
              <w:rPr>
                <w:b/>
                <w:bCs/>
                <w:sz w:val="19"/>
                <w:szCs w:val="19"/>
              </w:rPr>
              <w:t>CERES</w:t>
            </w:r>
          </w:p>
        </w:tc>
        <w:tc>
          <w:tcPr>
            <w:tcW w:w="140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66ED4BC9" w14:textId="77777777" w:rsidR="008A60FB" w:rsidRDefault="00000000">
            <w:r>
              <w:rPr>
                <w:sz w:val="19"/>
                <w:szCs w:val="19"/>
              </w:rPr>
              <w:t>Certifying Body</w:t>
            </w:r>
          </w:p>
        </w:tc>
        <w:tc>
          <w:tcPr>
            <w:tcW w:w="240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388146C5" w14:textId="77777777" w:rsidR="008A60FB" w:rsidRDefault="00000000">
            <w:r>
              <w:rPr>
                <w:sz w:val="19"/>
                <w:szCs w:val="19"/>
              </w:rPr>
              <w:t>Auditor independiente — verifica y avala que los créditos emitidos son reales, mediante revisión de datos y visitas de campo</w:t>
            </w:r>
          </w:p>
        </w:tc>
        <w:tc>
          <w:tcPr>
            <w:tcW w:w="240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5284CADB" w14:textId="77777777" w:rsidR="008A60FB" w:rsidRDefault="00000000">
            <w:r>
              <w:rPr>
                <w:sz w:val="19"/>
                <w:szCs w:val="19"/>
              </w:rPr>
              <w:t>Sin CERES el crédito no tiene aval externo — no es vendible a compradores serios</w:t>
            </w:r>
          </w:p>
        </w:tc>
        <w:tc>
          <w:tcPr>
            <w:tcW w:w="248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4B6724DA" w14:textId="77777777" w:rsidR="008A60FB" w:rsidRDefault="00000000">
            <w:r>
              <w:rPr>
                <w:sz w:val="19"/>
                <w:szCs w:val="19"/>
              </w:rPr>
              <w:t>Las auditorías de CERES pueden incluir visitas a campo — el extensionista debe tener sus registros en orden</w:t>
            </w:r>
          </w:p>
        </w:tc>
      </w:tr>
      <w:tr w:rsidR="008A60FB" w14:paraId="28FD7DE9" w14:textId="77777777">
        <w:tblPrEx>
          <w:tblCellMar>
            <w:top w:w="0" w:type="dxa"/>
            <w:bottom w:w="0" w:type="dxa"/>
          </w:tblCellMar>
        </w:tblPrEx>
        <w:tc>
          <w:tcPr>
            <w:tcW w:w="14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6FD3D7BC" w14:textId="77777777" w:rsidR="008A60FB" w:rsidRDefault="00000000">
            <w:r>
              <w:rPr>
                <w:b/>
                <w:bCs/>
                <w:sz w:val="19"/>
                <w:szCs w:val="19"/>
              </w:rPr>
              <w:t>Incofin Investment Management</w:t>
            </w:r>
          </w:p>
        </w:tc>
        <w:tc>
          <w:tcPr>
            <w:tcW w:w="14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2D083E0F" w14:textId="77777777" w:rsidR="008A60FB" w:rsidRDefault="00000000">
            <w:r>
              <w:rPr>
                <w:sz w:val="19"/>
                <w:szCs w:val="19"/>
              </w:rPr>
              <w:t>Financiador de impacto</w:t>
            </w:r>
          </w:p>
        </w:tc>
        <w:tc>
          <w:tcPr>
            <w:tcW w:w="24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30419B8B" w14:textId="77777777" w:rsidR="008A60FB" w:rsidRDefault="00000000">
            <w:r>
              <w:rPr>
                <w:sz w:val="19"/>
                <w:szCs w:val="19"/>
              </w:rPr>
              <w:t>Financia el proyecto con estructura de impact-linked finance: la tasa de interés se ajusta según el cumplimiento de KPIs</w:t>
            </w:r>
          </w:p>
        </w:tc>
        <w:tc>
          <w:tcPr>
            <w:tcW w:w="24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5FF8F205" w14:textId="77777777" w:rsidR="008A60FB" w:rsidRDefault="00000000">
            <w:r>
              <w:rPr>
                <w:sz w:val="19"/>
                <w:szCs w:val="19"/>
              </w:rPr>
              <w:t>Sin Incofin el modelo no tiene capital para operar — y sin capital el ciclo no arranca</w:t>
            </w:r>
          </w:p>
        </w:tc>
        <w:tc>
          <w:tcPr>
            <w:tcW w:w="248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6C699171" w14:textId="77777777" w:rsidR="008A60FB" w:rsidRDefault="00000000">
            <w:r>
              <w:rPr>
                <w:sz w:val="19"/>
                <w:szCs w:val="19"/>
              </w:rPr>
              <w:t>El extensionista impacta directamente la tasa Incofin a través del cumplimiento de KPIs</w:t>
            </w:r>
          </w:p>
        </w:tc>
      </w:tr>
    </w:tbl>
    <w:p w14:paraId="1FD40FAA" w14:textId="77777777" w:rsidR="008A60FB" w:rsidRDefault="008A60FB">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
        <w:gridCol w:w="9980"/>
      </w:tblGrid>
      <w:tr w:rsidR="008A60FB" w14:paraId="58025542" w14:textId="77777777">
        <w:tblPrEx>
          <w:tblCellMar>
            <w:top w:w="0" w:type="dxa"/>
            <w:bottom w:w="0" w:type="dxa"/>
          </w:tblCellMar>
        </w:tblPrEx>
        <w:tc>
          <w:tcPr>
            <w:tcW w:w="1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569B331" w14:textId="77777777" w:rsidR="008A60FB" w:rsidRDefault="008A60FB"/>
        </w:tc>
        <w:tc>
          <w:tcPr>
            <w:tcW w:w="9980" w:type="dxa"/>
            <w:tcBorders>
              <w:top w:val="single" w:sz="1" w:space="0" w:color="50827C"/>
              <w:left w:val="single" w:sz="1" w:space="0" w:color="50827C"/>
              <w:bottom w:val="single" w:sz="1" w:space="0" w:color="50827C"/>
              <w:right w:val="single" w:sz="1" w:space="0" w:color="50827C"/>
            </w:tcBorders>
            <w:shd w:val="clear" w:color="auto" w:fill="50827C"/>
            <w:tcMar>
              <w:top w:w="120" w:type="dxa"/>
              <w:left w:w="160" w:type="dxa"/>
              <w:bottom w:w="120" w:type="dxa"/>
              <w:right w:w="160" w:type="dxa"/>
            </w:tcMar>
          </w:tcPr>
          <w:p w14:paraId="630C2EBF" w14:textId="77777777" w:rsidR="008A60FB" w:rsidRDefault="00000000">
            <w:pPr>
              <w:spacing w:after="80"/>
            </w:pPr>
            <w:r>
              <w:rPr>
                <w:b/>
                <w:bCs/>
                <w:color w:val="FFFFFF"/>
                <w:sz w:val="18"/>
                <w:szCs w:val="18"/>
              </w:rPr>
              <w:t>DATO CLAVE — el extensionista está en todos los pasos</w:t>
            </w:r>
          </w:p>
          <w:p w14:paraId="656A4E52" w14:textId="77777777" w:rsidR="008A60FB" w:rsidRDefault="00000000">
            <w:pPr>
              <w:spacing w:after="60"/>
            </w:pPr>
            <w:r>
              <w:rPr>
                <w:color w:val="FFFFFF"/>
              </w:rPr>
              <w:t>El extensionista no aparece en el mapa de actores con nombre propio como Biodiversal o Planboo.</w:t>
            </w:r>
          </w:p>
          <w:p w14:paraId="3A4B8013" w14:textId="77777777" w:rsidR="008A60FB" w:rsidRDefault="00000000">
            <w:pPr>
              <w:spacing w:after="60"/>
            </w:pPr>
            <w:r>
              <w:rPr>
                <w:color w:val="FFFFFF"/>
              </w:rPr>
              <w:t>Pero está presente en todos los pasos: entre el productor y Planboo, entre la quema y el registro, entre el horno y el crédito.</w:t>
            </w:r>
          </w:p>
          <w:p w14:paraId="7D7D1C09" w14:textId="77777777" w:rsidR="008A60FB" w:rsidRDefault="00000000">
            <w:pPr>
              <w:spacing w:after="60"/>
            </w:pPr>
            <w:r>
              <w:rPr>
                <w:color w:val="FFFFFF"/>
              </w:rPr>
              <w:t>Si el extensionista falla, el modelo falla — aunque todos los demás actores hagan bien su parte.</w:t>
            </w:r>
          </w:p>
          <w:p w14:paraId="43A97BE2" w14:textId="77777777" w:rsidR="008A60FB" w:rsidRDefault="00000000">
            <w:pPr>
              <w:spacing w:after="60"/>
            </w:pPr>
            <w:r>
              <w:rPr>
                <w:color w:val="FFFFFF"/>
              </w:rPr>
              <w:t>Eso no es presión — es reconocimiento del valor real de tu rol en la cadena.</w:t>
            </w:r>
          </w:p>
        </w:tc>
      </w:tr>
    </w:tbl>
    <w:p w14:paraId="6C8D9BBE" w14:textId="77777777" w:rsidR="008A60FB" w:rsidRDefault="008A60FB">
      <w:pPr>
        <w:spacing w:after="80"/>
      </w:pPr>
    </w:p>
    <w:p w14:paraId="0F9CAEE7" w14:textId="77777777" w:rsidR="008A60FB" w:rsidRDefault="00000000">
      <w:pPr>
        <w:pBdr>
          <w:bottom w:val="single" w:sz="6" w:space="3" w:color="DA7052"/>
        </w:pBdr>
        <w:spacing w:before="320" w:after="100"/>
      </w:pPr>
      <w:r>
        <w:rPr>
          <w:rFonts w:ascii="Georgia" w:eastAsia="Georgia" w:hAnsi="Georgia" w:cs="Georgia"/>
          <w:b/>
          <w:bCs/>
          <w:sz w:val="30"/>
          <w:szCs w:val="30"/>
        </w:rPr>
        <w:t>3. El estándar Global Artisan C-Sink — por qué existe y qué exige</w:t>
      </w:r>
    </w:p>
    <w:p w14:paraId="08EE9688" w14:textId="77777777" w:rsidR="008A60FB" w:rsidRDefault="00000000">
      <w:pPr>
        <w:spacing w:before="200" w:after="60"/>
      </w:pPr>
      <w:r>
        <w:rPr>
          <w:b/>
          <w:bCs/>
          <w:color w:val="DA7052"/>
          <w:sz w:val="22"/>
          <w:szCs w:val="22"/>
        </w:rPr>
        <w:t>Marco conceptual: estándares de integridad en mercados de carbono</w:t>
      </w:r>
    </w:p>
    <w:p w14:paraId="4411A53D" w14:textId="77777777" w:rsidR="008A60FB" w:rsidRDefault="00000000">
      <w:pPr>
        <w:spacing w:before="40" w:after="80"/>
      </w:pPr>
      <w:r>
        <w:t>El mercado voluntario de carbono ha sido históricamente criticado por la falta de rigor en la verificación de créditos. Créditos que afirmaban remover o evitar emisiones pero que no podían ser verificados independientemente han dañado la confianza del mercado. En respuesta, organismos como el Integrity Council for the Voluntary Carbon Market (ICVCM) han establecido principios de calidad, y los estándares como el Global Artisan C-Sink se han desarrollado para cumplir esos principios de manera verificable.</w:t>
      </w:r>
    </w:p>
    <w:p w14:paraId="73FCFA16" w14:textId="77777777" w:rsidR="008A60FB" w:rsidRDefault="00000000">
      <w:pPr>
        <w:spacing w:before="40" w:after="80"/>
      </w:pPr>
      <w:r>
        <w:t xml:space="preserve">El Global Artisan C-Sink, administrado por Carbon Standards International (CSI) y avalado por ICROA (International Carbon Reduction and Offset Alliance), define exactamente qué debe producirse, cómo debe </w:t>
      </w:r>
      <w:r>
        <w:lastRenderedPageBreak/>
        <w:t>registrarse y qué evidencia debe existir en cada paso. No es un conjunto de recomendaciones — es un protocolo de cumplimiento obligatorio cuya verificación es condición sine qua non para la emisión del crédito.</w:t>
      </w:r>
    </w:p>
    <w:p w14:paraId="4B131188" w14:textId="77777777" w:rsidR="008A60FB" w:rsidRDefault="008A60FB">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2800"/>
        <w:gridCol w:w="2880"/>
      </w:tblGrid>
      <w:tr w:rsidR="008A60FB" w14:paraId="54B5761B" w14:textId="77777777">
        <w:tblPrEx>
          <w:tblCellMar>
            <w:top w:w="0" w:type="dxa"/>
            <w:bottom w:w="0" w:type="dxa"/>
          </w:tblCellMar>
        </w:tblPrEx>
        <w:trPr>
          <w:tblHeader/>
        </w:trPr>
        <w:tc>
          <w:tcPr>
            <w:tcW w:w="2000" w:type="dxa"/>
            <w:tcBorders>
              <w:top w:val="single" w:sz="1" w:space="0" w:color="DA7052"/>
              <w:left w:val="single" w:sz="1" w:space="0" w:color="DA7052"/>
              <w:bottom w:val="single" w:sz="1" w:space="0" w:color="DA7052"/>
              <w:right w:val="single" w:sz="1" w:space="0" w:color="DA7052"/>
            </w:tcBorders>
            <w:shd w:val="clear" w:color="auto" w:fill="DA7052"/>
            <w:tcMar>
              <w:top w:w="80" w:type="dxa"/>
              <w:left w:w="120" w:type="dxa"/>
              <w:bottom w:w="80" w:type="dxa"/>
              <w:right w:w="120" w:type="dxa"/>
            </w:tcMar>
          </w:tcPr>
          <w:p w14:paraId="35946BB1" w14:textId="77777777" w:rsidR="008A60FB" w:rsidRDefault="00000000">
            <w:r>
              <w:rPr>
                <w:b/>
                <w:bCs/>
                <w:color w:val="FFFFFF"/>
                <w:sz w:val="19"/>
                <w:szCs w:val="19"/>
              </w:rPr>
              <w:t>Requisito del estándar</w:t>
            </w:r>
          </w:p>
        </w:tc>
        <w:tc>
          <w:tcPr>
            <w:tcW w:w="2400" w:type="dxa"/>
            <w:tcBorders>
              <w:top w:val="single" w:sz="1" w:space="0" w:color="DA7052"/>
              <w:left w:val="single" w:sz="1" w:space="0" w:color="DA7052"/>
              <w:bottom w:val="single" w:sz="1" w:space="0" w:color="DA7052"/>
              <w:right w:val="single" w:sz="1" w:space="0" w:color="DA7052"/>
            </w:tcBorders>
            <w:shd w:val="clear" w:color="auto" w:fill="DA7052"/>
            <w:tcMar>
              <w:top w:w="80" w:type="dxa"/>
              <w:left w:w="120" w:type="dxa"/>
              <w:bottom w:w="80" w:type="dxa"/>
              <w:right w:w="120" w:type="dxa"/>
            </w:tcMar>
          </w:tcPr>
          <w:p w14:paraId="19F4449D" w14:textId="77777777" w:rsidR="008A60FB" w:rsidRDefault="00000000">
            <w:r>
              <w:rPr>
                <w:b/>
                <w:bCs/>
                <w:color w:val="FFFFFF"/>
                <w:sz w:val="19"/>
                <w:szCs w:val="19"/>
              </w:rPr>
              <w:t>Por qué existe</w:t>
            </w:r>
          </w:p>
        </w:tc>
        <w:tc>
          <w:tcPr>
            <w:tcW w:w="2800" w:type="dxa"/>
            <w:tcBorders>
              <w:top w:val="single" w:sz="1" w:space="0" w:color="DA7052"/>
              <w:left w:val="single" w:sz="1" w:space="0" w:color="DA7052"/>
              <w:bottom w:val="single" w:sz="1" w:space="0" w:color="DA7052"/>
              <w:right w:val="single" w:sz="1" w:space="0" w:color="DA7052"/>
            </w:tcBorders>
            <w:shd w:val="clear" w:color="auto" w:fill="DA7052"/>
            <w:tcMar>
              <w:top w:w="80" w:type="dxa"/>
              <w:left w:w="120" w:type="dxa"/>
              <w:bottom w:w="80" w:type="dxa"/>
              <w:right w:w="120" w:type="dxa"/>
            </w:tcMar>
          </w:tcPr>
          <w:p w14:paraId="4AF8F04F" w14:textId="77777777" w:rsidR="008A60FB" w:rsidRDefault="00000000">
            <w:r>
              <w:rPr>
                <w:b/>
                <w:bCs/>
                <w:color w:val="FFFFFF"/>
                <w:sz w:val="19"/>
                <w:szCs w:val="19"/>
              </w:rPr>
              <w:t>Cómo lo opera el extensionista</w:t>
            </w:r>
          </w:p>
        </w:tc>
        <w:tc>
          <w:tcPr>
            <w:tcW w:w="2880" w:type="dxa"/>
            <w:tcBorders>
              <w:top w:val="single" w:sz="1" w:space="0" w:color="DA7052"/>
              <w:left w:val="single" w:sz="1" w:space="0" w:color="DA7052"/>
              <w:bottom w:val="single" w:sz="1" w:space="0" w:color="DA7052"/>
              <w:right w:val="single" w:sz="1" w:space="0" w:color="DA7052"/>
            </w:tcBorders>
            <w:shd w:val="clear" w:color="auto" w:fill="DA7052"/>
            <w:tcMar>
              <w:top w:w="80" w:type="dxa"/>
              <w:left w:w="120" w:type="dxa"/>
              <w:bottom w:w="80" w:type="dxa"/>
              <w:right w:w="120" w:type="dxa"/>
            </w:tcMar>
          </w:tcPr>
          <w:p w14:paraId="4B27E628" w14:textId="77777777" w:rsidR="008A60FB" w:rsidRDefault="00000000">
            <w:r>
              <w:rPr>
                <w:b/>
                <w:bCs/>
                <w:color w:val="FFFFFF"/>
                <w:sz w:val="19"/>
                <w:szCs w:val="19"/>
              </w:rPr>
              <w:t>Qué pasa si no se cumple</w:t>
            </w:r>
          </w:p>
        </w:tc>
      </w:tr>
      <w:tr w:rsidR="008A60FB" w14:paraId="17EE614F" w14:textId="77777777">
        <w:tblPrEx>
          <w:tblCellMar>
            <w:top w:w="0" w:type="dxa"/>
            <w:bottom w:w="0" w:type="dxa"/>
          </w:tblCellMar>
        </w:tblPrEx>
        <w:tc>
          <w:tcPr>
            <w:tcW w:w="20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5080C106" w14:textId="77777777" w:rsidR="008A60FB" w:rsidRDefault="00000000">
            <w:r>
              <w:rPr>
                <w:b/>
                <w:bCs/>
                <w:sz w:val="19"/>
                <w:szCs w:val="19"/>
              </w:rPr>
              <w:t>Biomasa trazable</w:t>
            </w:r>
          </w:p>
        </w:tc>
        <w:tc>
          <w:tcPr>
            <w:tcW w:w="24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7679ED80" w14:textId="77777777" w:rsidR="008A60FB" w:rsidRDefault="00000000">
            <w:r>
              <w:rPr>
                <w:sz w:val="19"/>
                <w:szCs w:val="19"/>
              </w:rPr>
              <w:t>El crédito requiere carbono de fuente renovable verificada — no cualquier biomasa califica</w:t>
            </w:r>
          </w:p>
        </w:tc>
        <w:tc>
          <w:tcPr>
            <w:tcW w:w="28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3E993E09" w14:textId="77777777" w:rsidR="008A60FB" w:rsidRDefault="00000000">
            <w:r>
              <w:rPr>
                <w:sz w:val="19"/>
                <w:szCs w:val="19"/>
              </w:rPr>
              <w:t>El extensionista verifica que la biomasa es zoca de café renovada del clúster</w:t>
            </w:r>
          </w:p>
        </w:tc>
        <w:tc>
          <w:tcPr>
            <w:tcW w:w="288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17EDC6C0" w14:textId="77777777" w:rsidR="008A60FB" w:rsidRDefault="00000000">
            <w:r>
              <w:rPr>
                <w:sz w:val="19"/>
                <w:szCs w:val="19"/>
              </w:rPr>
              <w:t>La producción no es elegible — el crédito no se puede emitir</w:t>
            </w:r>
          </w:p>
        </w:tc>
      </w:tr>
      <w:tr w:rsidR="008A60FB" w14:paraId="24BD7818" w14:textId="77777777">
        <w:tblPrEx>
          <w:tblCellMar>
            <w:top w:w="0" w:type="dxa"/>
            <w:bottom w:w="0" w:type="dxa"/>
          </w:tblCellMar>
        </w:tblPrEx>
        <w:tc>
          <w:tcPr>
            <w:tcW w:w="20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2F17D7F6" w14:textId="77777777" w:rsidR="008A60FB" w:rsidRDefault="00000000">
            <w:r>
              <w:rPr>
                <w:b/>
                <w:bCs/>
                <w:sz w:val="19"/>
                <w:szCs w:val="19"/>
              </w:rPr>
              <w:t>Pirólisis documentada (Planboo)</w:t>
            </w:r>
          </w:p>
        </w:tc>
        <w:tc>
          <w:tcPr>
            <w:tcW w:w="240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40C4BE0D" w14:textId="77777777" w:rsidR="008A60FB" w:rsidRDefault="00000000">
            <w:r>
              <w:rPr>
                <w:sz w:val="19"/>
                <w:szCs w:val="19"/>
              </w:rPr>
              <w:t>El proceso de conversión debe ser verificable — sin dato no hay evidencia</w:t>
            </w:r>
          </w:p>
        </w:tc>
        <w:tc>
          <w:tcPr>
            <w:tcW w:w="280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56BBCFB7" w14:textId="77777777" w:rsidR="008A60FB" w:rsidRDefault="00000000">
            <w:r>
              <w:rPr>
                <w:sz w:val="19"/>
                <w:szCs w:val="19"/>
              </w:rPr>
              <w:t>Registro en Planboo: litros, foto con GPS, fecha y hora exactas de la quema</w:t>
            </w:r>
          </w:p>
        </w:tc>
        <w:tc>
          <w:tcPr>
            <w:tcW w:w="288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7E1C74E5" w14:textId="77777777" w:rsidR="008A60FB" w:rsidRDefault="00000000">
            <w:r>
              <w:rPr>
                <w:sz w:val="19"/>
                <w:szCs w:val="19"/>
              </w:rPr>
              <w:t>La quema no existe para CSI — esa producción se pierde del conteo</w:t>
            </w:r>
          </w:p>
        </w:tc>
      </w:tr>
      <w:tr w:rsidR="008A60FB" w14:paraId="27A00F83" w14:textId="77777777">
        <w:tblPrEx>
          <w:tblCellMar>
            <w:top w:w="0" w:type="dxa"/>
            <w:bottom w:w="0" w:type="dxa"/>
          </w:tblCellMar>
        </w:tblPrEx>
        <w:tc>
          <w:tcPr>
            <w:tcW w:w="20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13B4F0C9" w14:textId="77777777" w:rsidR="008A60FB" w:rsidRDefault="00000000">
            <w:r>
              <w:rPr>
                <w:b/>
                <w:bCs/>
                <w:sz w:val="19"/>
                <w:szCs w:val="19"/>
              </w:rPr>
              <w:t>Aplicación al suelo documentada</w:t>
            </w:r>
          </w:p>
        </w:tc>
        <w:tc>
          <w:tcPr>
            <w:tcW w:w="24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1F860E1D" w14:textId="77777777" w:rsidR="008A60FB" w:rsidRDefault="00000000">
            <w:r>
              <w:rPr>
                <w:sz w:val="19"/>
                <w:szCs w:val="19"/>
              </w:rPr>
              <w:t>El crédito es por remoción al suelo — producción sin aplicación no genera remoción verificable</w:t>
            </w:r>
          </w:p>
        </w:tc>
        <w:tc>
          <w:tcPr>
            <w:tcW w:w="28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74D81FC3" w14:textId="77777777" w:rsidR="008A60FB" w:rsidRDefault="00000000">
            <w:r>
              <w:rPr>
                <w:sz w:val="19"/>
                <w:szCs w:val="19"/>
              </w:rPr>
              <w:t>Foto georeferenciada del biochar en el lote, litros aplicados, identificación del lote en Planboo</w:t>
            </w:r>
          </w:p>
        </w:tc>
        <w:tc>
          <w:tcPr>
            <w:tcW w:w="288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224762A5" w14:textId="77777777" w:rsidR="008A60FB" w:rsidRDefault="00000000">
            <w:r>
              <w:rPr>
                <w:sz w:val="19"/>
                <w:szCs w:val="19"/>
              </w:rPr>
              <w:t>El biochar producido no genera crédito — pérdida directa de ingreso del productor</w:t>
            </w:r>
          </w:p>
        </w:tc>
      </w:tr>
      <w:tr w:rsidR="008A60FB" w14:paraId="52D3A0F5" w14:textId="77777777">
        <w:tblPrEx>
          <w:tblCellMar>
            <w:top w:w="0" w:type="dxa"/>
            <w:bottom w:w="0" w:type="dxa"/>
          </w:tblCellMar>
        </w:tblPrEx>
        <w:tc>
          <w:tcPr>
            <w:tcW w:w="20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427FD793" w14:textId="77777777" w:rsidR="008A60FB" w:rsidRDefault="00000000">
            <w:r>
              <w:rPr>
                <w:b/>
                <w:bCs/>
                <w:sz w:val="19"/>
                <w:szCs w:val="19"/>
              </w:rPr>
              <w:t>Declaración de honor (no quema)</w:t>
            </w:r>
          </w:p>
        </w:tc>
        <w:tc>
          <w:tcPr>
            <w:tcW w:w="240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3D7E0B14" w14:textId="77777777" w:rsidR="008A60FB" w:rsidRDefault="00000000">
            <w:r>
              <w:rPr>
                <w:sz w:val="19"/>
                <w:szCs w:val="19"/>
              </w:rPr>
              <w:t>Garantiza que no hay doble contabilidad — el productor no quema en paralelo</w:t>
            </w:r>
          </w:p>
        </w:tc>
        <w:tc>
          <w:tcPr>
            <w:tcW w:w="280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277BCE97" w14:textId="77777777" w:rsidR="008A60FB" w:rsidRDefault="00000000">
            <w:r>
              <w:rPr>
                <w:sz w:val="19"/>
                <w:szCs w:val="19"/>
              </w:rPr>
              <w:t>El extensionista orienta al productor y verifica que entiende el compromiso legal que firma</w:t>
            </w:r>
          </w:p>
        </w:tc>
        <w:tc>
          <w:tcPr>
            <w:tcW w:w="288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53B145E7" w14:textId="77777777" w:rsidR="008A60FB" w:rsidRDefault="00000000">
            <w:r>
              <w:rPr>
                <w:sz w:val="19"/>
                <w:szCs w:val="19"/>
              </w:rPr>
              <w:t>Si el productor quema en paralelo, el crédito pierde integridad — puede ser invalidado en auditoría</w:t>
            </w:r>
          </w:p>
        </w:tc>
      </w:tr>
      <w:tr w:rsidR="008A60FB" w14:paraId="72855341" w14:textId="77777777">
        <w:tblPrEx>
          <w:tblCellMar>
            <w:top w:w="0" w:type="dxa"/>
            <w:bottom w:w="0" w:type="dxa"/>
          </w:tblCellMar>
        </w:tblPrEx>
        <w:tc>
          <w:tcPr>
            <w:tcW w:w="20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1BD2C261" w14:textId="77777777" w:rsidR="008A60FB" w:rsidRDefault="00000000">
            <w:r>
              <w:rPr>
                <w:b/>
                <w:bCs/>
                <w:sz w:val="19"/>
                <w:szCs w:val="19"/>
              </w:rPr>
              <w:t>Contenido de carbono &gt; 82%</w:t>
            </w:r>
          </w:p>
        </w:tc>
        <w:tc>
          <w:tcPr>
            <w:tcW w:w="24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7F77C1E0" w14:textId="77777777" w:rsidR="008A60FB" w:rsidRDefault="00000000">
            <w:r>
              <w:rPr>
                <w:sz w:val="19"/>
                <w:szCs w:val="19"/>
              </w:rPr>
              <w:t>El biochar debe tener suficiente C estable para que la remoción sea real y durable</w:t>
            </w:r>
          </w:p>
        </w:tc>
        <w:tc>
          <w:tcPr>
            <w:tcW w:w="28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3055A8E2" w14:textId="77777777" w:rsidR="008A60FB" w:rsidRDefault="00000000">
            <w:r>
              <w:rPr>
                <w:sz w:val="19"/>
                <w:szCs w:val="19"/>
              </w:rPr>
              <w:t>El protocolo de pirólisis correcto garantiza el contenido — el extensionista verifica la operación del horno</w:t>
            </w:r>
          </w:p>
        </w:tc>
        <w:tc>
          <w:tcPr>
            <w:tcW w:w="288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613CBF57" w14:textId="77777777" w:rsidR="008A60FB" w:rsidRDefault="00000000">
            <w:r>
              <w:rPr>
                <w:sz w:val="19"/>
                <w:szCs w:val="19"/>
              </w:rPr>
              <w:t>Biochar de baja calidad reduce el coeficiente de remoción — menos crédito por tonelada</w:t>
            </w:r>
          </w:p>
        </w:tc>
      </w:tr>
    </w:tbl>
    <w:p w14:paraId="7FD7DEF8" w14:textId="77777777" w:rsidR="008A60FB" w:rsidRDefault="008A60FB">
      <w:pPr>
        <w:spacing w:after="80"/>
      </w:pPr>
    </w:p>
    <w:p w14:paraId="1791C1C3" w14:textId="77777777" w:rsidR="008A60FB" w:rsidRDefault="00000000">
      <w:pPr>
        <w:pBdr>
          <w:bottom w:val="single" w:sz="6" w:space="3" w:color="DA7052"/>
        </w:pBdr>
        <w:spacing w:before="320" w:after="100"/>
      </w:pPr>
      <w:r>
        <w:rPr>
          <w:rFonts w:ascii="Georgia" w:eastAsia="Georgia" w:hAnsi="Georgia" w:cs="Georgia"/>
          <w:b/>
          <w:bCs/>
          <w:sz w:val="30"/>
          <w:szCs w:val="30"/>
        </w:rPr>
        <w:t>4. El crédito de carbono y la cadena financiera — cómo el trabajo se convierte en ingreso</w:t>
      </w:r>
    </w:p>
    <w:p w14:paraId="4DC31E72" w14:textId="77777777" w:rsidR="008A60FB" w:rsidRDefault="00000000">
      <w:pPr>
        <w:spacing w:before="200" w:after="60"/>
      </w:pPr>
      <w:r>
        <w:rPr>
          <w:b/>
          <w:bCs/>
          <w:color w:val="DA7052"/>
          <w:sz w:val="22"/>
          <w:szCs w:val="22"/>
        </w:rPr>
        <w:t>Marco conceptual: impact-linked finance y KPIs como variables financieras</w:t>
      </w:r>
    </w:p>
    <w:p w14:paraId="5173D5A1" w14:textId="77777777" w:rsidR="008A60FB" w:rsidRDefault="00000000">
      <w:pPr>
        <w:spacing w:before="40" w:after="80"/>
      </w:pPr>
      <w:r>
        <w:t>El financiamiento Incofin no es un préstamo convencional. Es un instrumento de impact-linked finance: la tasa de interés no es fija sino que se ajusta en función del cumplimiento de indicadores clave de desempeño (KPIs) del proyecto. Este mecanismo alinea el incentivo financiero con el impacto real — cuando el proyecto produce más y mejor, el costo del capital baja, mejorando el margen operativo y, con él, la distribución al productor.</w:t>
      </w:r>
    </w:p>
    <w:p w14:paraId="63D74FA3" w14:textId="77777777" w:rsidR="008A60FB" w:rsidRDefault="00000000">
      <w:pPr>
        <w:spacing w:before="40" w:after="80"/>
      </w:pPr>
      <w:r>
        <w:t>Para el extensionista esto tiene una implicación directa: no opera solo indicadores de producción. Opera las variables que determinan cuánto gana un agricultor de ladera en Ataco o en Huila al final de cada período. Esa conexión no es abstracta — es la mecánica real del modelo.</w:t>
      </w:r>
    </w:p>
    <w:p w14:paraId="56170B5C" w14:textId="77777777" w:rsidR="008A60FB" w:rsidRDefault="008A60FB">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2800"/>
        <w:gridCol w:w="3280"/>
      </w:tblGrid>
      <w:tr w:rsidR="008A60FB" w14:paraId="480E1B5A" w14:textId="77777777">
        <w:tblPrEx>
          <w:tblCellMar>
            <w:top w:w="0" w:type="dxa"/>
            <w:bottom w:w="0" w:type="dxa"/>
          </w:tblCellMar>
        </w:tblPrEx>
        <w:trPr>
          <w:tblHeader/>
        </w:trPr>
        <w:tc>
          <w:tcPr>
            <w:tcW w:w="2200" w:type="dxa"/>
            <w:tcBorders>
              <w:top w:val="single" w:sz="1" w:space="0" w:color="DA7052"/>
              <w:left w:val="single" w:sz="1" w:space="0" w:color="DA7052"/>
              <w:bottom w:val="single" w:sz="1" w:space="0" w:color="DA7052"/>
              <w:right w:val="single" w:sz="1" w:space="0" w:color="DA7052"/>
            </w:tcBorders>
            <w:shd w:val="clear" w:color="auto" w:fill="DA7052"/>
            <w:tcMar>
              <w:top w:w="80" w:type="dxa"/>
              <w:left w:w="120" w:type="dxa"/>
              <w:bottom w:w="80" w:type="dxa"/>
              <w:right w:w="120" w:type="dxa"/>
            </w:tcMar>
          </w:tcPr>
          <w:p w14:paraId="4D1BBEE2" w14:textId="77777777" w:rsidR="008A60FB" w:rsidRDefault="00000000">
            <w:r>
              <w:rPr>
                <w:b/>
                <w:bCs/>
                <w:color w:val="FFFFFF"/>
                <w:sz w:val="19"/>
                <w:szCs w:val="19"/>
              </w:rPr>
              <w:t>Dato clave</w:t>
            </w:r>
          </w:p>
        </w:tc>
        <w:tc>
          <w:tcPr>
            <w:tcW w:w="1800" w:type="dxa"/>
            <w:tcBorders>
              <w:top w:val="single" w:sz="1" w:space="0" w:color="DA7052"/>
              <w:left w:val="single" w:sz="1" w:space="0" w:color="DA7052"/>
              <w:bottom w:val="single" w:sz="1" w:space="0" w:color="DA7052"/>
              <w:right w:val="single" w:sz="1" w:space="0" w:color="DA7052"/>
            </w:tcBorders>
            <w:shd w:val="clear" w:color="auto" w:fill="DA7052"/>
            <w:tcMar>
              <w:top w:w="80" w:type="dxa"/>
              <w:left w:w="120" w:type="dxa"/>
              <w:bottom w:w="80" w:type="dxa"/>
              <w:right w:w="120" w:type="dxa"/>
            </w:tcMar>
          </w:tcPr>
          <w:p w14:paraId="3C76C49C" w14:textId="77777777" w:rsidR="008A60FB" w:rsidRDefault="00000000">
            <w:r>
              <w:rPr>
                <w:b/>
                <w:bCs/>
                <w:color w:val="FFFFFF"/>
                <w:sz w:val="19"/>
                <w:szCs w:val="19"/>
              </w:rPr>
              <w:t>Valor</w:t>
            </w:r>
          </w:p>
        </w:tc>
        <w:tc>
          <w:tcPr>
            <w:tcW w:w="2800" w:type="dxa"/>
            <w:tcBorders>
              <w:top w:val="single" w:sz="1" w:space="0" w:color="DA7052"/>
              <w:left w:val="single" w:sz="1" w:space="0" w:color="DA7052"/>
              <w:bottom w:val="single" w:sz="1" w:space="0" w:color="DA7052"/>
              <w:right w:val="single" w:sz="1" w:space="0" w:color="DA7052"/>
            </w:tcBorders>
            <w:shd w:val="clear" w:color="auto" w:fill="DA7052"/>
            <w:tcMar>
              <w:top w:w="80" w:type="dxa"/>
              <w:left w:w="120" w:type="dxa"/>
              <w:bottom w:w="80" w:type="dxa"/>
              <w:right w:w="120" w:type="dxa"/>
            </w:tcMar>
          </w:tcPr>
          <w:p w14:paraId="33616CB7" w14:textId="77777777" w:rsidR="008A60FB" w:rsidRDefault="00000000">
            <w:r>
              <w:rPr>
                <w:b/>
                <w:bCs/>
                <w:color w:val="FFFFFF"/>
                <w:sz w:val="19"/>
                <w:szCs w:val="19"/>
              </w:rPr>
              <w:t>De dónde viene</w:t>
            </w:r>
          </w:p>
        </w:tc>
        <w:tc>
          <w:tcPr>
            <w:tcW w:w="3280" w:type="dxa"/>
            <w:tcBorders>
              <w:top w:val="single" w:sz="1" w:space="0" w:color="DA7052"/>
              <w:left w:val="single" w:sz="1" w:space="0" w:color="DA7052"/>
              <w:bottom w:val="single" w:sz="1" w:space="0" w:color="DA7052"/>
              <w:right w:val="single" w:sz="1" w:space="0" w:color="DA7052"/>
            </w:tcBorders>
            <w:shd w:val="clear" w:color="auto" w:fill="DA7052"/>
            <w:tcMar>
              <w:top w:w="80" w:type="dxa"/>
              <w:left w:w="120" w:type="dxa"/>
              <w:bottom w:w="80" w:type="dxa"/>
              <w:right w:w="120" w:type="dxa"/>
            </w:tcMar>
          </w:tcPr>
          <w:p w14:paraId="3B946C5E" w14:textId="77777777" w:rsidR="008A60FB" w:rsidRDefault="00000000">
            <w:r>
              <w:rPr>
                <w:b/>
                <w:bCs/>
                <w:color w:val="FFFFFF"/>
                <w:sz w:val="19"/>
                <w:szCs w:val="19"/>
              </w:rPr>
              <w:t>Significado para el extensionista</w:t>
            </w:r>
          </w:p>
        </w:tc>
      </w:tr>
      <w:tr w:rsidR="008A60FB" w14:paraId="5510807F" w14:textId="77777777">
        <w:tblPrEx>
          <w:tblCellMar>
            <w:top w:w="0" w:type="dxa"/>
            <w:bottom w:w="0" w:type="dxa"/>
          </w:tblCellMar>
        </w:tblPrEx>
        <w:tc>
          <w:tcPr>
            <w:tcW w:w="22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603C374A" w14:textId="77777777" w:rsidR="008A60FB" w:rsidRDefault="00000000">
            <w:r>
              <w:rPr>
                <w:b/>
                <w:bCs/>
                <w:sz w:val="19"/>
                <w:szCs w:val="19"/>
              </w:rPr>
              <w:t>Coeficiente de remoción</w:t>
            </w:r>
          </w:p>
        </w:tc>
        <w:tc>
          <w:tcPr>
            <w:tcW w:w="18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01220BCC" w14:textId="77777777" w:rsidR="008A60FB" w:rsidRDefault="00000000">
            <w:r>
              <w:rPr>
                <w:sz w:val="19"/>
                <w:szCs w:val="19"/>
              </w:rPr>
              <w:t>1 t biochar al suelo = 2,1 tCO₂e removidas</w:t>
            </w:r>
          </w:p>
        </w:tc>
        <w:tc>
          <w:tcPr>
            <w:tcW w:w="28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122B3288" w14:textId="77777777" w:rsidR="008A60FB" w:rsidRDefault="00000000">
            <w:r>
              <w:rPr>
                <w:sz w:val="19"/>
                <w:szCs w:val="19"/>
              </w:rPr>
              <w:t>Análisis de ciclo de vida bajo estándar Global Artisan C-Sink</w:t>
            </w:r>
          </w:p>
        </w:tc>
        <w:tc>
          <w:tcPr>
            <w:tcW w:w="328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1E3E3F56" w14:textId="77777777" w:rsidR="008A60FB" w:rsidRDefault="00000000">
            <w:r>
              <w:rPr>
                <w:sz w:val="19"/>
                <w:szCs w:val="19"/>
              </w:rPr>
              <w:t>Cada tonelada bien registrada y aplicada genera 2,1 veces su peso en créditos</w:t>
            </w:r>
          </w:p>
        </w:tc>
      </w:tr>
      <w:tr w:rsidR="008A60FB" w14:paraId="03DC937D" w14:textId="77777777">
        <w:tblPrEx>
          <w:tblCellMar>
            <w:top w:w="0" w:type="dxa"/>
            <w:bottom w:w="0" w:type="dxa"/>
          </w:tblCellMar>
        </w:tblPrEx>
        <w:tc>
          <w:tcPr>
            <w:tcW w:w="22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751E7DCF" w14:textId="77777777" w:rsidR="008A60FB" w:rsidRDefault="00000000">
            <w:r>
              <w:rPr>
                <w:b/>
                <w:bCs/>
                <w:sz w:val="19"/>
                <w:szCs w:val="19"/>
              </w:rPr>
              <w:t>Meta de producción por horno/batch</w:t>
            </w:r>
          </w:p>
        </w:tc>
        <w:tc>
          <w:tcPr>
            <w:tcW w:w="180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2DCD657D" w14:textId="77777777" w:rsidR="008A60FB" w:rsidRDefault="00000000">
            <w:r>
              <w:rPr>
                <w:sz w:val="19"/>
                <w:szCs w:val="19"/>
              </w:rPr>
              <w:t>18.500 litros en 15 días hábiles</w:t>
            </w:r>
          </w:p>
        </w:tc>
        <w:tc>
          <w:tcPr>
            <w:tcW w:w="280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3BBB267B" w14:textId="77777777" w:rsidR="008A60FB" w:rsidRDefault="00000000">
            <w:r>
              <w:rPr>
                <w:sz w:val="19"/>
                <w:szCs w:val="19"/>
              </w:rPr>
              <w:t>KPI operativo del Modelo Operativo del Extensionista v1.0</w:t>
            </w:r>
          </w:p>
        </w:tc>
        <w:tc>
          <w:tcPr>
            <w:tcW w:w="328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15C00DC2" w14:textId="77777777" w:rsidR="008A60FB" w:rsidRDefault="00000000">
            <w:r>
              <w:rPr>
                <w:sz w:val="19"/>
                <w:szCs w:val="19"/>
              </w:rPr>
              <w:t>El ritmo necesario es ~1.233 L/día por horno — un día bajo se recupera; un batch incompleto, no</w:t>
            </w:r>
          </w:p>
        </w:tc>
      </w:tr>
      <w:tr w:rsidR="008A60FB" w14:paraId="19044943" w14:textId="77777777">
        <w:tblPrEx>
          <w:tblCellMar>
            <w:top w:w="0" w:type="dxa"/>
            <w:bottom w:w="0" w:type="dxa"/>
          </w:tblCellMar>
        </w:tblPrEx>
        <w:tc>
          <w:tcPr>
            <w:tcW w:w="22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4012C4E1" w14:textId="77777777" w:rsidR="008A60FB" w:rsidRDefault="00000000">
            <w:r>
              <w:rPr>
                <w:b/>
                <w:bCs/>
                <w:sz w:val="19"/>
                <w:szCs w:val="19"/>
              </w:rPr>
              <w:t>Meta por extensionista/batch</w:t>
            </w:r>
          </w:p>
        </w:tc>
        <w:tc>
          <w:tcPr>
            <w:tcW w:w="18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2B17B47F" w14:textId="77777777" w:rsidR="008A60FB" w:rsidRDefault="00000000">
            <w:r>
              <w:rPr>
                <w:sz w:val="19"/>
                <w:szCs w:val="19"/>
              </w:rPr>
              <w:t>55.500 litros (3 hornos × 18.500 L)</w:t>
            </w:r>
          </w:p>
        </w:tc>
        <w:tc>
          <w:tcPr>
            <w:tcW w:w="28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47742DEC" w14:textId="77777777" w:rsidR="008A60FB" w:rsidRDefault="00000000">
            <w:r>
              <w:rPr>
                <w:sz w:val="19"/>
                <w:szCs w:val="19"/>
              </w:rPr>
              <w:t>3 hornos activos a cargo por extensionista</w:t>
            </w:r>
          </w:p>
        </w:tc>
        <w:tc>
          <w:tcPr>
            <w:tcW w:w="328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4F12A301" w14:textId="77777777" w:rsidR="008A60FB" w:rsidRDefault="00000000">
            <w:r>
              <w:rPr>
                <w:sz w:val="19"/>
                <w:szCs w:val="19"/>
              </w:rPr>
              <w:t>Si un horno falla 3+ días sin justificación, escalar al coordinador ese mismo día</w:t>
            </w:r>
          </w:p>
        </w:tc>
      </w:tr>
      <w:tr w:rsidR="008A60FB" w14:paraId="006A3C9A" w14:textId="77777777">
        <w:tblPrEx>
          <w:tblCellMar>
            <w:top w:w="0" w:type="dxa"/>
            <w:bottom w:w="0" w:type="dxa"/>
          </w:tblCellMar>
        </w:tblPrEx>
        <w:tc>
          <w:tcPr>
            <w:tcW w:w="22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547B5865" w14:textId="77777777" w:rsidR="008A60FB" w:rsidRDefault="00000000">
            <w:r>
              <w:rPr>
                <w:b/>
                <w:bCs/>
                <w:sz w:val="19"/>
                <w:szCs w:val="19"/>
              </w:rPr>
              <w:lastRenderedPageBreak/>
              <w:t>Producción del clúster/año</w:t>
            </w:r>
          </w:p>
        </w:tc>
        <w:tc>
          <w:tcPr>
            <w:tcW w:w="180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1AFAF85B" w14:textId="77777777" w:rsidR="008A60FB" w:rsidRDefault="00000000">
            <w:r>
              <w:rPr>
                <w:sz w:val="19"/>
                <w:szCs w:val="19"/>
              </w:rPr>
              <w:t>688 toneladas de biochar (contenido C &gt; 82%)</w:t>
            </w:r>
          </w:p>
        </w:tc>
        <w:tc>
          <w:tcPr>
            <w:tcW w:w="280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2916707C" w14:textId="77777777" w:rsidR="008A60FB" w:rsidRDefault="00000000">
            <w:r>
              <w:rPr>
                <w:sz w:val="19"/>
                <w:szCs w:val="19"/>
              </w:rPr>
              <w:t>Plan de Formación v3 + Presentación de Socialización</w:t>
            </w:r>
          </w:p>
        </w:tc>
        <w:tc>
          <w:tcPr>
            <w:tcW w:w="328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5CE60C14" w14:textId="77777777" w:rsidR="008A60FB" w:rsidRDefault="00000000">
            <w:r>
              <w:rPr>
                <w:sz w:val="19"/>
                <w:szCs w:val="19"/>
              </w:rPr>
              <w:t>Es la meta agregada del clúster — 80 productores operando en batches rotativos</w:t>
            </w:r>
          </w:p>
        </w:tc>
      </w:tr>
      <w:tr w:rsidR="008A60FB" w14:paraId="193503CD" w14:textId="77777777">
        <w:tblPrEx>
          <w:tblCellMar>
            <w:top w:w="0" w:type="dxa"/>
            <w:bottom w:w="0" w:type="dxa"/>
          </w:tblCellMar>
        </w:tblPrEx>
        <w:tc>
          <w:tcPr>
            <w:tcW w:w="22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06A3918D" w14:textId="77777777" w:rsidR="008A60FB" w:rsidRDefault="00000000">
            <w:r>
              <w:rPr>
                <w:b/>
                <w:bCs/>
                <w:sz w:val="19"/>
                <w:szCs w:val="19"/>
              </w:rPr>
              <w:t>Créditos por clúster/año</w:t>
            </w:r>
          </w:p>
        </w:tc>
        <w:tc>
          <w:tcPr>
            <w:tcW w:w="18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4C138B24" w14:textId="77777777" w:rsidR="008A60FB" w:rsidRDefault="00000000">
            <w:r>
              <w:rPr>
                <w:sz w:val="19"/>
                <w:szCs w:val="19"/>
              </w:rPr>
              <w:t>1.362 créditos de remoción de CO₂</w:t>
            </w:r>
          </w:p>
        </w:tc>
        <w:tc>
          <w:tcPr>
            <w:tcW w:w="28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24CDBCE8" w14:textId="77777777" w:rsidR="008A60FB" w:rsidRDefault="00000000">
            <w:r>
              <w:rPr>
                <w:sz w:val="19"/>
                <w:szCs w:val="19"/>
              </w:rPr>
              <w:t>688 t × 2,1 / factor de conversión volumen-masa</w:t>
            </w:r>
          </w:p>
        </w:tc>
        <w:tc>
          <w:tcPr>
            <w:tcW w:w="328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03D4E3D5" w14:textId="77777777" w:rsidR="008A60FB" w:rsidRDefault="00000000">
            <w:r>
              <w:rPr>
                <w:sz w:val="19"/>
                <w:szCs w:val="19"/>
              </w:rPr>
              <w:t>Lo que el clúster puede generar si todos los KPIs se cumplen</w:t>
            </w:r>
          </w:p>
        </w:tc>
      </w:tr>
      <w:tr w:rsidR="008A60FB" w14:paraId="7D23084C" w14:textId="77777777">
        <w:tblPrEx>
          <w:tblCellMar>
            <w:top w:w="0" w:type="dxa"/>
            <w:bottom w:w="0" w:type="dxa"/>
          </w:tblCellMar>
        </w:tblPrEx>
        <w:tc>
          <w:tcPr>
            <w:tcW w:w="22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21DF8366" w14:textId="77777777" w:rsidR="008A60FB" w:rsidRDefault="00000000">
            <w:r>
              <w:rPr>
                <w:b/>
                <w:bCs/>
                <w:sz w:val="19"/>
                <w:szCs w:val="19"/>
              </w:rPr>
              <w:t>Estructura Incofin</w:t>
            </w:r>
          </w:p>
        </w:tc>
        <w:tc>
          <w:tcPr>
            <w:tcW w:w="180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16C0B52D" w14:textId="77777777" w:rsidR="008A60FB" w:rsidRDefault="00000000">
            <w:r>
              <w:rPr>
                <w:sz w:val="19"/>
                <w:szCs w:val="19"/>
              </w:rPr>
              <w:t>Tasa de interés vinculada a cumplimiento de KPIs</w:t>
            </w:r>
          </w:p>
        </w:tc>
        <w:tc>
          <w:tcPr>
            <w:tcW w:w="280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79F34002" w14:textId="77777777" w:rsidR="008A60FB" w:rsidRDefault="00000000">
            <w:r>
              <w:rPr>
                <w:sz w:val="19"/>
                <w:szCs w:val="19"/>
              </w:rPr>
              <w:t>Modelo de impact-linked finance del proyecto</w:t>
            </w:r>
          </w:p>
        </w:tc>
        <w:tc>
          <w:tcPr>
            <w:tcW w:w="328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03EB8391" w14:textId="77777777" w:rsidR="008A60FB" w:rsidRDefault="00000000">
            <w:r>
              <w:rPr>
                <w:sz w:val="19"/>
                <w:szCs w:val="19"/>
              </w:rPr>
              <w:t>KPIs altos → tasa baja → mayor margen operativo → más ingreso al productor</w:t>
            </w:r>
          </w:p>
        </w:tc>
      </w:tr>
    </w:tbl>
    <w:p w14:paraId="44023568" w14:textId="77777777" w:rsidR="008A60FB" w:rsidRDefault="008A60FB">
      <w:pPr>
        <w:spacing w:after="80"/>
      </w:pPr>
    </w:p>
    <w:p w14:paraId="23C7C2E8" w14:textId="77777777" w:rsidR="008A60FB" w:rsidRDefault="00000000">
      <w:pPr>
        <w:spacing w:before="200" w:after="60"/>
      </w:pPr>
      <w:r>
        <w:rPr>
          <w:b/>
          <w:bCs/>
          <w:color w:val="DA7052"/>
          <w:sz w:val="22"/>
          <w:szCs w:val="22"/>
        </w:rPr>
        <w:t>Lo que determina cuánto llega al productor</w:t>
      </w:r>
    </w:p>
    <w:p w14:paraId="418CF5E1" w14:textId="77777777" w:rsidR="008A60FB" w:rsidRDefault="00000000">
      <w:pPr>
        <w:spacing w:before="40" w:after="80"/>
      </w:pPr>
      <w:r>
        <w:t>El ingreso del productor depende de tres variables que el extensionista puede influenciar directamente: (1) cuánto biochar se produce y aplica en el clúster, (2) qué proporción de esa producción queda bien documentada para certificación, y (3) si los KPIs del clúster se cumplen para mantener la tasa Incofin en el nivel favorable.</w:t>
      </w:r>
    </w:p>
    <w:p w14:paraId="57C18A09" w14:textId="77777777" w:rsidR="008A60FB" w:rsidRDefault="00000000">
      <w:pPr>
        <w:spacing w:before="40" w:after="80"/>
      </w:pPr>
      <w:r>
        <w:t>Un extensionista que entiende esta cadena no registra por cumplir. Registra porque sabe que cada dato correcto tiene un correlato financiero real para las familias que acompaña.</w:t>
      </w:r>
    </w:p>
    <w:p w14:paraId="36D9582E" w14:textId="77777777" w:rsidR="008A60FB" w:rsidRDefault="008A60FB">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
        <w:gridCol w:w="9980"/>
      </w:tblGrid>
      <w:tr w:rsidR="008A60FB" w14:paraId="2E25B8BF" w14:textId="77777777">
        <w:tblPrEx>
          <w:tblCellMar>
            <w:top w:w="0" w:type="dxa"/>
            <w:bottom w:w="0" w:type="dxa"/>
          </w:tblCellMar>
        </w:tblPrEx>
        <w:tc>
          <w:tcPr>
            <w:tcW w:w="100" w:type="dxa"/>
            <w:tcBorders>
              <w:top w:val="none" w:sz="0" w:space="0" w:color="FFFFFF"/>
              <w:left w:val="none" w:sz="0" w:space="0" w:color="FFFFFF"/>
              <w:bottom w:val="none" w:sz="0" w:space="0" w:color="FFFFFF"/>
              <w:right w:val="none" w:sz="0" w:space="0" w:color="FFFFFF"/>
            </w:tcBorders>
            <w:shd w:val="clear" w:color="auto" w:fill="DA7052"/>
            <w:tcMar>
              <w:top w:w="0" w:type="dxa"/>
              <w:left w:w="0" w:type="dxa"/>
              <w:bottom w:w="0" w:type="dxa"/>
              <w:right w:w="0" w:type="dxa"/>
            </w:tcMar>
          </w:tcPr>
          <w:p w14:paraId="4B18BF8A" w14:textId="77777777" w:rsidR="008A60FB" w:rsidRDefault="008A60FB"/>
        </w:tc>
        <w:tc>
          <w:tcPr>
            <w:tcW w:w="9980" w:type="dxa"/>
            <w:tcBorders>
              <w:top w:val="single" w:sz="1" w:space="0" w:color="3E4D58"/>
              <w:left w:val="single" w:sz="1" w:space="0" w:color="3E4D58"/>
              <w:bottom w:val="single" w:sz="1" w:space="0" w:color="3E4D58"/>
              <w:right w:val="single" w:sz="1" w:space="0" w:color="3E4D58"/>
            </w:tcBorders>
            <w:shd w:val="clear" w:color="auto" w:fill="3E4D58"/>
            <w:tcMar>
              <w:top w:w="120" w:type="dxa"/>
              <w:left w:w="160" w:type="dxa"/>
              <w:bottom w:w="120" w:type="dxa"/>
              <w:right w:w="160" w:type="dxa"/>
            </w:tcMar>
          </w:tcPr>
          <w:p w14:paraId="0F790161" w14:textId="77777777" w:rsidR="008A60FB" w:rsidRDefault="00000000">
            <w:pPr>
              <w:spacing w:after="80"/>
            </w:pPr>
            <w:r>
              <w:rPr>
                <w:b/>
                <w:bCs/>
                <w:color w:val="DA7052"/>
                <w:sz w:val="18"/>
                <w:szCs w:val="18"/>
              </w:rPr>
              <w:t>DATO CLAVE — la cadena que opera el extensionista</w:t>
            </w:r>
          </w:p>
          <w:p w14:paraId="30369D76" w14:textId="77777777" w:rsidR="008A60FB" w:rsidRDefault="00000000">
            <w:pPr>
              <w:spacing w:after="60"/>
            </w:pPr>
            <w:r>
              <w:rPr>
                <w:color w:val="FFFFFF"/>
              </w:rPr>
              <w:t>Tu registro correcto hoy → Planboo genera evidencia → CSI verifica → crédito se emite → Biodiversal vende → productor recibe ingreso.</w:t>
            </w:r>
          </w:p>
          <w:p w14:paraId="3A438CB0" w14:textId="77777777" w:rsidR="008A60FB" w:rsidRDefault="00000000">
            <w:pPr>
              <w:spacing w:after="60"/>
            </w:pPr>
            <w:r>
              <w:rPr>
                <w:color w:val="FFFFFF"/>
              </w:rPr>
              <w:t>KPIs cumplidos → tasa Incofin baja → mayor margen → más distribución al productor.</w:t>
            </w:r>
          </w:p>
          <w:p w14:paraId="4C790717" w14:textId="77777777" w:rsidR="008A60FB" w:rsidRDefault="00000000">
            <w:pPr>
              <w:spacing w:after="60"/>
            </w:pPr>
            <w:r>
              <w:rPr>
                <w:color w:val="FFFFFF"/>
              </w:rPr>
              <w:t>Registro faltante → quema no existe → crédito no se emite → ingreso del productor se reduce.</w:t>
            </w:r>
          </w:p>
          <w:p w14:paraId="5A11DE50" w14:textId="77777777" w:rsidR="008A60FB" w:rsidRDefault="00000000">
            <w:pPr>
              <w:spacing w:after="60"/>
            </w:pPr>
            <w:r>
              <w:rPr>
                <w:color w:val="FFFFFF"/>
              </w:rPr>
              <w:t>Batch incompleto → KPI cae → tasa Incofin sube → margen operativo se reduce.</w:t>
            </w:r>
          </w:p>
          <w:p w14:paraId="7A8A7E8C" w14:textId="77777777" w:rsidR="008A60FB" w:rsidRDefault="00000000">
            <w:pPr>
              <w:spacing w:after="60"/>
            </w:pPr>
            <w:r>
              <w:rPr>
                <w:color w:val="FFFFFF"/>
              </w:rPr>
              <w:t>Cada decisión de campo tiene consecuencias financieras reales — eso es lo que hace al extensionista crítico.</w:t>
            </w:r>
          </w:p>
        </w:tc>
      </w:tr>
    </w:tbl>
    <w:p w14:paraId="782D42D6" w14:textId="77777777" w:rsidR="008A60FB" w:rsidRDefault="008A60FB">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
        <w:gridCol w:w="9980"/>
      </w:tblGrid>
      <w:tr w:rsidR="008A60FB" w14:paraId="04F7B3A1" w14:textId="77777777">
        <w:tblPrEx>
          <w:tblCellMar>
            <w:top w:w="0" w:type="dxa"/>
            <w:bottom w:w="0" w:type="dxa"/>
          </w:tblCellMar>
        </w:tblPrEx>
        <w:tc>
          <w:tcPr>
            <w:tcW w:w="100" w:type="dxa"/>
            <w:tcBorders>
              <w:top w:val="none" w:sz="0" w:space="0" w:color="FFFFFF"/>
              <w:left w:val="none" w:sz="0" w:space="0" w:color="FFFFFF"/>
              <w:bottom w:val="none" w:sz="0" w:space="0" w:color="FFFFFF"/>
              <w:right w:val="none" w:sz="0" w:space="0" w:color="FFFFFF"/>
            </w:tcBorders>
            <w:shd w:val="clear" w:color="auto" w:fill="DA7052"/>
            <w:tcMar>
              <w:top w:w="0" w:type="dxa"/>
              <w:left w:w="0" w:type="dxa"/>
              <w:bottom w:w="0" w:type="dxa"/>
              <w:right w:w="0" w:type="dxa"/>
            </w:tcMar>
          </w:tcPr>
          <w:p w14:paraId="7B6A0892" w14:textId="77777777" w:rsidR="008A60FB" w:rsidRDefault="008A60FB"/>
        </w:tc>
        <w:tc>
          <w:tcPr>
            <w:tcW w:w="9980" w:type="dxa"/>
            <w:tcBorders>
              <w:top w:val="single" w:sz="1" w:space="0" w:color="3E4D58"/>
              <w:left w:val="single" w:sz="1" w:space="0" w:color="3E4D58"/>
              <w:bottom w:val="single" w:sz="1" w:space="0" w:color="3E4D58"/>
              <w:right w:val="single" w:sz="1" w:space="0" w:color="3E4D58"/>
            </w:tcBorders>
            <w:shd w:val="clear" w:color="auto" w:fill="3E4D58"/>
            <w:tcMar>
              <w:top w:w="120" w:type="dxa"/>
              <w:left w:w="160" w:type="dxa"/>
              <w:bottom w:w="120" w:type="dxa"/>
              <w:right w:w="160" w:type="dxa"/>
            </w:tcMar>
          </w:tcPr>
          <w:p w14:paraId="2DD7BA68" w14:textId="77777777" w:rsidR="008A60FB" w:rsidRDefault="00000000">
            <w:pPr>
              <w:spacing w:after="80"/>
            </w:pPr>
            <w:r>
              <w:rPr>
                <w:b/>
                <w:bCs/>
                <w:color w:val="DA7052"/>
                <w:sz w:val="18"/>
                <w:szCs w:val="18"/>
              </w:rPr>
              <w:t>FRASE PARA EL CAMPO — cuando el productor pregunte '¿a mí cuánto me pagan y quién me lo paga?'</w:t>
            </w:r>
          </w:p>
          <w:p w14:paraId="4816FAE0" w14:textId="77777777" w:rsidR="008A60FB" w:rsidRDefault="00000000">
            <w:pPr>
              <w:spacing w:after="60"/>
            </w:pPr>
            <w:r>
              <w:rPr>
                <w:color w:val="FFFFFF"/>
              </w:rPr>
              <w:t>"Don Hernando, el biochar que usted produce y aplica en su suelo genera lo que se llama un crédito de carbono.</w:t>
            </w:r>
          </w:p>
          <w:p w14:paraId="34A34E13" w14:textId="77777777" w:rsidR="008A60FB" w:rsidRDefault="00000000">
            <w:pPr>
              <w:spacing w:after="60"/>
            </w:pPr>
            <w:r>
              <w:rPr>
                <w:color w:val="FFFFFF"/>
              </w:rPr>
              <w:t>Ese crédito lo vende Biodiversal a empresas que necesitan compensar sus emisiones — en Europa, en Asia, donde sea.</w:t>
            </w:r>
          </w:p>
          <w:p w14:paraId="77F6FB8D" w14:textId="77777777" w:rsidR="008A60FB" w:rsidRDefault="00000000">
            <w:pPr>
              <w:spacing w:after="60"/>
            </w:pPr>
            <w:r>
              <w:rPr>
                <w:color w:val="FFFFFF"/>
              </w:rPr>
              <w:t>Del dinero que entra por esa venta, una parte le corresponde a usted por el trabajo que hizo.</w:t>
            </w:r>
          </w:p>
          <w:p w14:paraId="591D4975" w14:textId="77777777" w:rsidR="008A60FB" w:rsidRDefault="00000000">
            <w:pPr>
              <w:spacing w:after="60"/>
            </w:pPr>
            <w:r>
              <w:rPr>
                <w:color w:val="FFFFFF"/>
              </w:rPr>
              <w:t>Lo que determina cuánto recibe es cuánto produjo, cuánto quedó bien documentado, y si el clúster cumplió sus metas.</w:t>
            </w:r>
          </w:p>
          <w:p w14:paraId="5397E34C" w14:textId="77777777" w:rsidR="008A60FB" w:rsidRDefault="00000000">
            <w:pPr>
              <w:spacing w:after="60"/>
            </w:pPr>
            <w:r>
              <w:rPr>
                <w:color w:val="FFFFFF"/>
              </w:rPr>
              <w:t>Por eso cada quema que hacemos la registramos ese mismo día — ese registro es lo que convierte su trabajo en dinero real."</w:t>
            </w:r>
          </w:p>
        </w:tc>
      </w:tr>
    </w:tbl>
    <w:p w14:paraId="2DB2D2E0" w14:textId="77777777" w:rsidR="008A60FB" w:rsidRDefault="008A60FB">
      <w:pPr>
        <w:spacing w:after="80"/>
      </w:pPr>
    </w:p>
    <w:p w14:paraId="4050955F" w14:textId="77777777" w:rsidR="008A60FB" w:rsidRDefault="00000000">
      <w:pPr>
        <w:pBdr>
          <w:bottom w:val="single" w:sz="6" w:space="3" w:color="DA7052"/>
        </w:pBdr>
        <w:spacing w:before="320" w:after="100"/>
      </w:pPr>
      <w:r>
        <w:rPr>
          <w:rFonts w:ascii="Georgia" w:eastAsia="Georgia" w:hAnsi="Georgia" w:cs="Georgia"/>
          <w:b/>
          <w:bCs/>
          <w:sz w:val="30"/>
          <w:szCs w:val="30"/>
        </w:rPr>
        <w:t>Autoevaluación — activa lo que aprendiste</w:t>
      </w:r>
    </w:p>
    <w:p w14:paraId="6E7F279D" w14:textId="77777777" w:rsidR="008A60FB" w:rsidRDefault="00000000">
      <w:pPr>
        <w:spacing w:before="40" w:after="80"/>
      </w:pPr>
      <w:r>
        <w:t>Responde con tus propias palabras. Si no puedes responder sin volver al texto, vuelve — pero luego cierra el documento y escribe desde tu propia comprensión.</w:t>
      </w:r>
    </w:p>
    <w:p w14:paraId="1F1FA487" w14:textId="77777777" w:rsidR="008A60FB" w:rsidRDefault="008A60FB">
      <w:pPr>
        <w:spacing w:after="80"/>
      </w:pPr>
    </w:p>
    <w:p w14:paraId="1BF79780" w14:textId="77777777" w:rsidR="008A60FB" w:rsidRDefault="00000000">
      <w:pPr>
        <w:pStyle w:val="Prrafodelista"/>
        <w:numPr>
          <w:ilvl w:val="0"/>
          <w:numId w:val="2"/>
        </w:numPr>
        <w:spacing w:before="60" w:after="80"/>
      </w:pPr>
      <w:r>
        <w:t>Describe los ocho pasos del modelo en ocho frases — una por paso. Usa el lenguaje que usarías para explicárselos a un colega nuevo que empieza en el proyecto.</w:t>
      </w:r>
    </w:p>
    <w:p w14:paraId="047BD5C8" w14:textId="77777777" w:rsidR="008A60FB" w:rsidRDefault="00000000">
      <w:pPr>
        <w:pStyle w:val="Prrafodelista"/>
        <w:numPr>
          <w:ilvl w:val="0"/>
          <w:numId w:val="2"/>
        </w:numPr>
        <w:spacing w:before="60" w:after="80"/>
      </w:pPr>
      <w:r>
        <w:lastRenderedPageBreak/>
        <w:t>¿Cuál es la diferencia entre el rol de CSI y el rol de CERES en el modelo? ¿Por qué son dos actores distintos y no uno solo?</w:t>
      </w:r>
    </w:p>
    <w:p w14:paraId="1DC509B0" w14:textId="77777777" w:rsidR="008A60FB" w:rsidRDefault="00000000">
      <w:pPr>
        <w:pStyle w:val="Prrafodelista"/>
        <w:numPr>
          <w:ilvl w:val="0"/>
          <w:numId w:val="2"/>
        </w:numPr>
        <w:spacing w:before="60" w:after="80"/>
      </w:pPr>
      <w:r>
        <w:t>Calcula mentalmente: si un horno produce 15.000 litros en un batch en lugar de 18.500, ¿cuántos créditos se pierden? ¿Qué habría que haber hecho diferente para evitarlo?</w:t>
      </w:r>
    </w:p>
    <w:p w14:paraId="2B1168F9" w14:textId="77777777" w:rsidR="008A60FB" w:rsidRDefault="00000000">
      <w:pPr>
        <w:pStyle w:val="Prrafodelista"/>
        <w:numPr>
          <w:ilvl w:val="0"/>
          <w:numId w:val="2"/>
        </w:numPr>
        <w:spacing w:before="60" w:after="80"/>
      </w:pPr>
      <w:r>
        <w:t>Recuerda o imagina una situación en que un productor te dice que hizo una quema pero que 'se le olvidó decirte'. Esa quema ocurrió hace dos días y no está en Planboo. ¿Qué haces? Describe los pasos y el razonamiento.</w:t>
      </w:r>
    </w:p>
    <w:p w14:paraId="55F4EF99" w14:textId="77777777" w:rsidR="008A60FB" w:rsidRDefault="00000000">
      <w:pPr>
        <w:pStyle w:val="Prrafodelista"/>
        <w:numPr>
          <w:ilvl w:val="0"/>
          <w:numId w:val="2"/>
        </w:numPr>
        <w:spacing w:before="60" w:after="80"/>
      </w:pPr>
      <w:r>
        <w:t>Explica en 60 segundos (escríbelo como si lo dijeras en voz alta) por qué el cumplimiento de los KPIs del clúster tiene un impacto directo en el ingreso del productor. Usa la cadena completa, sin saltar pasos.</w:t>
      </w:r>
    </w:p>
    <w:p w14:paraId="3098A3F0" w14:textId="77777777" w:rsidR="008A60FB" w:rsidRDefault="008A60FB">
      <w:pPr>
        <w:spacing w:after="80"/>
      </w:pPr>
    </w:p>
    <w:p w14:paraId="6AD6027B" w14:textId="77777777" w:rsidR="008A60FB" w:rsidRDefault="00000000">
      <w:pPr>
        <w:pBdr>
          <w:top w:val="single" w:sz="2" w:space="4" w:color="E8E4DF"/>
        </w:pBdr>
        <w:spacing w:before="280"/>
        <w:jc w:val="center"/>
      </w:pPr>
      <w:r>
        <w:rPr>
          <w:color w:val="6B7280"/>
          <w:sz w:val="15"/>
          <w:szCs w:val="15"/>
        </w:rPr>
        <w:t>BIODIVERSAL SAS BIC — Agricultura Regenerativa  |  Línea Bioimpacto  |  Proyecto Coffee Biochar  |  Guía de Lectura  —  Sesión 2.2 — El Modelo Coffee Biochar de Inicio a Fin  |  v1.0 — 2025</w:t>
      </w:r>
    </w:p>
    <w:sectPr w:rsidR="008A60F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75473"/>
    <w:multiLevelType w:val="hybridMultilevel"/>
    <w:tmpl w:val="2DF4467C"/>
    <w:lvl w:ilvl="0" w:tplc="85209B0E">
      <w:start w:val="1"/>
      <w:numFmt w:val="bullet"/>
      <w:lvlText w:val="●"/>
      <w:lvlJc w:val="left"/>
      <w:pPr>
        <w:ind w:left="720" w:hanging="360"/>
      </w:pPr>
    </w:lvl>
    <w:lvl w:ilvl="1" w:tplc="159437B0">
      <w:start w:val="1"/>
      <w:numFmt w:val="bullet"/>
      <w:lvlText w:val="○"/>
      <w:lvlJc w:val="left"/>
      <w:pPr>
        <w:ind w:left="1440" w:hanging="360"/>
      </w:pPr>
    </w:lvl>
    <w:lvl w:ilvl="2" w:tplc="B2585DDC">
      <w:start w:val="1"/>
      <w:numFmt w:val="bullet"/>
      <w:lvlText w:val="■"/>
      <w:lvlJc w:val="left"/>
      <w:pPr>
        <w:ind w:left="2160" w:hanging="360"/>
      </w:pPr>
    </w:lvl>
    <w:lvl w:ilvl="3" w:tplc="5C4673E6">
      <w:start w:val="1"/>
      <w:numFmt w:val="bullet"/>
      <w:lvlText w:val="●"/>
      <w:lvlJc w:val="left"/>
      <w:pPr>
        <w:ind w:left="2880" w:hanging="360"/>
      </w:pPr>
    </w:lvl>
    <w:lvl w:ilvl="4" w:tplc="BCD00AF8">
      <w:start w:val="1"/>
      <w:numFmt w:val="bullet"/>
      <w:lvlText w:val="○"/>
      <w:lvlJc w:val="left"/>
      <w:pPr>
        <w:ind w:left="3600" w:hanging="360"/>
      </w:pPr>
    </w:lvl>
    <w:lvl w:ilvl="5" w:tplc="0992A004">
      <w:start w:val="1"/>
      <w:numFmt w:val="bullet"/>
      <w:lvlText w:val="■"/>
      <w:lvlJc w:val="left"/>
      <w:pPr>
        <w:ind w:left="4320" w:hanging="360"/>
      </w:pPr>
    </w:lvl>
    <w:lvl w:ilvl="6" w:tplc="58C26AB0">
      <w:start w:val="1"/>
      <w:numFmt w:val="bullet"/>
      <w:lvlText w:val="●"/>
      <w:lvlJc w:val="left"/>
      <w:pPr>
        <w:ind w:left="5040" w:hanging="360"/>
      </w:pPr>
    </w:lvl>
    <w:lvl w:ilvl="7" w:tplc="547699FA">
      <w:start w:val="1"/>
      <w:numFmt w:val="bullet"/>
      <w:lvlText w:val="●"/>
      <w:lvlJc w:val="left"/>
      <w:pPr>
        <w:ind w:left="5760" w:hanging="360"/>
      </w:pPr>
    </w:lvl>
    <w:lvl w:ilvl="8" w:tplc="7E5645C4">
      <w:start w:val="1"/>
      <w:numFmt w:val="bullet"/>
      <w:lvlText w:val="●"/>
      <w:lvlJc w:val="left"/>
      <w:pPr>
        <w:ind w:left="6480" w:hanging="360"/>
      </w:pPr>
    </w:lvl>
  </w:abstractNum>
  <w:abstractNum w:abstractNumId="1" w15:restartNumberingAfterBreak="0">
    <w:nsid w:val="2B7B44A6"/>
    <w:multiLevelType w:val="hybridMultilevel"/>
    <w:tmpl w:val="CE54E6D8"/>
    <w:lvl w:ilvl="0" w:tplc="7B667AAC">
      <w:start w:val="1"/>
      <w:numFmt w:val="bullet"/>
      <w:lvlText w:val="•"/>
      <w:lvlJc w:val="left"/>
      <w:pPr>
        <w:spacing w:before="40" w:after="60"/>
        <w:ind w:left="720" w:hanging="360"/>
      </w:pPr>
    </w:lvl>
    <w:lvl w:ilvl="1" w:tplc="BDCE07CC">
      <w:numFmt w:val="decimal"/>
      <w:lvlText w:val=""/>
      <w:lvlJc w:val="left"/>
    </w:lvl>
    <w:lvl w:ilvl="2" w:tplc="7DF0EA0C">
      <w:numFmt w:val="decimal"/>
      <w:lvlText w:val=""/>
      <w:lvlJc w:val="left"/>
    </w:lvl>
    <w:lvl w:ilvl="3" w:tplc="9516D9D6">
      <w:numFmt w:val="decimal"/>
      <w:lvlText w:val=""/>
      <w:lvlJc w:val="left"/>
    </w:lvl>
    <w:lvl w:ilvl="4" w:tplc="739CB310">
      <w:numFmt w:val="decimal"/>
      <w:lvlText w:val=""/>
      <w:lvlJc w:val="left"/>
    </w:lvl>
    <w:lvl w:ilvl="5" w:tplc="E91ED42E">
      <w:numFmt w:val="decimal"/>
      <w:lvlText w:val=""/>
      <w:lvlJc w:val="left"/>
    </w:lvl>
    <w:lvl w:ilvl="6" w:tplc="6756DBDC">
      <w:numFmt w:val="decimal"/>
      <w:lvlText w:val=""/>
      <w:lvlJc w:val="left"/>
    </w:lvl>
    <w:lvl w:ilvl="7" w:tplc="41B424FE">
      <w:numFmt w:val="decimal"/>
      <w:lvlText w:val=""/>
      <w:lvlJc w:val="left"/>
    </w:lvl>
    <w:lvl w:ilvl="8" w:tplc="70EA3302">
      <w:numFmt w:val="decimal"/>
      <w:lvlText w:val=""/>
      <w:lvlJc w:val="left"/>
    </w:lvl>
  </w:abstractNum>
  <w:abstractNum w:abstractNumId="2" w15:restartNumberingAfterBreak="0">
    <w:nsid w:val="73636543"/>
    <w:multiLevelType w:val="hybridMultilevel"/>
    <w:tmpl w:val="F4785F86"/>
    <w:lvl w:ilvl="0" w:tplc="2FECCEC8">
      <w:start w:val="1"/>
      <w:numFmt w:val="decimal"/>
      <w:lvlText w:val="%1."/>
      <w:lvlJc w:val="left"/>
      <w:pPr>
        <w:spacing w:before="40" w:after="60"/>
        <w:ind w:left="720" w:hanging="360"/>
      </w:pPr>
    </w:lvl>
    <w:lvl w:ilvl="1" w:tplc="525281D0">
      <w:numFmt w:val="decimal"/>
      <w:lvlText w:val=""/>
      <w:lvlJc w:val="left"/>
    </w:lvl>
    <w:lvl w:ilvl="2" w:tplc="725008AE">
      <w:numFmt w:val="decimal"/>
      <w:lvlText w:val=""/>
      <w:lvlJc w:val="left"/>
    </w:lvl>
    <w:lvl w:ilvl="3" w:tplc="4F2A8E04">
      <w:numFmt w:val="decimal"/>
      <w:lvlText w:val=""/>
      <w:lvlJc w:val="left"/>
    </w:lvl>
    <w:lvl w:ilvl="4" w:tplc="B7781604">
      <w:numFmt w:val="decimal"/>
      <w:lvlText w:val=""/>
      <w:lvlJc w:val="left"/>
    </w:lvl>
    <w:lvl w:ilvl="5" w:tplc="EEBE9FBE">
      <w:numFmt w:val="decimal"/>
      <w:lvlText w:val=""/>
      <w:lvlJc w:val="left"/>
    </w:lvl>
    <w:lvl w:ilvl="6" w:tplc="B184AFF4">
      <w:numFmt w:val="decimal"/>
      <w:lvlText w:val=""/>
      <w:lvlJc w:val="left"/>
    </w:lvl>
    <w:lvl w:ilvl="7" w:tplc="C29C7C1E">
      <w:numFmt w:val="decimal"/>
      <w:lvlText w:val=""/>
      <w:lvlJc w:val="left"/>
    </w:lvl>
    <w:lvl w:ilvl="8" w:tplc="F3DA9518">
      <w:numFmt w:val="decimal"/>
      <w:lvlText w:val=""/>
      <w:lvlJc w:val="left"/>
    </w:lvl>
  </w:abstractNum>
  <w:num w:numId="1" w16cid:durableId="1061757472">
    <w:abstractNumId w:val="0"/>
    <w:lvlOverride w:ilvl="0">
      <w:startOverride w:val="1"/>
    </w:lvlOverride>
  </w:num>
  <w:num w:numId="2" w16cid:durableId="140668793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isplayBackgroundShape/>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0FB"/>
    <w:rsid w:val="005C05F5"/>
    <w:rsid w:val="00815052"/>
    <w:rsid w:val="008A60F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382D6C1C"/>
  <w15:docId w15:val="{98E6E16E-2821-F946-A473-352DF15E6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E4D58"/>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2342</Words>
  <Characters>12881</Characters>
  <Application>Microsoft Office Word</Application>
  <DocSecurity>0</DocSecurity>
  <Lines>107</Lines>
  <Paragraphs>30</Paragraphs>
  <ScaleCrop>false</ScaleCrop>
  <Company/>
  <LinksUpToDate>false</LinksUpToDate>
  <CharactersWithSpaces>15193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Especialista de Negocios Verdes</cp:lastModifiedBy>
  <cp:revision>2</cp:revision>
  <dcterms:created xsi:type="dcterms:W3CDTF">2026-03-06T19:15:00Z</dcterms:created>
  <dcterms:modified xsi:type="dcterms:W3CDTF">2026-03-06T19:15:00Z</dcterms:modified>
</cp:coreProperties>
</file>