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Lectura Complementaria S2.3</w:t>
      </w:r>
    </w:p>
    <w:p>
      <w:pPr>
        <w:pStyle w:val="Ttulo2"/>
      </w:pPr>
      <w:r>
        <w:t>El estándar Global Artisan C-Sink: metodología y verificación</w:t>
      </w:r>
    </w:p>
    <w:p>
      <w:pPr>
        <w:jc w:val="center"/>
      </w:pPr>
      <w:r>
        <w:rPr>
          <w:b/>
          <w:sz w:val="22"/>
        </w:rPr>
        <w:t>Coffee Biochar Academy — Módulo 02: Fundamentos del proyecto y carbono</w:t>
      </w:r>
    </w:p>
    <w:p>
      <w:pPr>
        <w:jc w:val="center"/>
      </w:pPr>
      <w:r>
        <w:rPr>
          <w:b/>
          <w:sz w:val="22"/>
        </w:rPr>
        <w:t>Equipo Biodiversal | 2026</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2.3_trazabilidad_csink.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Cadena de trazabilidad del estándar C-Sink: desde la pirólisis hasta el registro del crédito.</w:t>
      </w:r>
    </w:p>
    <w:p>
      <w:pPr>
        <w:pStyle w:val="Ttulo2"/>
      </w:pPr>
      <w:r>
        <w:t>Introducción</w:t>
      </w:r>
    </w:p>
    <w:p>
      <w:pPr/>
      <w:r>
        <w:t>El momento en el que un caficultor de Nariño termina de cargar su horno Kon-Tiki con residuos de zoca, enciende la quema y registra la operación con su teléfono, no es solo un acto agronómico. Es el primer eslabón de una cadena de verificación que, si se ejecuta correctamente, terminará en la emisión de un certificado internacional de remoción de carbono con valor real en el mercado global. Lo que hace posible ese trayecto —del horno al certificado— es una metodología técnica específica: el estándar Global Artisan C-Sink.</w:t>
      </w:r>
    </w:p>
    <w:p>
      <w:pPr/>
      <w:r>
        <w:t>El C-Sink (</w:t>
      </w:r>
      <w:r>
        <w:rPr>
          <w:i/>
        </w:rPr>
        <w:t>Carbon Sink</w:t>
      </w:r>
      <w:r>
        <w:t>) es el estándar de certificación de biochar artesanal desarrollado por el Instituto Ithaka y Carbon Standards International. No es un estándar genérico de carbono aplicado al biochar: fue diseñado específicamente para productores de pequeña escala que utilizan hornos artesanales como el Kon-Tiki, operan con feedstocks locales de origen agrícola y no disponen de la infraestructura industrial de los productores comerciales de biochar a escala industrial. Esta especificidad es la que lo hace relevante para el contexto cafetero colombiano y la razón por la que el Coffee Biochar Academy lo adoptó como su metodología de referencia.</w:t>
      </w:r>
    </w:p>
    <w:p>
      <w:pPr/>
      <w:r>
        <w:t xml:space="preserve">Esta lectura explica la estructura del estándar C-Sink, los parámetros técnicos que debe cumplir el biochar para ser certificable, el protocolo de muestreo y análisis de laboratorio, el sistema de monitoreo digital (dMRV) y el mecanismo de trazabilidad desde el lote de producción hasta el crédito emitido. El objetivo es que el extensionista comprenda no solo </w:t>
      </w:r>
      <w:r>
        <w:rPr>
          <w:i/>
        </w:rPr>
        <w:t>qué</w:t>
      </w:r>
      <w:r>
        <w:t xml:space="preserve"> hace el sistema de certificación, sino </w:t>
      </w:r>
      <w:r>
        <w:rPr>
          <w:i/>
        </w:rPr>
        <w:t>por qué</w:t>
      </w:r>
      <w:r>
        <w:t xml:space="preserve"> cada requisito existe y qué consecuencia tiene su incumplimiento. Esta comprensión transforma al extensionista de ejecutor de protocolos en garante activo de la calidad del sistema.</w:t>
      </w:r>
    </w:p>
    <w:p>
      <w:pPr>
        <w:pStyle w:val="Ttulo2"/>
      </w:pPr>
      <w:r>
        <w:t>1. Fundamentos científicos del C-Sink: por qué el biochar artesanal puede certificarse</w:t>
      </w:r>
    </w:p>
    <w:p>
      <w:pPr>
        <w:pStyle w:val="Ttulo3"/>
      </w:pPr>
      <w:r>
        <w:t>1.1 El biochar como tecnología de remoción de carbono</w:t>
      </w:r>
    </w:p>
    <w:p>
      <w:pPr/>
      <w:r>
        <w:t>Para que el biochar artesanal sea certificable como remoción de carbono, debe cumplir una condición lógica fundamental: el carbono que contiene debe provenir de la atmósfera mediante fotosíntesis de la planta original, haber sido transformado en una forma estable durante la pirolisis, y permanecer en el suelo durante un período verificablemente largo. Si cualquiera de estos tres elementos falla —si el feedstock no tiene origen biológico renovable, si la pirolisis no estabiliza el carbono, o si el biochar se descompone rápidamente en el suelo—, el crédito no representa remoción real y no debería emitirse.</w:t>
      </w:r>
    </w:p>
    <w:p>
      <w:pPr/>
      <w:r>
        <w:t xml:space="preserve">Woolf et al. (2010), en el paper fundacional del campo publicado en </w:t>
      </w:r>
      <w:r>
        <w:rPr>
          <w:i/>
        </w:rPr>
        <w:t>Nature Communications</w:t>
      </w:r>
      <w:r>
        <w:t>, establecieron las bases cuantitativas del potencial global del biochar: bajo producción sustentable de feedstock, el biochar puede remover hasta 1,8 petagramos de CO₂e por año, lo que representa aproximadamente el 12% de las emisiones anuales actuales. Este potencial no se realiza automáticamente con cualquier quema de biomasa: requiere pirolisis controlada a temperatura suficiente, feedstock de origen biológico renovable, y caracterización química que demuestre que el carbono resultante es efectivamente estable en el suelo.</w:t>
      </w:r>
    </w:p>
    <w:p>
      <w:pPr/>
      <w:r>
        <w:t xml:space="preserve">Lehmann et al. (2021), en </w:t>
      </w:r>
      <w:r>
        <w:rPr>
          <w:i/>
        </w:rPr>
        <w:t>Nature Geoscience</w:t>
      </w:r>
      <w:r>
        <w:t>, actualizaron y expandieron este marco en una revisión comprehensiva que integra más de una década de investigación posterior al trabajo de Woolf. Sus hallazgos centrales son: los biochars con ratio H/C orgánico (</w:t>
      </w:r>
      <w:r>
        <w:rPr>
          <w:i/>
        </w:rPr>
        <w:t>H/C_org</w:t>
      </w:r>
      <w:r>
        <w:t>) inferior a 0,4 tienen una fracción de carbono estable superior al 75% y tiempos de residencia medios en el suelo proyectados de más de 1.000 años. Los biochars con H/C</w:t>
      </w:r>
      <w:r>
        <w:rPr>
          <w:i/>
        </w:rPr>
        <w:t>org entre 0,4 y 0,7 son menos persistentes pero contienen fracciones estables significativas con vidas medias de décadas a siglos. La frontera del H/C</w:t>
      </w:r>
      <w:r>
        <w:t>org en 0,7 como umbral de calificación básica para certificación tiene una base científica directa en la relación entre la composición molecular del biochar y su persistencia en suelo —relación confirmada por múltiples estudios experimentales de largo plazo.</w:t>
      </w:r>
    </w:p>
    <w:p>
      <w:pPr>
        <w:pStyle w:val="Ttulo3"/>
      </w:pPr>
      <w:r>
        <w:t>1.2 La permanencia como activo verificable</w:t>
      </w:r>
    </w:p>
    <w:p>
      <w:pPr/>
      <w:r>
        <w:t xml:space="preserve">El diferencial de valor del biochar respecto a otros créditos de carbono reside en la permanencia. Woolf et al. (2021), en </w:t>
      </w:r>
      <w:r>
        <w:rPr>
          <w:i/>
        </w:rPr>
        <w:t>Environmental Science &amp; Technology</w:t>
      </w:r>
      <w:r>
        <w:t>, desarrollaron el modelo de inventario de GHG para adiciones de biochar al suelo que fue adoptado como base científica de las metodologías Puro.earth y referenciado en VM0044 de Verra. Sus simulaciones, calibradas con datos experimentales de múltiples climas, establecen que entre el 63 y el 82% del carbono inicial del biochar permanece en el suelo después de 100 años bajo temperatura de cultivo promedio de 14,9°C. Esta cifra —más de dos tercios del carbono inicial aún presente un siglo después de la aplicación— es la que justifica la categoría de "alta durabilidad" que distingue al biochar de los créditos forestales convencionales.</w:t>
      </w:r>
    </w:p>
    <w:p>
      <w:pPr/>
      <w:r>
        <w:t>La fracción específicamente más estable del biochar es el carbono aromático policíclico estable (</w:t>
      </w:r>
      <w:r>
        <w:rPr>
          <w:i/>
        </w:rPr>
        <w:t>Stable Polycyclic Aromatic Carbon</w:t>
      </w:r>
      <w:r>
        <w:t xml:space="preserve">, SPAC), cuantificable mediante la técnica de hidrólisis de temperatura programada (HyPy). Howell, Helmkamp y Belmont (2022), en </w:t>
      </w:r>
      <w:r>
        <w:rPr>
          <w:i/>
        </w:rPr>
        <w:t>Science of The Total Environment</w:t>
      </w:r>
      <w:r>
        <w:t>, demostraron que los biochars producidos mediante pirolisis controlada pueden alcanzar hasta el 75% de SPAC en base seca y libre de ceniza, con proyecciones de persistencia de más de 1.000 años en condiciones ambientales globales. Esta fracción SPAC es, en sentido estricto, lo que el C-Sink certifica cuando emite un crédito: no el carbono total del biochar sino la fracción que con alta probabilidad estadística permanecerá en el suelo durante el horizonte de tiempo declarado.</w:t>
      </w:r>
    </w:p>
    <w:p>
      <w:pPr>
        <w:pStyle w:val="Ttulo2"/>
      </w:pPr>
      <w:r>
        <w:t>2. Los parámetros de calidad del C-Sink</w:t>
      </w:r>
    </w:p>
    <w:p>
      <w:pPr>
        <w:pStyle w:val="Ttulo3"/>
      </w:pPr>
      <w:r>
        <w:t>2.1 El ratio H/C orgánico: indicador central de estabilidad</w:t>
      </w:r>
    </w:p>
    <w:p>
      <w:pPr/>
      <w:r>
        <w:t>El ratio H/C orgánico es la proporción de átomos de hidrógeno respecto a los átomos de carbono orgánico en el biochar, determinado mediante análisis elemental. En biomasa fresca (celulosa, lignina, hemicelulosa), este ratio es típicamente superior a 1,5. Durante la pirolisis, a medida que la temperatura aumenta, se pierde hidrógeno por eliminación de grupos funcionales alifáticos volátiles mientras el carbono se reorganiza en estructuras aromáticas condensadas progresivamente más estables. El resultado es un biochar con ratio H/C_org decreciente a medida que la temperatura y el tiempo de residencia en la pirolisis aumentan.</w:t>
      </w:r>
    </w:p>
    <w:p>
      <w:pPr/>
      <w:r>
        <w:t xml:space="preserve">Singh, Cowie y Smernik (2012), en </w:t>
      </w:r>
      <w:r>
        <w:rPr>
          <w:i/>
        </w:rPr>
        <w:t>Environmental Science &amp; Technology</w:t>
      </w:r>
      <w:r>
        <w:t>, demostraron experimentalmente en un estudio de cinco años con once biochars de cinco tipos de feedstocks distintos —Eucalyptus, lodo de papel, gallinaza, estiércol bovino y pino— que el ratio H/C</w:t>
      </w:r>
      <w:r>
        <w:rPr>
          <w:i/>
        </w:rPr>
        <w:t>org predice la estabilidad del carbono del biochar en suelo con mayor robustez que cualquier otro parámetro individual analizable: a mayor temperatura de pirolisis, menor H/C</w:t>
      </w:r>
      <w:r>
        <w:t>org y mayor permanencia del carbono. Este resultado constituye la justificación científica directa del uso del H/C_org como criterio central de certificación.</w:t>
      </w:r>
    </w:p>
    <w:p>
      <w:pPr/>
      <w:r>
        <w:t>El C-Sink establece tres categorías de calidad basadas en este parámetro. Los biochars con H/C</w:t>
      </w:r>
      <w:r>
        <w:rPr>
          <w:i/>
        </w:rPr>
        <w:t>org igual o inferior a 0,7 califican como Biochar Básico (*C-Sink Grade Basic*), con fracción estable igual o superior al 50% y tiempo de residencia medio de décadas. Los biochars con H/C</w:t>
      </w:r>
      <w:r>
        <w:t>org igual o inferior a 0,4 califican como Biochar Premium (</w:t>
      </w:r>
      <w:r>
        <w:rPr>
          <w:i/>
        </w:rPr>
        <w:t>C-Sink Grade Premium</w:t>
      </w:r>
      <w:r>
        <w:t>), con fracción estable superior al 75% y tiempo de residencia medio proyectado de más de 1.000 años. Los biochars con H/C</w:t>
      </w:r>
      <w:r>
        <w:rPr>
          <w:i/>
        </w:rPr>
        <w:t>org superior a 0,7 no son certificables porque la carbonización fue insuficiente para garantizar la estabilidad requerida por el estándar. El horno Kon-Tiki operado bajo el protocolo del Coffee Biochar Academy, con temperatura de combustión entre 450 y 600°C y tiempo de residencia adecuado, produce consistentemente biochars con H/C</w:t>
      </w:r>
      <w:r>
        <w:t>org entre 0,3 y 0,5, calificando típicamente para la categoría Premium.</w:t>
      </w:r>
    </w:p>
    <w:p>
      <w:pPr>
        <w:pStyle w:val="Ttulo3"/>
      </w:pPr>
      <w:r>
        <w:t>2.2 Los hidrocarburos aromáticos policíclicos: el límite de seguridad</w:t>
      </w:r>
    </w:p>
    <w:p>
      <w:pPr/>
      <w:r>
        <w:t xml:space="preserve">Los hidrocarburos aromáticos policíclicos (PAH, </w:t>
      </w:r>
      <w:r>
        <w:rPr>
          <w:i/>
        </w:rPr>
        <w:t>polycyclic aromatic hydrocarbons</w:t>
      </w:r>
      <w:r>
        <w:t>) son compuestos orgánicos formados durante cualquier proceso de combustión incompleta de materia orgánica. Varios de los 16 PAH definidos por la EPA de Estados Unidos como prioritarios (</w:t>
      </w:r>
      <w:r>
        <w:rPr>
          <w:i/>
        </w:rPr>
        <w:t>EPA-16</w:t>
      </w:r>
      <w:r>
        <w:t>) son carcinógenos o mutagénicos, razón por la cual su presencia en materiales aplicados al suelo agrícola representa un riesgo para la salud humana y los ecosistemas que el estándar de certificación debe controlar de manera conservadora.</w:t>
      </w:r>
    </w:p>
    <w:p>
      <w:pPr/>
      <w:r>
        <w:t xml:space="preserve">Hale et al. (2012), en el estudio de referencia para parámetros de PAH en biochar publicado en </w:t>
      </w:r>
      <w:r>
        <w:rPr>
          <w:i/>
        </w:rPr>
        <w:t>Environmental Science &amp; Technology</w:t>
      </w:r>
      <w:r>
        <w:t>, midieron los PAH totales y biodisponibles en una serie de biochars de pirolisis lenta producidos en condiciones controladas y encontraron concentraciones totales de entre 0,07 y 3,27 μg/g (equivalente a mg/kg), todas muy por debajo de los estándares ambientales vigentes para enmiendas de suelo. El hallazgo más relevante para el estándar es que los PAH disminuyen con el aumento de temperatura y tiempo de pirolisis, y que la pirolisis lenta a temperatura moderada-alta entre 400 y 600°C produce biochars con concentraciones de PAH sistemáticamente bajas. El límite del C-Sink y del EBC de 12 mg/kg para la suma de EPA-16 tiene base empírica directa en este estudio: representa un margen de seguridad conservador aplicado sobre los valores máximos observados en biochars bien producidos. Para el productor artesanal con horno Kon-Tiki operado correctamente, los valores típicos están en el rango de 0,1 a 3 mg/kg, un orden de magnitud por debajo del límite. El riesgo de exceder el umbral existe principalmente cuando se usan feedstocks contaminados —madera tratada, plásticos, neumáticos— o cuando la pirolisis es incompleta e irregular.</w:t>
      </w:r>
    </w:p>
    <w:p>
      <w:pPr>
        <w:pStyle w:val="Ttulo3"/>
      </w:pPr>
      <w:r>
        <w:t>2.3 El contenido de carbono orgánico y otros parámetros de calidad</w:t>
      </w:r>
    </w:p>
    <w:p>
      <w:pPr/>
      <w:r>
        <w:t>Además del H/C</w:t>
      </w:r>
      <w:r>
        <w:rPr>
          <w:i/>
        </w:rPr>
        <w:t>org y los PAH, el C-Sink exige la determinación del contenido de carbono orgánico total del biochar (*C</w:t>
      </w:r>
      <w:r>
        <w:t>org*), que es el parámetro base para el cálculo del crédito: determina cuántos kilogramos de carbono están efectivamente presentes en cada tonelada de biochar producida. Los biochars artesanales bien producidos contienen típicamente entre el 60 y el 85% de C_org en base seca.</w:t>
      </w:r>
    </w:p>
    <w:p>
      <w:pPr/>
      <w:r>
        <w:t xml:space="preserve">El estándar también establece límites para metales pesados —arsénico, cadmio, cromo, cobre, plomo, mercurio, níquel, zinc—, un indicador de pH, y la ausencia de contaminantes específicos según el tipo de feedstock. Para feedstocks de origen cafetero —zoca, pulpa, cascarilla— ninguno de estos parámetros adicionales suele ser problemático, dado el origen biológico no contaminado del material. Crombie y Mašek (2015), en </w:t>
      </w:r>
      <w:r>
        <w:rPr>
          <w:i/>
        </w:rPr>
        <w:t>GCB Bioenergy</w:t>
      </w:r>
      <w:r>
        <w:t>, analizaron cuantitativamente los trade-offs entre beneficios agronómicos y capacidad de secuestro de carbono en biochars producidos a diferentes temperaturas y concluyeron que el H/C_org, más que ningún otro parámetro individual, es el más informativo para predecir simultáneamente la permanencia del carbono y el perfil de beneficios agronómicos al suelo, lo que respalda su uso como criterio primario en el C-Sink.</w:t>
      </w:r>
    </w:p>
    <w:p>
      <w:pPr>
        <w:pStyle w:val="Ttulo2"/>
      </w:pPr>
      <w:r>
        <w:t>3. Protocolo de muestreo y análisis de laboratorio</w:t>
      </w:r>
    </w:p>
    <w:p>
      <w:pPr>
        <w:pStyle w:val="Ttulo3"/>
      </w:pPr>
      <w:r>
        <w:t>3.1 El muestreo: representatividad del lote</w:t>
      </w:r>
    </w:p>
    <w:p>
      <w:pPr/>
      <w:r>
        <w:t>La certificación se emite por lotes de producción, no por toneladas individuales. Un lote es el producto de una o varias quemas realizadas con el mismo feedstock, en el mismo equipo, en un período de tiempo acotado. Para que el análisis de laboratorio de una muestra sea representativo del lote completo, el muestreo debe ser sistemático: se toman submuestras de múltiples puntos del apilamiento —diferentes posiciones y diferentes profundidades—, se mezclan completamente, y se extrae de esa mezcla homogénea la muestra final que va al laboratorio.</w:t>
      </w:r>
    </w:p>
    <w:p>
      <w:pPr/>
      <w:r>
        <w:t>El peso mínimo de la muestra enviada al laboratorio según el protocolo C-Sink es de 200 g, obtenida de un lote completamente identificado por sus metadatos: peso total, fecha de producción, geolocalización, tipo de feedstock y número de quemas. Esta vinculación entre la muestra analizada y el lote documentado en el sistema digital es el mecanismo que garantiza que el crédito emitido corresponde al material efectivamente producido y caracterizado, no a una estimación genérica del biochar artesanal en abstracto.</w:t>
      </w:r>
    </w:p>
    <w:p>
      <w:pPr>
        <w:pStyle w:val="Ttulo3"/>
      </w:pPr>
      <w:r>
        <w:t>3.2 Los análisis de laboratorio requeridos</w:t>
      </w:r>
    </w:p>
    <w:p>
      <w:pPr/>
      <w:r>
        <w:t>El protocolo de laboratorio del C-Sink comprende tres grupos de análisis que cubren los parámetros de calificación y seguridad del biochar. El primero es el análisis elemental de carbono, hidrógeno, nitrógeno y azufre (C, H, N, S), que determina el C</w:t>
      </w:r>
      <w:r>
        <w:rPr>
          <w:i/>
        </w:rPr>
        <w:t>org y el H/C</w:t>
      </w:r>
      <w:r>
        <w:t>org mediante un analizador de combustión elemental CHN/S; su costo típico oscila entre USD 30 y 80 por muestra dependiendo del laboratorio y el país. El segundo grupo es la cuantificación de PAH totales, suma de los 16 compuestos EPA prioritarios, realizada mediante extracción con solvente orgánico y análisis por cromatografía de gases acoplada a espectrometría de masas (GC-MS); el costo típico está entre USD 80 y 150 por muestra. El tercer grupo comprende el análisis de metales pesados mediante digestión ácida seguida de análisis por espectrometría de masas con plasma inductivamente acoplado (ICP-MS) o por espectrometría de emisión óptica (ICP-OES); los costos varían entre USD 50 y 120 por muestra dependiendo del número de elementos analizados y la metodología del laboratorio.</w:t>
      </w:r>
    </w:p>
    <w:p>
      <w:pPr/>
      <w:r>
        <w:t>La frecuencia de muestreo varía según el volumen de producción, pero el estándar exige al menos un análisis de laboratorio completo por cada tipo de feedstock y por cada rango significativo de condiciones de pirolisis. Un productor que trabaja consistentemente con zoca de café en un mismo horno bien calibrado puede acumular un historial analítico que respalde la consistencia del proceso.</w:t>
      </w:r>
    </w:p>
    <w:p>
      <w:pPr>
        <w:pStyle w:val="Ttulo2"/>
      </w:pPr>
      <w:r>
        <w:t>4. El sistema dMRV: monitoreo, reporte y verificación digital</w:t>
      </w:r>
    </w:p>
    <w:p>
      <w:pPr>
        <w:pStyle w:val="Ttulo3"/>
      </w:pPr>
      <w:r>
        <w:t>4.1 Qué es el dMRV y por qué es necesario</w:t>
      </w:r>
    </w:p>
    <w:p>
      <w:pPr/>
      <w:r>
        <w:t>El monitoreo digital (</w:t>
      </w:r>
      <w:r>
        <w:rPr>
          <w:i/>
        </w:rPr>
        <w:t>digital MRV</w:t>
      </w:r>
      <w:r>
        <w:t>, dMRV) es el sistema que registra en tiempo real los datos de producción necesarios para la certificación: geolocalización del sitio de quema, peso del biochar producido, fotografías del proceso y del producto, temperatura de pirolisis cuando se dispone de sensor, identidad del productor y vinculación con el análisis de laboratorio del lote. Este sistema convierte datos de campo dispersos en registros verificables que un auditor externo puede revisar sin necesidad de estar presente en cada quema.</w:t>
      </w:r>
    </w:p>
    <w:p>
      <w:pPr/>
      <w:r>
        <w:t>La lógica del dMRV para biochar artesanal responde a una realidad operativa concreta: cuando hay cientos o miles de pequeños productores en zonas dispersas de cordillera, la verificación presencial de cada evento de producción es logísticamente imposible y económicamente inviable. El dMRV resuelve este problema creando un rastro de datos digitales que puede auditarse de manera remota, con visitas presenciales focalizadas en una muestra estadística de productores seleccionados aleatoriamente. La robustez del sistema no depende de que el auditor haya estado presente en cada quema, sino de que los registros digitales sean coherentes entre sí y con los resultados de laboratorio.</w:t>
      </w:r>
    </w:p>
    <w:p>
      <w:pPr>
        <w:pStyle w:val="Ttulo3"/>
      </w:pPr>
      <w:r>
        <w:t>4.2 La trazabilidad completa: del evento al certificado</w:t>
      </w:r>
    </w:p>
    <w:p>
      <w:pPr/>
      <w:r>
        <w:t>La cadena de trazabilidad del C-Sink conecta cada eslabón del proceso de manera que la manipulación de cualquier paso genere inconsistencias detectables por el sistema de verificación. Cuando el productor registra un evento de quema en la aplicación dMRV, el sistema genera un identificador único de lote vinculado a los datos GPS del sitio, la fotografía del proceso, el peso registrado del biochar y el tipo de feedstock declarado. Este lote digital persiste en el sistema hasta que se vincula con los resultados de laboratorio, y ambos son revisados conjuntamente por el auditor externo antes de que se autorice el cálculo del crédito.</w:t>
      </w:r>
    </w:p>
    <w:p>
      <w:pPr/>
      <w:r>
        <w:t>Si los parámetros de laboratorio del lote —H/C</w:t>
      </w:r>
      <w:r>
        <w:rPr>
          <w:i/>
        </w:rPr>
        <w:t>org, C</w:t>
      </w:r>
      <w:r>
        <w:t>org, PAH y metales— cumplen los límites del C-Sink, se procede al cálculo del crédito según la fórmula establecida. Si el H/C_org supera 0,7 o el total de PAH supera 12 mg/kg, el lote no es certificable independientemente de los demás parámetros. Si se detectan inconsistencias entre el peso registrado en campo y el volumen estimado por el feedstock declarado, o entre los metadatos de geolocalización y la ubicación del productor, el proceso de verificación se suspende hasta aclarar la discrepancia. La fortaleza del sistema no reside en ningún paso individual sino en la imposibilidad práctica de fabricar un crédito sin disponer simultáneamente de registros de campo coherentes, resultados de laboratorio verificables y una cadena de custodia trazable hacia un productor identificado.</w:t>
      </w:r>
    </w:p>
    <w:p>
      <w:pPr>
        <w:pStyle w:val="Ttulo3"/>
      </w:pPr>
      <w:r>
        <w:t>4.3 El cálculo del crédito: la matemática del certificado</w:t>
      </w:r>
    </w:p>
    <w:p>
      <w:pPr/>
      <w:r>
        <w:t>El crédito de carbono de un lote de biochar se calcula a partir de los datos de laboratorio y el peso del lote mediante una fórmula transparente y reproducible. La expresión general es la siguiente:</w:t>
      </w:r>
    </w:p>
    <w:p>
      <w:pPr>
        <w:jc w:val="center"/>
      </w:pPr>
      <w:r>
        <w:rPr>
          <w:b/>
          <w:sz w:val="22"/>
        </w:rPr>
        <w:t>CO₂e certificado (tCO₂e) = Peso_seco (kg) × C_org (fracción) × Factor_estabilidad × (44/12) ÷ 1.000</w:t>
      </w:r>
    </w:p>
    <w:p>
      <w:pPr/>
      <w:r>
        <w:t xml:space="preserve">En esta expresión, </w:t>
      </w:r>
      <w:r>
        <w:rPr>
          <w:i/>
        </w:rPr>
        <w:t>Peso_seco</w:t>
      </w:r>
      <w:r>
        <w:t xml:space="preserve"> es el peso del lote corregido por el contenido de humedad medido en laboratorio; </w:t>
      </w:r>
      <w:r>
        <w:rPr>
          <w:i/>
        </w:rPr>
        <w:t>C_org</w:t>
      </w:r>
      <w:r>
        <w:t xml:space="preserve"> es el contenido de carbono orgánico determinado por análisis elemental, expresado como fracción decimal (típicamente entre 0,60 y 0,85); </w:t>
      </w:r>
      <w:r>
        <w:rPr>
          <w:i/>
        </w:rPr>
        <w:t>Factor_estabilidad</w:t>
      </w:r>
      <w:r>
        <w:t xml:space="preserve"> es la fracción del carbono considerada permanente a 100 años, derivada del H/C</w:t>
      </w:r>
      <w:r>
        <w:rPr>
          <w:i/>
        </w:rPr>
        <w:t>org según el modelo de Woolf et al. (2021) —para H/C</w:t>
      </w:r>
      <w:r>
        <w:t>org entre 0,4 y 0,7 este factor oscila típicamente entre 0,63 y 0,75—; y la constante 44/12 convierte toneladas de carbono en toneladas de CO₂e (relación de los pesos moleculares del CO₂ y el carbono).</w:t>
      </w:r>
    </w:p>
    <w:p>
      <w:pPr/>
      <w:r>
        <w:t>Por ejemplo: un lote de 500 kg de biochar seco con C</w:t>
      </w:r>
      <w:r>
        <w:rPr>
          <w:i/>
        </w:rPr>
        <w:t>org de 0,72 y H/C</w:t>
      </w:r>
      <w:r>
        <w:t>org de 0,45 —al que corresponde un factor de estabilidad de 0,72— genera 500 × 0,72 × 0,72 × (44/12) ÷ 1.000 = aproximadamente 0,95 tCO₂e. Este número es completamente transparente, reproducible de forma independiente por cualquier auditor con acceso al certificado de laboratorio y al registro de peso del lote, y no depende de ningún supuesto sobre escenarios hipotéticos de deforestación evitada ni de modelos de redistribución de carbono en el perfil del suelo.</w:t>
      </w:r>
    </w:p>
    <w:p>
      <w:pPr>
        <w:pStyle w:val="Ttulo2"/>
      </w:pPr>
      <w:r>
        <w:t>5. La base científica de los co-beneficios contabilizados</w:t>
      </w:r>
    </w:p>
    <w:p>
      <w:pPr>
        <w:pStyle w:val="Ttulo3"/>
      </w:pPr>
      <w:r>
        <w:t>5.1 Reducción de N₂O y efecto sobre otros gases de efecto invernadero</w:t>
      </w:r>
    </w:p>
    <w:p>
      <w:pPr/>
      <w:r>
        <w:t xml:space="preserve">El C-Sink no contabiliza únicamente el carbono estabilizado en el biochar: incluye también en su cálculo la reducción de emisiones de gases de efecto invernadero del suelo que resulta de la aplicación. He et al. (2017), en un meta-análisis de 119 estudios publicado en </w:t>
      </w:r>
      <w:r>
        <w:rPr>
          <w:i/>
        </w:rPr>
        <w:t>GCB Bioenergy</w:t>
      </w:r>
      <w:r>
        <w:t>, documentaron una reducción promedio del 12,8% en las emisiones de N₂O de suelos donde se aplicó biochar, atribuida a cambios en las comunidades microbianas desnitrificantes y en las condiciones de aireación del suelo. Esta reducción, modesta a escala de finca individual, se acumula de manera significativa cuando se escala a miles de aplicaciones en un sistema de certificación regional.</w:t>
      </w:r>
    </w:p>
    <w:p>
      <w:pPr/>
      <w:r>
        <w:t xml:space="preserve">Schmidt et al. (2021), en una revisión sistemática de 26 meta-análisis publicada en </w:t>
      </w:r>
      <w:r>
        <w:rPr>
          <w:i/>
        </w:rPr>
        <w:t>GCB Bioenergy</w:t>
      </w:r>
      <w:r>
        <w:t>, confirmaron que los efectos agronómicos y ambientales del biochar son robustos y consistentes a través de estudios independientes: mejora de rendimiento de cultivos, aumento de la actividad microbiana del suelo, mejor retención de agua, y reducción de emisiones de gases de efecto invernadero. Esta evidencia no solo respalda el cálculo del crédito de carbono: respalda también la narrativa de co-beneficios múltiples que da al biochar artesanal un perfil de impacto que ningún crédito forestal puede replicar en el contexto de una finca cafetera.</w:t>
      </w:r>
    </w:p>
    <w:p>
      <w:pPr>
        <w:pStyle w:val="Ttulo3"/>
      </w:pPr>
      <w:r>
        <w:t>5.2 Permanencia del biochar en el suelo: confirmación empírica</w:t>
      </w:r>
    </w:p>
    <w:p>
      <w:pPr/>
      <w:r>
        <w:t xml:space="preserve">Sagrilo et al. (2015), en </w:t>
      </w:r>
      <w:r>
        <w:rPr>
          <w:i/>
        </w:rPr>
        <w:t>GCB Bioenergy</w:t>
      </w:r>
      <w:r>
        <w:t>, analizaron mediante meta-análisis las emisiones de CO₂ de suelos con y sin adición de biochar y encontraron que la tasa de descomposición del carbono del biochar es significativamente menor que la del carbono orgánico nativo del suelo. Este resultado es importante para la contabilidad del crédito: la adición de biochar no genera un "desplazamiento" del SOC preexistente sino que lo complementa, y el crédito emitido representa genuinamente carbono adicional al que estaría presente en ausencia del proyecto. Esta confirmación empírica de la permanencia diferencial del biochar frente al SOC convencional es uno de los fundamentos más sólidos de la credibilidad científica del sistema de certificación.</w:t>
      </w:r>
    </w:p>
    <w:p>
      <w:pPr>
        <w:pStyle w:val="Ttulo2"/>
      </w:pPr>
      <w:r>
        <w:t>6. Implicaciones prácticas para el extensionista</w:t>
      </w:r>
    </w:p>
    <w:p>
      <w:pPr/>
      <w:r>
        <w:t>La comprensión del C-Sink tiene implicaciones directas en el trabajo cotidiano del extensionista en tres dimensiones que van desde la gestión técnica del proceso hasta la comunicación con el caficultor.</w:t>
      </w:r>
    </w:p>
    <w:p>
      <w:pPr/>
      <w:r>
        <w:t>En lo que respecta a la gestión del proceso de producción, conocer que el H/C</w:t>
      </w:r>
      <w:r>
        <w:rPr>
          <w:i/>
        </w:rPr>
        <w:t>org es función de la temperatura y el tiempo de pirolisis permite al extensionista ajustar el protocolo del horno Kon-Tiki con un objetivo técnico concreto: no solo producir biochar sino producir biochar que cumpla los parámetros del estándar. Si una quema produce biochar con aspecto irregular o fragmentos que no completaron la carbonización —indicativo de pirolisis incompleta—, el extensionista sabe que el H/C</w:t>
      </w:r>
      <w:r>
        <w:t>org podría estar por encima de 0,7 y debe diagnosticar la causa: temperatura insuficiente, feedstock con humedad excesiva, tiempo de residencia reducido o flujo de aire inadecuado. Cada parámetro de proceso tiene un parámetro de laboratorio que lo refleja, y comprender esta correspondencia es lo que convierte al extensionista en un garante técnico de la calidad del sistema.</w:t>
      </w:r>
    </w:p>
    <w:p>
      <w:pPr/>
      <w:r>
        <w:t>En lo que respecta a la gestión del muestreo y la trazabilidad, el extensionista es responsable de asegurar que cada lote quede correctamente registrado en la aplicación dMRV antes de que el biochar sea aplicado, vendido o trasladado. Un lote sin registro digital no puede certificarse independientemente de la calidad química del biochar. La disciplina operativa del registro no es una formalidad burocrática: es la condición necesaria y suficiente para que el esfuerzo físico de la quema genere el ingreso de carbono correspondiente. El extensionista que internaliza esta lógica y la transmite al caficultor con claridad —el registro en el teléfono es la llave del valor, no el horno— está construyendo el hábito operativo más decisivo para la sostenibilidad financiera del sistema.</w:t>
      </w:r>
    </w:p>
    <w:p>
      <w:pPr/>
      <w:r>
        <w:t>En lo que respecta a la comunicación con el caficultor, la explicación del proceso de certificación no requiere que el caficultor comprenda la cromatografía de gases ni el análisis elemental. Requiere que comprenda tres cosas con precisión: que existe una norma de calidad del biochar y que no todo biochar pasa la prueba; que hay una cadena de documentación que va de su registro en el teléfono hasta el certificado internacional y que cada eslabón importa; y que el valor del crédito depende de la calidad del proceso documentado, no del volumen producido. Esta narrativa, explicada en términos concretos y con ejemplos de ingresos reales a escala de finca, es la que transforma al caficultor de implementador pasivo en propietario activo de un sistema que genera valor financiero, agronómico y climático simultáneamente.</w:t>
      </w:r>
    </w:p>
    <w:p>
      <w:pPr>
        <w:pStyle w:val="Ttulo2"/>
      </w:pPr>
      <w:r>
        <w:t>Conclusión</w:t>
      </w:r>
    </w:p>
    <w:p>
      <w:pPr/>
      <w:r>
        <w:t>El Global Artisan C-Sink no es un conjunto arbitrario de requisitos burocráticos: es la traducción operativa de la mejor evidencia científica disponible sobre la producción y el comportamiento del biochar en el suelo. Cada parámetro tiene una justificación experimental directa. El H/C_org inferior a 0,7 se exige porque Singh et al. (2012) y Lehmann et al. (2021) demostraron que predice la permanencia del carbono con mayor robustez que cualquier otro indicador analizable. El límite de PAH de 12 mg/kg se establece porque Hale et al. (2012) midieron el rango de biochars bien producidos y establecieron un margen de seguridad conservador sobre los valores máximos observados. La fracción de permanencia del 63 al 82% se calcula porque Woolf et al. (2021) modelaron la descomposición del carbono de biochar en múltiples condiciones climáticas reales con datos experimentales calibrados. La reducción de N₂O contabilizada como co-beneficio se sustenta en el meta-análisis de He et al. (2017) sobre 119 estudios independientes.</w:t>
      </w:r>
    </w:p>
    <w:p>
      <w:pPr/>
      <w:r>
        <w:t>Para el extensionista que comprende esta cadena entre ciencia, metodología y práctica en campo, el sistema de certificación no es una carga adicional sino una arquitectura de confianza: la razón por la que el trabajo realizado en una finca de ladera en los Andes tiene valor verificado en el mercado global de carbono, y la razón por la que ese valor puede sostenerse en el tiempo mientras la calidad del proceso se mantenga.</w:t>
      </w:r>
    </w:p>
    <w:p>
      <w:pPr>
        <w:pStyle w:val="Ttulo2"/>
      </w:pPr>
      <w:r>
        <w:t>Referencias</w:t>
      </w:r>
    </w:p>
    <w:p>
      <w:pPr/>
      <w:r>
        <w:rPr>
          <w:sz w:val="20"/>
        </w:rPr>
        <w:t xml:space="preserve">Crombie, K., &amp; Mašek, O. (2015). Biochar – synergies and trade-offs between soil enhancing properties and C sequestration potential. </w:t>
      </w:r>
      <w:r>
        <w:rPr>
          <w:i/>
          <w:sz w:val="20"/>
        </w:rPr>
        <w:t>GCB Bioenergy</w:t>
      </w:r>
      <w:r>
        <w:rPr>
          <w:sz w:val="20"/>
        </w:rPr>
        <w:t>, 7(5), 1161–1175. https://doi.org/10.1111/gcbb.12213</w:t>
      </w:r>
    </w:p>
    <w:p>
      <w:pPr/>
      <w:r>
        <w:rPr>
          <w:sz w:val="20"/>
        </w:rPr>
        <w:t xml:space="preserve">Hale, S. E., Lehmann, J., Rutherford, D., Zimmerman, A. R., Bachmann, R. T., Shitumbanuma, V., O'Toole, A., Sundqvist, K. L., Arp, H. P. H., &amp; Cornelissen, G. (2012). Quantifying the Total and Bioavailable Polycyclic Aromatic Hydrocarbons and Dioxins in Biochars. </w:t>
      </w:r>
      <w:r>
        <w:rPr>
          <w:i/>
          <w:sz w:val="20"/>
        </w:rPr>
        <w:t>Environmental Science &amp; Technology</w:t>
      </w:r>
      <w:r>
        <w:rPr>
          <w:sz w:val="20"/>
        </w:rPr>
        <w:t>, 46(5), 2830–2838. https://doi.org/10.1021/es203984k</w:t>
      </w:r>
    </w:p>
    <w:p>
      <w:pPr/>
      <w:r>
        <w:rPr>
          <w:sz w:val="20"/>
        </w:rPr>
        <w:t xml:space="preserve">He, Y., Zhou, X., Jiang, L., Li, M., Du, Z., Zhou, G., Shao, J., Wang, X., Xu, Z., Bai, S. H., Wallace, H., &amp; Xu, C. (2017). Effects of biochar application on soil greenhouse gas fluxes: a meta-analysis. </w:t>
      </w:r>
      <w:r>
        <w:rPr>
          <w:i/>
          <w:sz w:val="20"/>
        </w:rPr>
        <w:t>GCB Bioenergy</w:t>
      </w:r>
      <w:r>
        <w:rPr>
          <w:sz w:val="20"/>
        </w:rPr>
        <w:t>, 9(4), 743–755. https://doi.org/10.1111/gcbb.12376</w:t>
      </w:r>
    </w:p>
    <w:p>
      <w:pPr/>
      <w:r>
        <w:rPr>
          <w:sz w:val="20"/>
        </w:rPr>
        <w:t xml:space="preserve">Howell, A., Helmkamp, S., &amp; Belmont, E. (2022). Stable polycyclic aromatic carbon (SPAC) formation in wildfire chars and engineered biochars. </w:t>
      </w:r>
      <w:r>
        <w:rPr>
          <w:i/>
          <w:sz w:val="20"/>
        </w:rPr>
        <w:t>Science of The Total Environment</w:t>
      </w:r>
      <w:r>
        <w:rPr>
          <w:sz w:val="20"/>
        </w:rPr>
        <w:t>, 849, 157610. https://doi.org/10.1016/j.scitotenv.2022.157610</w:t>
      </w:r>
    </w:p>
    <w:p>
      <w:pPr/>
      <w:r>
        <w:rPr>
          <w:sz w:val="20"/>
        </w:rPr>
        <w:t xml:space="preserve">Lehmann, J., Cowie, A., Masiello, C. A., Kammann, C., Woolf, D., Amonette, J. E., Cayuela, M. L., Camps-Arbestain, M., &amp; Whitman, T. (2021). Biochar in climate change mitigation. </w:t>
      </w:r>
      <w:r>
        <w:rPr>
          <w:i/>
          <w:sz w:val="20"/>
        </w:rPr>
        <w:t>Nature Geoscience</w:t>
      </w:r>
      <w:r>
        <w:rPr>
          <w:sz w:val="20"/>
        </w:rPr>
        <w:t>, 14, 883–892. https://doi.org/10.1038/s41561-021-00852-8</w:t>
      </w:r>
    </w:p>
    <w:p>
      <w:pPr/>
      <w:r>
        <w:rPr>
          <w:sz w:val="20"/>
        </w:rPr>
        <w:t xml:space="preserve">Sagrilo, E., Jeffery, S., Hoffland, E., &amp; Kuyper, T. W. (2015). Emission of CO2 from biochar-amended soils and implications for soil organic carbon. </w:t>
      </w:r>
      <w:r>
        <w:rPr>
          <w:i/>
          <w:sz w:val="20"/>
        </w:rPr>
        <w:t>GCB Bioenergy</w:t>
      </w:r>
      <w:r>
        <w:rPr>
          <w:sz w:val="20"/>
        </w:rPr>
        <w:t>, 7(6), 1294–1304. https://doi.org/10.1111/gcbb.12234</w:t>
      </w:r>
    </w:p>
    <w:p>
      <w:pPr/>
      <w:r>
        <w:rPr>
          <w:sz w:val="20"/>
        </w:rPr>
        <w:t xml:space="preserve">Schmidt, H. P., Kammann, C., Hagemann, N., Leifeld, J., Bucheli, T. D., Sánchez Monedero, M. A., &amp; Cayuela, M. L. (2021). Biochar in agriculture – A systematic review of 26 global meta-analyses. </w:t>
      </w:r>
      <w:r>
        <w:rPr>
          <w:i/>
          <w:sz w:val="20"/>
        </w:rPr>
        <w:t>GCB Bioenergy</w:t>
      </w:r>
      <w:r>
        <w:rPr>
          <w:sz w:val="20"/>
        </w:rPr>
        <w:t>, 13(11), 1708–1730. https://doi.org/10.1111/gcbb.12889</w:t>
      </w:r>
    </w:p>
    <w:p>
      <w:pPr/>
      <w:r>
        <w:rPr>
          <w:sz w:val="20"/>
        </w:rPr>
        <w:t xml:space="preserve">Singh, B. P., Cowie, A. L., &amp; Smernik, R. J. (2012). Biochar carbon stability in a clayey soil as a function of feedstock and pyrolysis temperature. </w:t>
      </w:r>
      <w:r>
        <w:rPr>
          <w:i/>
          <w:sz w:val="20"/>
        </w:rPr>
        <w:t>Environmental Science &amp; Technology</w:t>
      </w:r>
      <w:r>
        <w:rPr>
          <w:sz w:val="20"/>
        </w:rPr>
        <w:t>, 46(21), 11770–11778. https://doi.org/10.1021/es302545b</w:t>
      </w:r>
    </w:p>
    <w:p>
      <w:pPr/>
      <w:r>
        <w:rPr>
          <w:sz w:val="20"/>
        </w:rPr>
        <w:t xml:space="preserve">Woolf, D., Amonette, J. E., Street-Perrott, F. A., Lehmann, J., &amp; Joseph, S. (2010). Sustainable biochar to mitigate global climate change. </w:t>
      </w:r>
      <w:r>
        <w:rPr>
          <w:i/>
          <w:sz w:val="20"/>
        </w:rPr>
        <w:t>Nature Communications</w:t>
      </w:r>
      <w:r>
        <w:rPr>
          <w:sz w:val="20"/>
        </w:rPr>
        <w:t>, 1, 56. https://doi.org/10.1038/ncomms1053</w:t>
      </w:r>
    </w:p>
    <w:p>
      <w:pPr/>
      <w:r>
        <w:rPr>
          <w:sz w:val="20"/>
        </w:rPr>
        <w:t xml:space="preserve">Woolf, D., Lehmann, J., Ogle, S., Kishimoto-Mo, A. W., McConkey, B., &amp; Baldock, J. (2021). Greenhouse Gas Inventory Model for Biochar Additions to Soil. </w:t>
      </w:r>
      <w:r>
        <w:rPr>
          <w:i/>
          <w:sz w:val="20"/>
        </w:rPr>
        <w:t>Environmental Science &amp; Technology</w:t>
      </w:r>
      <w:r>
        <w:rPr>
          <w:sz w:val="20"/>
        </w:rPr>
        <w:t>, 55(23), 14795–14805. https://doi.org/10.1021/acs.est.1c02425</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