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Lectura Complementaria S3.2</w:t>
      </w:r>
    </w:p>
    <w:p>
      <w:pPr>
        <w:pStyle w:val="Ttulo2"/>
      </w:pPr>
      <w:r>
        <w:t>El horno Kon-Tiki: diseño, operación, variables críticas y balance climático</w:t>
      </w:r>
    </w:p>
    <w:p>
      <w:pPr>
        <w:jc w:val="center"/>
      </w:pPr>
      <w:r>
        <w:rPr>
          <w:b/>
          <w:sz w:val="22"/>
        </w:rPr>
        <w:t>Coffee Biochar Academy — Módulo 03: Pirólisis, el horno Kon-Tiki y caracterización del biochar</w:t>
      </w:r>
    </w:p>
    <w:p>
      <w:pPr>
        <w:jc w:val="center"/>
      </w:pPr>
      <w:r>
        <w:rPr>
          <w:b/>
          <w:sz w:val="22"/>
        </w:rPr>
        <w:t>Equipo Biodiversal | 2026</w:t>
      </w:r>
    </w:p>
    <w:p>
      <w:pPr>
        <w:spacing w:before="240"/>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S3.2_horno_kontiki.png"/>
                    <pic:cNvPicPr/>
                  </pic:nvPicPr>
                  <pic:blipFill>
                    <a:blip r:embed="rId12"/>
                    <a:stretch>
                      <a:fillRect/>
                    </a:stretch>
                  </pic:blipFill>
                  <pic:spPr>
                    <a:xfrm>
                      <a:off x="0" y="0"/>
                      <a:ext cx="5029200" cy="2743200"/>
                    </a:xfrm>
                    <a:prstGeom prst="rect"/>
                  </pic:spPr>
                </pic:pic>
              </a:graphicData>
            </a:graphic>
          </wp:inline>
        </w:drawing>
      </w:r>
    </w:p>
    <w:p>
      <w:pPr>
        <w:spacing w:after="280"/>
        <w:jc w:val="center"/>
      </w:pPr>
      <w:r>
        <w:rPr>
          <w:i/>
          <w:sz w:val="20"/>
        </w:rPr>
        <w:t>Figura 1. Horno Kon-Tiki: diseño cónico, zonas de temperatura activa y principio de operación en cascada.</w:t>
      </w:r>
    </w:p>
    <w:p>
      <w:pPr>
        <w:pStyle w:val="Ttulo2"/>
      </w:pPr>
      <w:r>
        <w:t>Introducción</w:t>
      </w:r>
    </w:p>
    <w:p>
      <w:pPr/>
      <w:r>
        <w:t>El horno Kon-Tiki es el instrumento central del Coffee Biochar Academy. No es una tecnología sofisticada en el sentido industrial del término: es un cono de acero soldado que cualquier herrero local puede fabricar, que no requiere electricidad, combustible externo ni operadores especializados. Y sin embargo, cuando se opera correctamente, produce consistentemente un biochar que cumple los estándares de certificación del European Biochar Certificate (EBC) y del Global Artisan C-Sink, y cuyo proceso completo genera una huella de carbono neta significativamente negativa. Esta paradoja —tecnología simple, resultado certificable— es el fundamento de la "democratización del biochar" que Hans-Peter Schmidt y Paul Taylor postularon cuando publicaron el diseño original en 2014.</w:t>
      </w:r>
    </w:p>
    <w:p>
      <w:pPr/>
      <w:r>
        <w:t>Comprender el Kon-Tiki en profundidad —su geometría, su principio de operación, las variables que el operador controla, y las que puede descontrolar— es indispensable para el extensionista del Coffee Biochar Academy. No porque el extensionista necesite construir hornos, sino porque la calidad del biochar que sale del Kon-Tiki es función directa del conocimiento y la disciplina de quien lo opera. Una quema mal gestionada puede producir biochar que no pase el análisis de laboratorio, lo que significa un lote no certificable independientemente del registro digital. Una quema bien gestionada con feedstock correcto produce consistentemente biochar Premium. La diferencia está en las variables críticas que esta lectura describe.</w:t>
      </w:r>
    </w:p>
    <w:p>
      <w:pPr>
        <w:pStyle w:val="Ttulo2"/>
      </w:pPr>
      <w:r>
        <w:t>1. Diseño y principio de operación del Kon-Tiki</w:t>
      </w:r>
    </w:p>
    <w:p>
      <w:pPr>
        <w:pStyle w:val="Ttulo3"/>
      </w:pPr>
      <w:r>
        <w:t>1.1 La geometría del cono y la lógica de la cortina de llama</w:t>
      </w:r>
    </w:p>
    <w:p>
      <w:pPr/>
      <w:r>
        <w:t xml:space="preserve">Schmidt y Taylor (2014), en la publicación fundacional del diseño en </w:t>
      </w:r>
      <w:r>
        <w:rPr>
          <w:i/>
        </w:rPr>
        <w:t>The Biochar Journal</w:t>
      </w:r>
      <w:r>
        <w:t>, describen el Kon-Tiki como un horno de pirólisis de cortina de llama (</w:t>
      </w:r>
      <w:r>
        <w:rPr>
          <w:i/>
        </w:rPr>
        <w:t>flame curtain kiln</w:t>
      </w:r>
      <w:r>
        <w:t>): un cono de acero con un ángulo de inclinación de pared de 63° que crea una geometría específica para la distribución del calor y la exclusión del oxígeno. La profundidad recomendada del cono está entre 50 y 100 centímetros, con un diámetro superior que determina la capacidad de producción: los modelos estándar para uso en fincas cafeteras producen entre 20 y 100 kilogramos de biochar por tanda.</w:t>
      </w:r>
    </w:p>
    <w:p>
      <w:pPr/>
      <w:r>
        <w:t>El principio de operación es elegante en su simplicidad. Cuando se carga biomasa sobre las brasas activas del fondo del cono, la combustión de las capas superiores de biomasa fresca genera una cortina de llama que actúa como barrera efectiva contra la entrada de oxígeno hacia las capas carbonizadas de abajo. Es esta cortina de llama —no un cierre mecánico ni una atmósfera de gas inerte— lo que crea las condiciones de pirólisis en las capas inferiores: temperatura alta por conducción y radiación, oxígeno deficiente por consumo en la llama superior. El cono geométrico facilita este mecanismo porque la forma troncocónica concentra el calor hacia el centro y dirige la llama hacia arriba, formando la cortina de manera natural con cada nueva carga de biomasa.</w:t>
      </w:r>
    </w:p>
    <w:p>
      <w:pPr/>
      <w:r>
        <w:t>La temperatura en la zona activa de pirólisis —inmediatamente bajo la cortina de llama— alcanza entre 680 y 750°C según las mediciones de Schmidt y Taylor (2014). En las capas más profundas y ya carbonizadas, la temperatura decrece progresivamente hasta el rango de 150 a 450°C. Esta gradiente térmica significa que el material en distintas posiciones del cono experimenta perfiles de temperatura diferentes durante la tanda, lo que contribuye a la variabilidad natural del biochar producido y refuerza la necesidad de un muestreo representativo antes del envío al laboratorio.</w:t>
      </w:r>
    </w:p>
    <w:p>
      <w:pPr>
        <w:pStyle w:val="Ttulo3"/>
      </w:pPr>
      <w:r>
        <w:t>1.2 El contexto tecnológico: qué había antes del Kon-Tiki</w:t>
      </w:r>
    </w:p>
    <w:p>
      <w:pPr/>
      <w:r>
        <w:t>Para comprender la importancia del Kon-Tiki, es necesario situarlo en el contexto de las tecnologías alternativas de producción de carbón y biochar a pequeña escala. Verheijen, Jeffery, Bastos, van der Velde y Diafas (2010), en la revisión científica de referencia europea para biochar de suelo —publicada por el Centro Conjunto de Investigación de la Comisión Europea y base de los estándares EBC—, caracterizaron ocho tipos de tecnologías de producción: los hornos tradicionales de tierra o ladrillo, las retortas de acero, los gasificadores TLUD (</w:t>
      </w:r>
      <w:r>
        <w:rPr>
          <w:i/>
        </w:rPr>
        <w:t>Top-Lit Updraft</w:t>
      </w:r>
      <w:r>
        <w:t>), los lechos fluidizados y otros sistemas industriales. Los hornos de cono o cortina de llama fueron identificados como los más accesibles para pequeños productores en los trópicos, con la más baja barrera de capital y la mayor simplicidad operativa. El carbono fijo reportado para distintos tipos de hornos varía entre el 15 y el 85% según la tecnología y las condiciones de operación: la amplitud de este rango ilustra que la tecnología del horno no garantiza la calidad del biochar por sí sola, sino que la operación es determinante.</w:t>
      </w:r>
    </w:p>
    <w:p>
      <w:pPr>
        <w:pStyle w:val="Ttulo2"/>
      </w:pPr>
      <w:r>
        <w:t>2. Eficiencia de conversión y calidad del biochar producido</w:t>
      </w:r>
    </w:p>
    <w:p>
      <w:pPr>
        <w:pStyle w:val="Ttulo3"/>
      </w:pPr>
      <w:r>
        <w:t>2.1 Rendimiento y balance de carbono</w:t>
      </w:r>
    </w:p>
    <w:p>
      <w:pPr/>
      <w:r>
        <w:t xml:space="preserve">El estudio experimental más completo del Kon-Tiki fue publicado por Cornelissen, Pandit, Taylor, Pandit, Sparrevik y Schmidt (2016) en </w:t>
      </w:r>
      <w:r>
        <w:rPr>
          <w:i/>
        </w:rPr>
        <w:t>PLOS ONE</w:t>
      </w:r>
      <w:r>
        <w:t>, a partir de pruebas realizadas en Nepal con cuatro variantes del diseño y múltiples tipos de feedstock. Sus resultados cuantifican con precisión el balance de carbono del proceso: el rendimiento de biochar es de 22 ± 5% en base seca de la biomasa original, y la eficiencia de conversión de carbono —es decir, qué fracción del carbono presente en la biomasa inicial queda retenida en el biochar— es del 40 ± 11%. El carbono total del biochar producido fue de 76 ± 9% en peso seco, y todos los biochars analizados cumplieron los parámetros del EBC, incluyendo el límite de H/C y el límite de PAH.</w:t>
      </w:r>
    </w:p>
    <w:p>
      <w:pPr/>
      <w:r>
        <w:t>La variabilidad indicada por las desviaciones estándar —±5% en rendimiento, ±11% en eficiencia de conversión— no es una debilidad del sistema sino una característica inherente a la operación artesanal con feedstocks heterogéneos. Esta variabilidad justifica el enfoque lote por lote del sistema de certificación: en lugar de usar valores promedio de eficiencia, cada lote se analiza individualmente y se certifica por sus propiedades reales medidas.</w:t>
      </w:r>
    </w:p>
    <w:p>
      <w:pPr>
        <w:pStyle w:val="Ttulo3"/>
      </w:pPr>
      <w:r>
        <w:t>2.2 Calidad agronómica del biochar Kon-Tiki</w:t>
      </w:r>
    </w:p>
    <w:p>
      <w:pPr/>
      <w:r>
        <w:t xml:space="preserve">Pandit, Mulder, Hale, Schmidt y Cornelissen (2017), en un estudio comparativo de siete tipos de hornos publicado en </w:t>
      </w:r>
      <w:r>
        <w:rPr>
          <w:i/>
        </w:rPr>
        <w:t>PLOS ONE</w:t>
      </w:r>
      <w:r>
        <w:t>, incluidas cuatro sub-variantes del Kon-Tiki —cono metálico profundo, hoyo de tierra protegido por acero, hoyo cónico y cono pequeño de acero—, documentaron la consistencia de las propiedades agronómicas del biochar producido independientemente de la sub-variante: el pH alcanzó 9,1 ± 0,3 en todos los casos, la capacidad de intercambio catiónico (CEC) fue de 133 ± 37 cmolc/kg, y el carbono orgánico del 73,9 ± 6,4%. En un ensayo agronómico en maceta con maíz, el biochar producido en Kon-Tiki enriquecido con compost aumentó la biomasa de la planta hasta un 38% en comparación con el suelo sin enmienda. Estos resultados confirman que el biochar del Kon-Tiki no solo cumple los parámetros de certificación de carbono: tiene propiedades agronómicas documentadas que benefician directamente al cultivo en el que se aplica.</w:t>
      </w:r>
    </w:p>
    <w:p>
      <w:pPr/>
      <w:r>
        <w:t xml:space="preserve">Brewer, Unger, Schmidt-Rohr y Brown (2011), en una comparativa sistemática de biochars de pirólisis lenta y rápida publicada en </w:t>
      </w:r>
      <w:r>
        <w:rPr>
          <w:i/>
        </w:rPr>
        <w:t>BioEnergy Research</w:t>
      </w:r>
      <w:r>
        <w:t>, confirmaron mediante espectroscopía de resonancia magnética nuclear de ¹³C que la pirólisis lenta —el proceso del Kon-Tiki— produce biochars con mayor proporción de carbono aromático condensado (mayor fracción de C areno-condensado en el espectro NMR) que la pirólisis rápida, lo que se traduce en mayor estabilidad en suelo. El criterio de H/C inferior a 0,6 como mínimo de estabilidad que proponen Brewer et al. (2011) es compatible con los valores típicamente producidos por el Kon-Tiki bien operado.</w:t>
      </w:r>
    </w:p>
    <w:p>
      <w:pPr>
        <w:pStyle w:val="Ttulo2"/>
      </w:pPr>
      <w:r>
        <w:t>3. Las variables críticas de operación</w:t>
      </w:r>
    </w:p>
    <w:p>
      <w:pPr>
        <w:pStyle w:val="Ttulo3"/>
      </w:pPr>
      <w:r>
        <w:t>3.1 La humedad del feedstock: la variable con mayor impacto sobre las emisiones</w:t>
      </w:r>
    </w:p>
    <w:p>
      <w:pPr/>
      <w:r>
        <w:t>De todas las variables que el operador puede controlar, la humedad del feedstock es la que tiene el efecto más determinante sobre las emisiones de metano del proceso y sobre la viabilidad de la certificación de carbono. Esta conclusión, que tiene implicaciones directas para el trabajo del extensionista, proviene de la investigación más reciente sobre el Kon-Tiki.</w:t>
      </w:r>
    </w:p>
    <w:p>
      <w:pPr/>
      <w:r>
        <w:t xml:space="preserve">Cornelissen, Rollinson, Sørmo, van der Velde, Mataix-Solera, Hardie y Schmidt (2023), en un estudio publicado en </w:t>
      </w:r>
      <w:r>
        <w:rPr>
          <w:i/>
        </w:rPr>
        <w:t>Science of the Total Environment</w:t>
      </w:r>
      <w:r>
        <w:t xml:space="preserve"> que actualizó los datos de emisiones del estudio original de 2016, encontraron que las emisiones de metano del Kon-Tiki son prácticamente nulas —indetectables o menores a 0,0 g/kg biochar— cuando se opera con feedstock seco. El valor de 30 g de CH₄ por kg de biochar reportado en el estudio de 2016 correspondía a experimentos con feedstock húmedo. El hallazgo es crítico para la certificación: el metano tiene un GWP de aproximadamente 80 en un horizonte de 20 años, y emisiones significativas de CH₄ durante la producción reducen o anulan el beneficio climático neto del proceso. La conclusión operativa es directa: el feedstock debe secarse a menos del 20% de humedad antes de la quema para garantizar tanto las emisiones mínimas como la calidad del biochar.</w:t>
      </w:r>
    </w:p>
    <w:p>
      <w:pPr/>
      <w:r>
        <w:t xml:space="preserve">Mašek, Brownsort, Cross y Sohi (2013), en el primer estudio riguroso del trade-off entre rendimiento y estabilidad del biochar según temperatura publicado en </w:t>
      </w:r>
      <w:r>
        <w:rPr>
          <w:i/>
        </w:rPr>
        <w:t>Fuel</w:t>
      </w:r>
      <w:r>
        <w:t>, demostraron que la temperatura de 550°C produce el biochar con mejor estabilidad para aplicación en suelo, y que el rendimiento de carbono estable —definido como el producto del rendimiento en peso por la fracción de carbono fijo— tiene un máximo entre 450 y 500°C. Esta ventana óptima de temperatura, combinada con la recomendación de operar con feedstock seco, define el protocolo de producción que maximiza simultáneamente la calidad del biochar y la mínima emisión de metano.</w:t>
      </w:r>
    </w:p>
    <w:p>
      <w:pPr>
        <w:pStyle w:val="Ttulo3"/>
      </w:pPr>
      <w:r>
        <w:t>3.2 Granulometría y tipo de feedstock cafetero: una distinción crítica</w:t>
      </w:r>
    </w:p>
    <w:p>
      <w:pPr/>
      <w:r>
        <w:t xml:space="preserve">No todos los residuos del proceso cafetero son aptos para el Kon-Tiki, y esta distinción tiene base experimental directa. Quiñones-Murillo, Olivares-Dávila, Ramos-Pérez, Delgado-Zagarra, Estela-Uribe, Quispe-Gonzales y Carrasco-Venegas (2024), en un estudio de factores de emisión para distintos tipos de biomasa en hornos de cortina de llama publicado en </w:t>
      </w:r>
      <w:r>
        <w:rPr>
          <w:i/>
        </w:rPr>
        <w:t>Applied Sciences</w:t>
      </w:r>
      <w:r>
        <w:t>, encontraron que las emisiones de CH₄ y aerosoles durante la pirólisis de cáscara de café —un residuo granular fino— fueron significativamente mayores que para biomasa leñosa seca. La granulometría fina de la cáscara de café favorece una distribución irregular del calor y la generación de zonas de combustión incompleta, lo que produce emisiones elevadas e irregulares que comprometen tanto el balance climático como la calidad del biochar.</w:t>
      </w:r>
    </w:p>
    <w:p>
      <w:pPr/>
      <w:r>
        <w:t>El feedstock correcto para el Kon-Tiki en el contexto cafetero es la madera de las ramas de poda: los residuos leñosos generados durante la zoca o la poda de mantenimiento del cafeto. Este material tiene dimensiones adecuadas para el proceso —trozos de 5 a 20 centímetros que se cargan en capas—, una composición lignocelulósica que produce biochar de alta calidad, y una disponibilidad natural en las fincas sin costo de adquisición. La pulpa de café, la cascarilla y las borras del proceso húmedo no son recomendables para el Kon-Tiki: pueden usarse en otros procesos, pero sus propiedades físicas dificultan la operación correcta del horno de cortina de llama.</w:t>
      </w:r>
    </w:p>
    <w:p>
      <w:pPr>
        <w:pStyle w:val="Ttulo3"/>
      </w:pPr>
      <w:r>
        <w:t>3.3 El quenching: el apagado que preserva la calidad</w:t>
      </w:r>
    </w:p>
    <w:p>
      <w:pPr/>
      <w:r>
        <w:t>El proceso de quenching —el apagado del biochar al final de la tanda mediante agua o tierra— es una etapa que afecta directamente la calidad del producto y que el operador debe realizar con criterio. Si el biochar se apaga demasiado tarde, la oxidación residual bajo el calor acumulado puede reducir la fracción de carbono fijo. Si se apaga con exceso de agua, el biochar queda con alta humedad y requiere secado adicional antes del pesaje. Si se apaga de manera irregular, diferentes zonas del cono presentarán distintos grados de carbonización. El protocolo de apagado del Coffee Biochar Academy especifica el momento y el método precisamente porque estas decisiones tienen consecuencias sobre la calidad del lote.</w:t>
      </w:r>
    </w:p>
    <w:p>
      <w:pPr>
        <w:pStyle w:val="Ttulo2"/>
      </w:pPr>
      <w:r>
        <w:t>4. Emisiones del Kon-Tiki y balance climático del proceso</w:t>
      </w:r>
    </w:p>
    <w:p>
      <w:pPr>
        <w:pStyle w:val="Ttulo3"/>
      </w:pPr>
      <w:r>
        <w:t>4.1 Comparativa de emisiones frente a hornos alternativos</w:t>
      </w:r>
    </w:p>
    <w:p>
      <w:pPr/>
      <w:r>
        <w:t>La producción de carbón vegetal artesanal ha sido históricamente una fuente significativa de emisiones de gases de efecto invernadero en los trópicos: los hornos de tierra o ladrillo tradicionales emiten grandes cantidades de CO, CH₄ y compuestos orgánicos volátiles durante la carbonización incompleta y durante el apagado. El Kon-Tiki representa una mejora documentada sobre esta línea de base.</w:t>
      </w:r>
    </w:p>
    <w:p>
      <w:pPr/>
      <w:r>
        <w:t xml:space="preserve">Sparrevik, Adam, Martinsen, Jubaedah y Cornelissen (2015), en un estudio comparativo de emisiones entre hornos tradicionales y hornos de retorta mejorados publicado en </w:t>
      </w:r>
      <w:r>
        <w:rPr>
          <w:i/>
        </w:rPr>
        <w:t>Biomass and Bioenergy</w:t>
      </w:r>
      <w:r>
        <w:t>, documentaron que las retortas reducen las emisiones de CH₄, CO y partículas en más del 50% respecto a los hornos tradicionales. El estudio de Cornelissen et al. (2016) aplicó la misma metodología al Kon-Tiki y encontró que sus emisiones de CO —174 g/kg biochar— eran superiores a las de las retortas (148 g/kg) pero inferiores a las de los hornos tradicionales (351 g/kg). Con feedstock seco, Cornelissen et al. (2023) confirman que las emisiones de CH₄ del Kon-Tiki son prácticamente nulas, lo que coloca al horno en una posición favorable respecto a cualquier tecnología artesanal comparable para el cálculo del ciclo de vida.</w:t>
      </w:r>
    </w:p>
    <w:p>
      <w:pPr>
        <w:pStyle w:val="Ttulo3"/>
      </w:pPr>
      <w:r>
        <w:t>4.2 El análisis de ciclo de vida del proceso completo</w:t>
      </w:r>
    </w:p>
    <w:p>
      <w:pPr/>
      <w:r>
        <w:t xml:space="preserve">Recari, Ramos-Pérez y Mas-Maçà (2024), en el primer análisis de ciclo de vida (ACV) completo y publicado en revista indexada para el Kon-Tiki con biomasa lignocelulósica residual —publicado en </w:t>
      </w:r>
      <w:r>
        <w:rPr>
          <w:i/>
        </w:rPr>
        <w:t>Recycling</w:t>
      </w:r>
      <w:r>
        <w:t>—, calcularon el impacto neto del proceso mediante el método CML-IA aplicado a siete categorías de impacto ambiental. Para el escenario de uso del biochar como enmienda de suelo —que es el escenario del Coffee Biochar Academy—, el impacto neto sobre el calentamiento global fue de −801,3 kg CO₂ equivalente por tonelada de biochar producida. En otras palabras, por cada tonelada de biochar que el caficultor produce con su Kon-Tiki y aplica a su suelo, el sistema remueve neto 801 kg de CO₂ equivalente de la atmósfera. Este es el número que subyace al crédito de carbono emitido por el sistema de certificación.</w:t>
      </w:r>
    </w:p>
    <w:p>
      <w:pPr/>
      <w:r>
        <w:t>El análisis confirma que las categorías de impacto de calentamiento global y huella de combustibles fósiles son las más favorables para el Kon-Tiki, y que el horno artesanal de cono es la tecnología con mejor relación costo-beneficio climático disponible para productores rurales de pequeña escala. La accesibilidad del Kon-Tiki —bajo costo de fabricación, operación sin insumos externos, capacidad de producción adaptable al tamaño de la finca— combina con este resultado de ACV para justificar su adopción como tecnología de referencia del sistema.</w:t>
      </w:r>
    </w:p>
    <w:p>
      <w:pPr>
        <w:pStyle w:val="Ttulo2"/>
      </w:pPr>
      <w:r>
        <w:t>5. Implicaciones prácticas para el extensionista</w:t>
      </w:r>
    </w:p>
    <w:p>
      <w:pPr/>
      <w:r>
        <w:t>La comprensión del Kon-Tiki como sistema —no como un simple horno sino como un proceso integrado de producción, emisiones y calidad— tiene tres campos directos de aplicación para el extensionista en territorio.</w:t>
      </w:r>
    </w:p>
    <w:p>
      <w:pPr/>
      <w:r>
        <w:t>La gestión preventiva de la humedad del feedstock es la primera aplicación crítica. El resultado de Cornelissen et al. (2023) sobre las emisiones de CH₄ en función de la humedad del feedstock tiene una implicación práctica inmediata: el extensionista debe supervisar, o establecer un protocolo que el caficultor siga de manera autónoma, para asegurar que la madera de poda esté correctamente secada antes de la quema. El secado al sol durante tres a siete días, dependiendo de las condiciones climáticas locales, es suficiente para la mayoría de los materiales leñosos. Un lote producido con feedstock húmedo no solo genera más metano —reduciendo el beneficio climático neto y potencialmente comprometiendo la certificación— sino que también produce un biochar de menor calidad porque la evaporación del agua compite con la carbonización por el calor disponible, resultando en una pirólisis menos completa.</w:t>
      </w:r>
    </w:p>
    <w:p>
      <w:pPr/>
      <w:r>
        <w:t>La identificación del feedstock correcto y la exclusión del incorrecto es la segunda aplicación. El hallazgo de Quiñones-Murillo et al. (2024) sobre la cáscara de café fina y granular es una advertencia concreta que el extensionista debe comunicar al caficultor de forma clara: la cáscara de café no es un feedstock recomendado para el Kon-Tiki, independientemente de su disponibilidad en la finca. El feedstock correcto es la madera de las ramas de poda, correctamente dimensionada. Si el caficultor tiene grandes volúmenes de pulpa o cascarilla y desea aprovecharlos en la producción de biochar, el extensionista debe orientarlo hacia alternativas metodológicas como el compostaje previo de la pulpa o el co-pirólisis con material leñoso, que son opciones documentadas en la literatura pero que requieren adaptaciones específicas del proceso.</w:t>
      </w:r>
    </w:p>
    <w:p>
      <w:pPr/>
      <w:r>
        <w:t>La interpretación del ACV como argumento ante el caficultor y ante compradores de créditos es la tercera aplicación. El dato de −801 kg CO₂ equivalente por tonelada de biochar de Recari et al. (2024) es, para el extensionista, el número que conecta el trabajo físico de la finca con el valor del crédito de carbono. Un caficultor que produce cuatro toneladas de biochar en una temporada está generando una remoción neta de aproximadamente 3,2 toneladas de CO₂e —sin contar el carbono certificado por el C-Sink, que se calcula de manera diferente—. Esta capacidad de cuantificar el impacto real del trabajo en términos climáticos es un recurso comunicativo valioso tanto para motivar a los caficultores como para explicar el valor del programa ante aliados institucionales y compradores potenciales de créditos.</w:t>
      </w:r>
    </w:p>
    <w:p>
      <w:pPr>
        <w:pStyle w:val="Ttulo2"/>
      </w:pPr>
      <w:r>
        <w:t>Conclusión</w:t>
      </w:r>
    </w:p>
    <w:p>
      <w:pPr/>
      <w:r>
        <w:t>El horno Kon-Tiki es la tecnología que hace posible la certificación de biochar artesanal a escala de finca cafetera. Su diseño de cortina de llama —descrito por Schmidt y Taylor (2014) y validado experimentalmente por Cornelissen et al. (2016) con datos de eficiencia del 40 ± 11% de conversión de carbono— produce consistentemente un biochar que cumple los estándares del EBC y del C-Sink cuando se opera con el feedstock correcto y en las condiciones adecuadas. Las dos variables críticas documentadas por la investigación más reciente —la humedad del feedstock (Cornelissen et al., 2023) y la granulometría del material (Quiñones-Murillo et al., 2024)— son variables que el extensionista puede controlar directamente mediante la formación del caficultor y el establecimiento de protocolos simples de preparación previa. El resultado de un proceso bien ejecutado es un biochar con huella climática neta de −801 kg CO₂e por tonelada (Recari et al., 2024) y propiedades agronómicas documentadas que benefician al suelo cafetero durante décadas.</w:t>
      </w:r>
    </w:p>
    <w:p>
      <w:pPr>
        <w:pStyle w:val="Ttulo2"/>
      </w:pPr>
      <w:r>
        <w:t>Referencias</w:t>
      </w:r>
    </w:p>
    <w:p>
      <w:pPr/>
      <w:r>
        <w:rPr>
          <w:sz w:val="20"/>
        </w:rPr>
        <w:t xml:space="preserve">Brewer, C. E., Unger, R., Schmidt-Rohr, K., &amp; Brown, R. C. (2011). Criteria to select biochars for field studies based on biochar chemical properties. </w:t>
      </w:r>
      <w:r>
        <w:rPr>
          <w:i/>
          <w:sz w:val="20"/>
        </w:rPr>
        <w:t>BioEnergy Research</w:t>
      </w:r>
      <w:r>
        <w:rPr>
          <w:sz w:val="20"/>
        </w:rPr>
        <w:t>, 4(4), 312–323. https://doi.org/10.1007/s12155-011-9133-7</w:t>
      </w:r>
    </w:p>
    <w:p>
      <w:pPr/>
      <w:r>
        <w:rPr>
          <w:sz w:val="20"/>
        </w:rPr>
        <w:t xml:space="preserve">Cornelissen, G., Pandit, N. R., Taylor, P., Pandit, B. H., Sparrevik, M., &amp; Schmidt, H. P. (2016). Emissions and char quality of flame-curtain "Kon Tiki" kilns for farmer-scale charcoal/biochar production. </w:t>
      </w:r>
      <w:r>
        <w:rPr>
          <w:i/>
          <w:sz w:val="20"/>
        </w:rPr>
        <w:t>PLOS ONE</w:t>
      </w:r>
      <w:r>
        <w:rPr>
          <w:sz w:val="20"/>
        </w:rPr>
        <w:t>, 11(5), e0154617. https://doi.org/10.1371/journal.pone.0154617</w:t>
      </w:r>
    </w:p>
    <w:p>
      <w:pPr/>
      <w:r>
        <w:rPr>
          <w:sz w:val="20"/>
        </w:rPr>
        <w:t xml:space="preserve">Cornelissen, G., Rollinson, A. N., Sørmo, E., van der Velde, M., Mataix-Solera, J., Hardie, M., &amp; Schmidt, H. P. (2023). Flame curtain kilns produce biochar from dry biomass with minimal methane emissions. </w:t>
      </w:r>
      <w:r>
        <w:rPr>
          <w:i/>
          <w:sz w:val="20"/>
        </w:rPr>
        <w:t>Science of the Total Environment</w:t>
      </w:r>
      <w:r>
        <w:rPr>
          <w:sz w:val="20"/>
        </w:rPr>
        <w:t>, 903, 166547. https://doi.org/10.1016/j.scitotenv.2023.166547</w:t>
      </w:r>
    </w:p>
    <w:p>
      <w:pPr/>
      <w:r>
        <w:rPr>
          <w:sz w:val="20"/>
        </w:rPr>
        <w:t xml:space="preserve">Mašek, O., Brownsort, P., Cross, A., &amp; Sohi, S. (2013). Influence of production conditions on the yield and environmental stability of biochar. </w:t>
      </w:r>
      <w:r>
        <w:rPr>
          <w:i/>
          <w:sz w:val="20"/>
        </w:rPr>
        <w:t>Fuel</w:t>
      </w:r>
      <w:r>
        <w:rPr>
          <w:sz w:val="20"/>
        </w:rPr>
        <w:t>, 103, 151–155. https://doi.org/10.1016/j.fuel.2011.08.044</w:t>
      </w:r>
    </w:p>
    <w:p>
      <w:pPr/>
      <w:r>
        <w:rPr>
          <w:sz w:val="20"/>
        </w:rPr>
        <w:t xml:space="preserve">Pandit, N. R., Mulder, J., Hale, S. E., Schmidt, H. P., &amp; Cornelissen, G. (2017). Biochar from "Kon Tiki" flame curtain and other kilns: Effects of nutrient enrichment and kiln type on crop yield and soil chemistry. </w:t>
      </w:r>
      <w:r>
        <w:rPr>
          <w:i/>
          <w:sz w:val="20"/>
        </w:rPr>
        <w:t>PLOS ONE</w:t>
      </w:r>
      <w:r>
        <w:rPr>
          <w:sz w:val="20"/>
        </w:rPr>
        <w:t>, 12(4), e0176378. https://doi.org/10.1371/journal.pone.0176378</w:t>
      </w:r>
    </w:p>
    <w:p>
      <w:pPr/>
      <w:r>
        <w:rPr>
          <w:sz w:val="20"/>
        </w:rPr>
        <w:t xml:space="preserve">Quiñones-Murillo, A., Olivares-Dávila, V., Ramos-Pérez, P. P., Delgado-Zagarra, S., Estela-Uribe, J. F., Quispe-Gonzales, L., &amp; Carrasco-Venegas, L. A. (2024). Emission factors for biochar production from various biomass types in flame curtain kilns. </w:t>
      </w:r>
      <w:r>
        <w:rPr>
          <w:i/>
          <w:sz w:val="20"/>
        </w:rPr>
        <w:t>Applied Sciences</w:t>
      </w:r>
      <w:r>
        <w:rPr>
          <w:sz w:val="20"/>
        </w:rPr>
        <w:t>, 14(21), 9649. https://doi.org/10.3390/app14219649</w:t>
      </w:r>
    </w:p>
    <w:p>
      <w:pPr/>
      <w:r>
        <w:rPr>
          <w:sz w:val="20"/>
        </w:rPr>
        <w:t xml:space="preserve">Recari, J., Ramos-Pérez, P. P., &amp; Mas-Maçà, J. (2024). Life cycle assessment of biochar from residual lignocellulosic biomass using Kon-Tiki kilns: Applications in soil amendment and wastewater filtration. </w:t>
      </w:r>
      <w:r>
        <w:rPr>
          <w:i/>
          <w:sz w:val="20"/>
        </w:rPr>
        <w:t>Recycling</w:t>
      </w:r>
      <w:r>
        <w:rPr>
          <w:sz w:val="20"/>
        </w:rPr>
        <w:t>, 9(6), 125. https://doi.org/10.3390/recycling9060125</w:t>
      </w:r>
    </w:p>
    <w:p>
      <w:pPr/>
      <w:r>
        <w:rPr>
          <w:sz w:val="20"/>
        </w:rPr>
        <w:t xml:space="preserve">Schmidt, H. P., &amp; Taylor, P. (2014). Kon-Tiki flame curtain pyrolysis for the democratization of biochar production. </w:t>
      </w:r>
      <w:r>
        <w:rPr>
          <w:i/>
          <w:sz w:val="20"/>
        </w:rPr>
        <w:t>The Biochar Journal</w:t>
      </w:r>
      <w:r>
        <w:rPr>
          <w:sz w:val="20"/>
        </w:rPr>
        <w:t>, 1, 14–24. https://www.biochar-journal.org/en/ct/39</w:t>
      </w:r>
    </w:p>
    <w:p>
      <w:pPr/>
      <w:r>
        <w:rPr>
          <w:sz w:val="20"/>
        </w:rPr>
        <w:t xml:space="preserve">Sparrevik, M., Adam, C., Martinsen, V., Jubaedah, &amp; Cornelissen, G. (2015). Emissions of gases and particles from charcoal/biochar production in rural areas using medium-sized traditional and improved "retort" kilns. </w:t>
      </w:r>
      <w:r>
        <w:rPr>
          <w:i/>
          <w:sz w:val="20"/>
        </w:rPr>
        <w:t>Biomass and Bioenergy</w:t>
      </w:r>
      <w:r>
        <w:rPr>
          <w:sz w:val="20"/>
        </w:rPr>
        <w:t>, 72, 65–73. https://doi.org/10.1016/j.biombioe.2014.11.016</w:t>
      </w:r>
    </w:p>
    <w:p>
      <w:pPr/>
      <w:r>
        <w:rPr>
          <w:sz w:val="20"/>
        </w:rPr>
        <w:t xml:space="preserve">Verheijen, F. G. A., Jeffery, S., Bastos, A. C., van der Velde, M., &amp; Diafas, I. (2010). </w:t>
      </w:r>
      <w:r>
        <w:rPr>
          <w:i/>
          <w:sz w:val="20"/>
        </w:rPr>
        <w:t>Biochar application to soils — A critical scientific review of effects on soil properties, processes and functions</w:t>
      </w:r>
      <w:r>
        <w:rPr>
          <w:sz w:val="20"/>
        </w:rPr>
        <w:t xml:space="preserve"> (EUR 24099 EN). Publications Office of the European Communities. https://doi.org/10.2788/472</w:t>
      </w:r>
    </w:p>
    <w:sectPr w:rsidR="002D0DE0" w:rsidRPr="00E5598A">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0CB6" w14:textId="77777777" w:rsidR="0086708B" w:rsidRDefault="0086708B" w:rsidP="0041317C">
      <w:pPr>
        <w:spacing w:after="0" w:line="240" w:lineRule="auto"/>
      </w:pPr>
      <w:r>
        <w:separator/>
      </w:r>
    </w:p>
  </w:endnote>
  <w:endnote w:type="continuationSeparator" w:id="0">
    <w:p w14:paraId="7989FA68" w14:textId="77777777" w:rsidR="0086708B" w:rsidRDefault="0086708B" w:rsidP="00413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00FD" w14:textId="77777777" w:rsidR="00FA26DE" w:rsidRDefault="00FA26DE" w:rsidP="00D30CCE">
    <w:pPr>
      <w:pStyle w:val="Piedepgina"/>
      <w:jc w:val="both"/>
    </w:pPr>
  </w:p>
  <w:p w14:paraId="4CFB54A2" w14:textId="77777777" w:rsidR="00FA26DE" w:rsidRDefault="00FA26DE" w:rsidP="00D30CCE">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AC96" w14:textId="77777777" w:rsidR="0086708B" w:rsidRDefault="0086708B" w:rsidP="0041317C">
      <w:pPr>
        <w:spacing w:after="0" w:line="240" w:lineRule="auto"/>
      </w:pPr>
      <w:r>
        <w:separator/>
      </w:r>
    </w:p>
  </w:footnote>
  <w:footnote w:type="continuationSeparator" w:id="0">
    <w:p w14:paraId="6303386A" w14:textId="77777777" w:rsidR="0086708B" w:rsidRDefault="0086708B" w:rsidP="00413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3827" w14:textId="453B43C1" w:rsidR="00402EEA" w:rsidRDefault="00402EEA">
    <w:pPr>
      <w:pStyle w:val="Encabezado"/>
      <w:rPr>
        <w:noProof/>
      </w:rPr>
    </w:pPr>
    <w:r>
      <w:rPr>
        <w:noProof/>
      </w:rPr>
      <w:drawing>
        <wp:anchor distT="0" distB="0" distL="114300" distR="114300" simplePos="0" relativeHeight="251661312" behindDoc="0" locked="0" layoutInCell="1" allowOverlap="1" wp14:anchorId="7FFA32BC" wp14:editId="4CDE92AA">
          <wp:simplePos x="0" y="0"/>
          <wp:positionH relativeFrom="page">
            <wp:align>left</wp:align>
          </wp:positionH>
          <wp:positionV relativeFrom="paragraph">
            <wp:posOffset>-450215</wp:posOffset>
          </wp:positionV>
          <wp:extent cx="8479790" cy="1581150"/>
          <wp:effectExtent l="0" t="0" r="0" b="0"/>
          <wp:wrapNone/>
          <wp:docPr id="653850179" name="Imagen 6"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0179" name="Imagen 6" descr="Imagen que contiene Icon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9572" b="9400"/>
                  <a:stretch/>
                </pic:blipFill>
                <pic:spPr bwMode="auto">
                  <a:xfrm>
                    <a:off x="0" y="0"/>
                    <a:ext cx="847979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07018" w14:textId="1F1D11A1" w:rsidR="00402EEA" w:rsidRDefault="00402EEA">
    <w:pPr>
      <w:pStyle w:val="Encabezado"/>
      <w:rPr>
        <w:noProof/>
      </w:rPr>
    </w:pPr>
    <w:r w:rsidRPr="00FA26DE">
      <w:rPr>
        <w:noProof/>
      </w:rPr>
      <w:drawing>
        <wp:anchor distT="0" distB="0" distL="114300" distR="114300" simplePos="0" relativeHeight="251665408" behindDoc="0" locked="0" layoutInCell="1" allowOverlap="1" wp14:anchorId="5403509B" wp14:editId="7F953FBE">
          <wp:simplePos x="0" y="0"/>
          <wp:positionH relativeFrom="column">
            <wp:posOffset>-286385</wp:posOffset>
          </wp:positionH>
          <wp:positionV relativeFrom="paragraph">
            <wp:posOffset>138430</wp:posOffset>
          </wp:positionV>
          <wp:extent cx="2806700" cy="579120"/>
          <wp:effectExtent l="0" t="0" r="0" b="0"/>
          <wp:wrapSquare wrapText="bothSides"/>
          <wp:docPr id="2" name="Gráfico 1">
            <a:extLst xmlns:a="http://schemas.openxmlformats.org/drawingml/2006/main">
              <a:ext uri="{FF2B5EF4-FFF2-40B4-BE49-F238E27FC236}">
                <a16:creationId xmlns:a16="http://schemas.microsoft.com/office/drawing/2014/main" id="{A591B23B-BE02-1817-6F9F-A490BA8DA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1">
                    <a:extLst>
                      <a:ext uri="{FF2B5EF4-FFF2-40B4-BE49-F238E27FC236}">
                        <a16:creationId xmlns:a16="http://schemas.microsoft.com/office/drawing/2014/main" id="{A591B23B-BE02-1817-6F9F-A490BA8DA82D}"/>
                      </a:ext>
                    </a:extLst>
                  </pic:cNvPr>
                  <pic:cNvPicPr>
                    <a:picLocks noChangeAspect="1"/>
                  </pic:cNvPicPr>
                </pic:nvPicPr>
                <pic:blipFill rotWithShape="1">
                  <a:blip r:embed="rId2">
                    <a:extLst>
                      <a:ext uri="{96DAC541-7B7A-43D3-8B79-37D633B846F1}">
                        <asvg:svgBlip xmlns:asvg="http://schemas.microsoft.com/office/drawing/2016/SVG/main" r:embed="rId3"/>
                      </a:ext>
                    </a:extLst>
                  </a:blip>
                  <a:srcRect b="27652"/>
                  <a:stretch/>
                </pic:blipFill>
                <pic:spPr>
                  <a:xfrm>
                    <a:off x="0" y="0"/>
                    <a:ext cx="2806700" cy="5791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5E91C01" wp14:editId="667EFD72">
              <wp:simplePos x="0" y="0"/>
              <wp:positionH relativeFrom="column">
                <wp:posOffset>43815</wp:posOffset>
              </wp:positionH>
              <wp:positionV relativeFrom="paragraph">
                <wp:posOffset>52070</wp:posOffset>
              </wp:positionV>
              <wp:extent cx="2774950" cy="1066800"/>
              <wp:effectExtent l="0" t="0" r="6350" b="0"/>
              <wp:wrapNone/>
              <wp:docPr id="262655175" name="Rectángulo 1"/>
              <wp:cNvGraphicFramePr/>
              <a:graphic xmlns:a="http://schemas.openxmlformats.org/drawingml/2006/main">
                <a:graphicData uri="http://schemas.microsoft.com/office/word/2010/wordprocessingShape">
                  <wps:wsp>
                    <wps:cNvSpPr/>
                    <wps:spPr>
                      <a:xfrm>
                        <a:off x="0" y="0"/>
                        <a:ext cx="2774950" cy="1066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D6476" id="Rectángulo 1" o:spid="_x0000_s1026" style="position:absolute;margin-left:3.45pt;margin-top:4.1pt;width:218.5pt;height: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" fillcolor="white [3212]" stroked="f" strokeweight="1pt"/>
          </w:pict>
        </mc:Fallback>
      </mc:AlternateContent>
    </w:r>
  </w:p>
  <w:p w14:paraId="2ED82A95" w14:textId="40EFD18B" w:rsidR="00402EEA" w:rsidRDefault="00402EEA">
    <w:pPr>
      <w:pStyle w:val="Encabezado"/>
      <w:rPr>
        <w:noProof/>
      </w:rPr>
    </w:pPr>
  </w:p>
  <w:p w14:paraId="5FFB8176" w14:textId="0954D3CA" w:rsidR="00402EEA" w:rsidRDefault="00402EEA">
    <w:pPr>
      <w:pStyle w:val="Encabezado"/>
      <w:rPr>
        <w:noProof/>
      </w:rPr>
    </w:pPr>
  </w:p>
  <w:p w14:paraId="47B45BF6" w14:textId="1249308A" w:rsidR="00402EEA" w:rsidRDefault="00402EEA">
    <w:pPr>
      <w:pStyle w:val="Encabezado"/>
      <w:rPr>
        <w:noProof/>
      </w:rPr>
    </w:pPr>
  </w:p>
  <w:p w14:paraId="33E54A46" w14:textId="26CE79D5" w:rsidR="00402EEA" w:rsidRDefault="00402EEA">
    <w:pPr>
      <w:pStyle w:val="Encabezado"/>
      <w:rPr>
        <w:noProof/>
      </w:rPr>
    </w:pPr>
  </w:p>
  <w:p w14:paraId="270C5F11" w14:textId="00DB1A6B" w:rsidR="00402EEA" w:rsidRDefault="00402EEA">
    <w:pPr>
      <w:pStyle w:val="Encabezado"/>
      <w:rPr>
        <w:noProof/>
      </w:rPr>
    </w:pPr>
  </w:p>
  <w:p w14:paraId="1A0D8163" w14:textId="12EE0276" w:rsidR="004D4661" w:rsidRDefault="004D4661">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1C6"/>
    <w:multiLevelType w:val="multilevel"/>
    <w:tmpl w:val="009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D7A"/>
    <w:multiLevelType w:val="hybridMultilevel"/>
    <w:tmpl w:val="CC927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D36E8D"/>
    <w:multiLevelType w:val="multilevel"/>
    <w:tmpl w:val="BB9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05DF"/>
    <w:multiLevelType w:val="hybridMultilevel"/>
    <w:tmpl w:val="C70839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7D05DA"/>
    <w:multiLevelType w:val="hybridMultilevel"/>
    <w:tmpl w:val="D6CAAF50"/>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15910741"/>
    <w:multiLevelType w:val="hybridMultilevel"/>
    <w:tmpl w:val="EBEA045C"/>
    <w:lvl w:ilvl="0" w:tplc="B9104536">
      <w:start w:val="1"/>
      <w:numFmt w:val="bullet"/>
      <w:lvlText w:val="•"/>
      <w:lvlJc w:val="left"/>
      <w:pPr>
        <w:ind w:left="720" w:hanging="360"/>
      </w:pPr>
    </w:lvl>
    <w:lvl w:ilvl="1" w:tplc="A4B43D3E">
      <w:start w:val="1"/>
      <w:numFmt w:val="bullet"/>
      <w:lvlText w:val="◦"/>
      <w:lvlJc w:val="left"/>
      <w:pPr>
        <w:ind w:left="1080" w:hanging="360"/>
      </w:pPr>
    </w:lvl>
    <w:lvl w:ilvl="2" w:tplc="E5AE084C">
      <w:numFmt w:val="decimal"/>
      <w:lvlText w:val=""/>
      <w:lvlJc w:val="left"/>
    </w:lvl>
    <w:lvl w:ilvl="3" w:tplc="C0726892">
      <w:numFmt w:val="decimal"/>
      <w:lvlText w:val=""/>
      <w:lvlJc w:val="left"/>
    </w:lvl>
    <w:lvl w:ilvl="4" w:tplc="0794283E">
      <w:numFmt w:val="decimal"/>
      <w:lvlText w:val=""/>
      <w:lvlJc w:val="left"/>
    </w:lvl>
    <w:lvl w:ilvl="5" w:tplc="5ABC6F02">
      <w:numFmt w:val="decimal"/>
      <w:lvlText w:val=""/>
      <w:lvlJc w:val="left"/>
    </w:lvl>
    <w:lvl w:ilvl="6" w:tplc="04EAD4CC">
      <w:numFmt w:val="decimal"/>
      <w:lvlText w:val=""/>
      <w:lvlJc w:val="left"/>
    </w:lvl>
    <w:lvl w:ilvl="7" w:tplc="3C4EE3CE">
      <w:numFmt w:val="decimal"/>
      <w:lvlText w:val=""/>
      <w:lvlJc w:val="left"/>
    </w:lvl>
    <w:lvl w:ilvl="8" w:tplc="130E8394">
      <w:numFmt w:val="decimal"/>
      <w:lvlText w:val=""/>
      <w:lvlJc w:val="left"/>
    </w:lvl>
  </w:abstractNum>
  <w:abstractNum w:abstractNumId="6" w15:restartNumberingAfterBreak="0">
    <w:nsid w:val="16D779CD"/>
    <w:multiLevelType w:val="multilevel"/>
    <w:tmpl w:val="136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96D31"/>
    <w:multiLevelType w:val="hybridMultilevel"/>
    <w:tmpl w:val="86ACF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84D7273"/>
    <w:multiLevelType w:val="hybridMultilevel"/>
    <w:tmpl w:val="D74029CA"/>
    <w:lvl w:ilvl="0" w:tplc="AE0C7FEC">
      <w:start w:val="1"/>
      <w:numFmt w:val="bullet"/>
      <w:lvlText w:val="•"/>
      <w:lvlJc w:val="left"/>
      <w:pPr>
        <w:ind w:left="720" w:hanging="360"/>
      </w:pPr>
    </w:lvl>
    <w:lvl w:ilvl="1" w:tplc="F606F7E0">
      <w:start w:val="1"/>
      <w:numFmt w:val="bullet"/>
      <w:lvlText w:val="◦"/>
      <w:lvlJc w:val="left"/>
      <w:pPr>
        <w:ind w:left="1080" w:hanging="360"/>
      </w:pPr>
    </w:lvl>
    <w:lvl w:ilvl="2" w:tplc="DD907A10">
      <w:numFmt w:val="decimal"/>
      <w:lvlText w:val=""/>
      <w:lvlJc w:val="left"/>
    </w:lvl>
    <w:lvl w:ilvl="3" w:tplc="34D8AB96">
      <w:numFmt w:val="decimal"/>
      <w:lvlText w:val=""/>
      <w:lvlJc w:val="left"/>
    </w:lvl>
    <w:lvl w:ilvl="4" w:tplc="281AC9B2">
      <w:numFmt w:val="decimal"/>
      <w:lvlText w:val=""/>
      <w:lvlJc w:val="left"/>
    </w:lvl>
    <w:lvl w:ilvl="5" w:tplc="6A76B4A6">
      <w:numFmt w:val="decimal"/>
      <w:lvlText w:val=""/>
      <w:lvlJc w:val="left"/>
    </w:lvl>
    <w:lvl w:ilvl="6" w:tplc="D5ACB2FE">
      <w:numFmt w:val="decimal"/>
      <w:lvlText w:val=""/>
      <w:lvlJc w:val="left"/>
    </w:lvl>
    <w:lvl w:ilvl="7" w:tplc="32AE932E">
      <w:numFmt w:val="decimal"/>
      <w:lvlText w:val=""/>
      <w:lvlJc w:val="left"/>
    </w:lvl>
    <w:lvl w:ilvl="8" w:tplc="EB303C1A">
      <w:numFmt w:val="decimal"/>
      <w:lvlText w:val=""/>
      <w:lvlJc w:val="left"/>
    </w:lvl>
  </w:abstractNum>
  <w:abstractNum w:abstractNumId="9" w15:restartNumberingAfterBreak="0">
    <w:nsid w:val="19742ED4"/>
    <w:multiLevelType w:val="multilevel"/>
    <w:tmpl w:val="5B6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226D"/>
    <w:multiLevelType w:val="multilevel"/>
    <w:tmpl w:val="E52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905CB"/>
    <w:multiLevelType w:val="hybridMultilevel"/>
    <w:tmpl w:val="FCEEF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0B501F0"/>
    <w:multiLevelType w:val="hybridMultilevel"/>
    <w:tmpl w:val="1EC603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2D32284"/>
    <w:multiLevelType w:val="multilevel"/>
    <w:tmpl w:val="C06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27E47"/>
    <w:multiLevelType w:val="multilevel"/>
    <w:tmpl w:val="176AB3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91A0075"/>
    <w:multiLevelType w:val="hybridMultilevel"/>
    <w:tmpl w:val="481E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30159D2"/>
    <w:multiLevelType w:val="hybridMultilevel"/>
    <w:tmpl w:val="2F961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7E6295D"/>
    <w:multiLevelType w:val="hybridMultilevel"/>
    <w:tmpl w:val="32BA6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70648F"/>
    <w:multiLevelType w:val="hybridMultilevel"/>
    <w:tmpl w:val="0E1EE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8F06556"/>
    <w:multiLevelType w:val="multilevel"/>
    <w:tmpl w:val="E0C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2A38"/>
    <w:multiLevelType w:val="multilevel"/>
    <w:tmpl w:val="D2F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67E73"/>
    <w:multiLevelType w:val="hybridMultilevel"/>
    <w:tmpl w:val="8EF003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DC0165"/>
    <w:multiLevelType w:val="hybridMultilevel"/>
    <w:tmpl w:val="70CEFB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83D6485"/>
    <w:multiLevelType w:val="multilevel"/>
    <w:tmpl w:val="203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21EAC"/>
    <w:multiLevelType w:val="hybridMultilevel"/>
    <w:tmpl w:val="14F44788"/>
    <w:lvl w:ilvl="0" w:tplc="1DCA13AC">
      <w:start w:val="1"/>
      <w:numFmt w:val="decimal"/>
      <w:lvlText w:val="%1."/>
      <w:lvlJc w:val="left"/>
      <w:pPr>
        <w:ind w:left="345" w:hanging="360"/>
      </w:pPr>
      <w:rPr>
        <w:b/>
      </w:rPr>
    </w:lvl>
    <w:lvl w:ilvl="1" w:tplc="240A0019">
      <w:start w:val="1"/>
      <w:numFmt w:val="lowerLetter"/>
      <w:lvlText w:val="%2."/>
      <w:lvlJc w:val="left"/>
      <w:pPr>
        <w:ind w:left="1065" w:hanging="360"/>
      </w:pPr>
    </w:lvl>
    <w:lvl w:ilvl="2" w:tplc="240A001B">
      <w:start w:val="1"/>
      <w:numFmt w:val="lowerRoman"/>
      <w:lvlText w:val="%3."/>
      <w:lvlJc w:val="right"/>
      <w:pPr>
        <w:ind w:left="1785" w:hanging="180"/>
      </w:pPr>
    </w:lvl>
    <w:lvl w:ilvl="3" w:tplc="240A000F">
      <w:start w:val="1"/>
      <w:numFmt w:val="decimal"/>
      <w:lvlText w:val="%4."/>
      <w:lvlJc w:val="left"/>
      <w:pPr>
        <w:ind w:left="2505" w:hanging="360"/>
      </w:pPr>
    </w:lvl>
    <w:lvl w:ilvl="4" w:tplc="240A0019">
      <w:start w:val="1"/>
      <w:numFmt w:val="lowerLetter"/>
      <w:lvlText w:val="%5."/>
      <w:lvlJc w:val="left"/>
      <w:pPr>
        <w:ind w:left="3225" w:hanging="360"/>
      </w:pPr>
    </w:lvl>
    <w:lvl w:ilvl="5" w:tplc="240A001B">
      <w:start w:val="1"/>
      <w:numFmt w:val="lowerRoman"/>
      <w:lvlText w:val="%6."/>
      <w:lvlJc w:val="right"/>
      <w:pPr>
        <w:ind w:left="3945" w:hanging="180"/>
      </w:pPr>
    </w:lvl>
    <w:lvl w:ilvl="6" w:tplc="240A000F">
      <w:start w:val="1"/>
      <w:numFmt w:val="decimal"/>
      <w:lvlText w:val="%7."/>
      <w:lvlJc w:val="left"/>
      <w:pPr>
        <w:ind w:left="4665" w:hanging="360"/>
      </w:pPr>
    </w:lvl>
    <w:lvl w:ilvl="7" w:tplc="240A0019">
      <w:start w:val="1"/>
      <w:numFmt w:val="lowerLetter"/>
      <w:lvlText w:val="%8."/>
      <w:lvlJc w:val="left"/>
      <w:pPr>
        <w:ind w:left="5385" w:hanging="360"/>
      </w:pPr>
    </w:lvl>
    <w:lvl w:ilvl="8" w:tplc="240A001B">
      <w:start w:val="1"/>
      <w:numFmt w:val="lowerRoman"/>
      <w:lvlText w:val="%9."/>
      <w:lvlJc w:val="right"/>
      <w:pPr>
        <w:ind w:left="6105" w:hanging="180"/>
      </w:pPr>
    </w:lvl>
  </w:abstractNum>
  <w:abstractNum w:abstractNumId="25" w15:restartNumberingAfterBreak="0">
    <w:nsid w:val="5E023988"/>
    <w:multiLevelType w:val="hybridMultilevel"/>
    <w:tmpl w:val="A09E7E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E9E0E29"/>
    <w:multiLevelType w:val="hybridMultilevel"/>
    <w:tmpl w:val="BCFE0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FA1692C"/>
    <w:multiLevelType w:val="hybridMultilevel"/>
    <w:tmpl w:val="F25C7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B221DA"/>
    <w:multiLevelType w:val="hybridMultilevel"/>
    <w:tmpl w:val="DE305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6E83146"/>
    <w:multiLevelType w:val="hybridMultilevel"/>
    <w:tmpl w:val="4AEC96B2"/>
    <w:lvl w:ilvl="0" w:tplc="565EA76C">
      <w:start w:val="2"/>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7B44415"/>
    <w:multiLevelType w:val="multilevel"/>
    <w:tmpl w:val="403A54BE"/>
    <w:lvl w:ilvl="0">
      <w:start w:val="1"/>
      <w:numFmt w:val="decimal"/>
      <w:lvlText w:val="%1."/>
      <w:lvlJc w:val="left"/>
      <w:pPr>
        <w:ind w:left="345" w:hanging="360"/>
      </w:pPr>
      <w:rPr>
        <w:b/>
      </w:rPr>
    </w:lvl>
    <w:lvl w:ilvl="1">
      <w:start w:val="1"/>
      <w:numFmt w:val="decimal"/>
      <w:lvlText w:val="%1.%2"/>
      <w:lvlJc w:val="left"/>
      <w:pPr>
        <w:ind w:left="1116" w:hanging="396"/>
      </w:pPr>
    </w:lvl>
    <w:lvl w:ilvl="2">
      <w:start w:val="1"/>
      <w:numFmt w:val="decimal"/>
      <w:lvlText w:val="%1.%2.%3"/>
      <w:lvlJc w:val="left"/>
      <w:pPr>
        <w:ind w:left="2175" w:hanging="720"/>
      </w:pPr>
    </w:lvl>
    <w:lvl w:ilvl="3">
      <w:start w:val="1"/>
      <w:numFmt w:val="decimal"/>
      <w:lvlText w:val="%1.%2.%3.%4"/>
      <w:lvlJc w:val="left"/>
      <w:pPr>
        <w:ind w:left="3270" w:hanging="1080"/>
      </w:pPr>
    </w:lvl>
    <w:lvl w:ilvl="4">
      <w:start w:val="1"/>
      <w:numFmt w:val="decimal"/>
      <w:lvlText w:val="%1.%2.%3.%4.%5"/>
      <w:lvlJc w:val="left"/>
      <w:pPr>
        <w:ind w:left="4005" w:hanging="1080"/>
      </w:pPr>
    </w:lvl>
    <w:lvl w:ilvl="5">
      <w:start w:val="1"/>
      <w:numFmt w:val="decimal"/>
      <w:lvlText w:val="%1.%2.%3.%4.%5.%6"/>
      <w:lvlJc w:val="left"/>
      <w:pPr>
        <w:ind w:left="5100" w:hanging="1440"/>
      </w:pPr>
    </w:lvl>
    <w:lvl w:ilvl="6">
      <w:start w:val="1"/>
      <w:numFmt w:val="decimal"/>
      <w:lvlText w:val="%1.%2.%3.%4.%5.%6.%7"/>
      <w:lvlJc w:val="left"/>
      <w:pPr>
        <w:ind w:left="5835" w:hanging="1440"/>
      </w:pPr>
    </w:lvl>
    <w:lvl w:ilvl="7">
      <w:start w:val="1"/>
      <w:numFmt w:val="decimal"/>
      <w:lvlText w:val="%1.%2.%3.%4.%5.%6.%7.%8"/>
      <w:lvlJc w:val="left"/>
      <w:pPr>
        <w:ind w:left="6930" w:hanging="1800"/>
      </w:pPr>
    </w:lvl>
    <w:lvl w:ilvl="8">
      <w:start w:val="1"/>
      <w:numFmt w:val="decimal"/>
      <w:lvlText w:val="%1.%2.%3.%4.%5.%6.%7.%8.%9"/>
      <w:lvlJc w:val="left"/>
      <w:pPr>
        <w:ind w:left="7665" w:hanging="1800"/>
      </w:pPr>
    </w:lvl>
  </w:abstractNum>
  <w:abstractNum w:abstractNumId="31" w15:restartNumberingAfterBreak="0">
    <w:nsid w:val="6B5F72F7"/>
    <w:multiLevelType w:val="hybridMultilevel"/>
    <w:tmpl w:val="45D42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10F27F3"/>
    <w:multiLevelType w:val="hybridMultilevel"/>
    <w:tmpl w:val="09FECB9C"/>
    <w:lvl w:ilvl="0" w:tplc="15ACDB8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2DB12C7"/>
    <w:multiLevelType w:val="hybridMultilevel"/>
    <w:tmpl w:val="7166F6FC"/>
    <w:lvl w:ilvl="0" w:tplc="FC666F76">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FA7014"/>
    <w:multiLevelType w:val="hybridMultilevel"/>
    <w:tmpl w:val="12FEF3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172F57"/>
    <w:multiLevelType w:val="hybridMultilevel"/>
    <w:tmpl w:val="90601CDC"/>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6" w15:restartNumberingAfterBreak="0">
    <w:nsid w:val="7940572B"/>
    <w:multiLevelType w:val="hybridMultilevel"/>
    <w:tmpl w:val="9646A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064BEB"/>
    <w:multiLevelType w:val="multilevel"/>
    <w:tmpl w:val="758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869EE"/>
    <w:multiLevelType w:val="hybridMultilevel"/>
    <w:tmpl w:val="60EEE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7614694">
    <w:abstractNumId w:val="33"/>
  </w:num>
  <w:num w:numId="2" w16cid:durableId="775253399">
    <w:abstractNumId w:val="32"/>
  </w:num>
  <w:num w:numId="3" w16cid:durableId="629017148">
    <w:abstractNumId w:val="7"/>
  </w:num>
  <w:num w:numId="4" w16cid:durableId="177499787">
    <w:abstractNumId w:val="29"/>
  </w:num>
  <w:num w:numId="5" w16cid:durableId="11712137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79090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5424215">
    <w:abstractNumId w:val="14"/>
  </w:num>
  <w:num w:numId="8" w16cid:durableId="429814543">
    <w:abstractNumId w:val="27"/>
  </w:num>
  <w:num w:numId="9" w16cid:durableId="1413549429">
    <w:abstractNumId w:val="35"/>
  </w:num>
  <w:num w:numId="10" w16cid:durableId="806892437">
    <w:abstractNumId w:val="4"/>
  </w:num>
  <w:num w:numId="11" w16cid:durableId="1911648920">
    <w:abstractNumId w:val="34"/>
  </w:num>
  <w:num w:numId="12" w16cid:durableId="227764586">
    <w:abstractNumId w:val="28"/>
  </w:num>
  <w:num w:numId="13" w16cid:durableId="981958313">
    <w:abstractNumId w:val="25"/>
  </w:num>
  <w:num w:numId="14" w16cid:durableId="301233863">
    <w:abstractNumId w:val="1"/>
  </w:num>
  <w:num w:numId="15" w16cid:durableId="1454010568">
    <w:abstractNumId w:val="38"/>
  </w:num>
  <w:num w:numId="16" w16cid:durableId="426999590">
    <w:abstractNumId w:val="17"/>
  </w:num>
  <w:num w:numId="17" w16cid:durableId="966275560">
    <w:abstractNumId w:val="22"/>
  </w:num>
  <w:num w:numId="18" w16cid:durableId="629675810">
    <w:abstractNumId w:val="12"/>
  </w:num>
  <w:num w:numId="19" w16cid:durableId="835611515">
    <w:abstractNumId w:val="3"/>
  </w:num>
  <w:num w:numId="20" w16cid:durableId="1939677144">
    <w:abstractNumId w:val="26"/>
  </w:num>
  <w:num w:numId="21" w16cid:durableId="1870145726">
    <w:abstractNumId w:val="16"/>
  </w:num>
  <w:num w:numId="22" w16cid:durableId="2071613154">
    <w:abstractNumId w:val="31"/>
  </w:num>
  <w:num w:numId="23" w16cid:durableId="279990728">
    <w:abstractNumId w:val="18"/>
  </w:num>
  <w:num w:numId="24" w16cid:durableId="1300300146">
    <w:abstractNumId w:val="11"/>
  </w:num>
  <w:num w:numId="25" w16cid:durableId="1416517992">
    <w:abstractNumId w:val="15"/>
  </w:num>
  <w:num w:numId="26" w16cid:durableId="1742023930">
    <w:abstractNumId w:val="9"/>
  </w:num>
  <w:num w:numId="27" w16cid:durableId="1460369868">
    <w:abstractNumId w:val="21"/>
  </w:num>
  <w:num w:numId="28" w16cid:durableId="1544319981">
    <w:abstractNumId w:val="37"/>
  </w:num>
  <w:num w:numId="29" w16cid:durableId="92363421">
    <w:abstractNumId w:val="20"/>
  </w:num>
  <w:num w:numId="30" w16cid:durableId="346561566">
    <w:abstractNumId w:val="19"/>
  </w:num>
  <w:num w:numId="31" w16cid:durableId="450518300">
    <w:abstractNumId w:val="0"/>
  </w:num>
  <w:num w:numId="32" w16cid:durableId="1747413340">
    <w:abstractNumId w:val="2"/>
  </w:num>
  <w:num w:numId="33" w16cid:durableId="337386380">
    <w:abstractNumId w:val="23"/>
  </w:num>
  <w:num w:numId="34" w16cid:durableId="1289236095">
    <w:abstractNumId w:val="13"/>
  </w:num>
  <w:num w:numId="35" w16cid:durableId="967975396">
    <w:abstractNumId w:val="6"/>
  </w:num>
  <w:num w:numId="36" w16cid:durableId="988554981">
    <w:abstractNumId w:val="10"/>
  </w:num>
  <w:num w:numId="37" w16cid:durableId="2036230087">
    <w:abstractNumId w:val="36"/>
  </w:num>
  <w:num w:numId="38" w16cid:durableId="142624112">
    <w:abstractNumId w:val="8"/>
    <w:lvlOverride w:ilvl="0">
      <w:startOverride w:val="1"/>
    </w:lvlOverride>
  </w:num>
  <w:num w:numId="39" w16cid:durableId="19253399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7C"/>
    <w:rsid w:val="00002164"/>
    <w:rsid w:val="00005565"/>
    <w:rsid w:val="00027AD8"/>
    <w:rsid w:val="00030063"/>
    <w:rsid w:val="000317D2"/>
    <w:rsid w:val="0003468C"/>
    <w:rsid w:val="00036704"/>
    <w:rsid w:val="00043986"/>
    <w:rsid w:val="000469D8"/>
    <w:rsid w:val="000634E3"/>
    <w:rsid w:val="00065C1C"/>
    <w:rsid w:val="00066754"/>
    <w:rsid w:val="0007105E"/>
    <w:rsid w:val="000907F9"/>
    <w:rsid w:val="000A1B5C"/>
    <w:rsid w:val="000B0381"/>
    <w:rsid w:val="000B24CE"/>
    <w:rsid w:val="000D072B"/>
    <w:rsid w:val="000D5CB6"/>
    <w:rsid w:val="000E2284"/>
    <w:rsid w:val="000E2EC9"/>
    <w:rsid w:val="000E34DF"/>
    <w:rsid w:val="000E7DF3"/>
    <w:rsid w:val="000F1442"/>
    <w:rsid w:val="000F24E2"/>
    <w:rsid w:val="0010049B"/>
    <w:rsid w:val="001068CB"/>
    <w:rsid w:val="0011189B"/>
    <w:rsid w:val="001208FE"/>
    <w:rsid w:val="00126AD6"/>
    <w:rsid w:val="0013394A"/>
    <w:rsid w:val="00141845"/>
    <w:rsid w:val="00157548"/>
    <w:rsid w:val="001641AE"/>
    <w:rsid w:val="0016684F"/>
    <w:rsid w:val="0017089C"/>
    <w:rsid w:val="001762E5"/>
    <w:rsid w:val="00176978"/>
    <w:rsid w:val="00176A12"/>
    <w:rsid w:val="001939E6"/>
    <w:rsid w:val="001B138D"/>
    <w:rsid w:val="001B315D"/>
    <w:rsid w:val="001B4A72"/>
    <w:rsid w:val="001D2BC7"/>
    <w:rsid w:val="001E5968"/>
    <w:rsid w:val="001F51F5"/>
    <w:rsid w:val="00201C3D"/>
    <w:rsid w:val="00234230"/>
    <w:rsid w:val="00246D4E"/>
    <w:rsid w:val="00255D87"/>
    <w:rsid w:val="002607D3"/>
    <w:rsid w:val="0027726D"/>
    <w:rsid w:val="00277AC4"/>
    <w:rsid w:val="00280341"/>
    <w:rsid w:val="002833DB"/>
    <w:rsid w:val="00294F83"/>
    <w:rsid w:val="00295B4F"/>
    <w:rsid w:val="00296262"/>
    <w:rsid w:val="002A2A27"/>
    <w:rsid w:val="002A6E82"/>
    <w:rsid w:val="002B5592"/>
    <w:rsid w:val="002C6A77"/>
    <w:rsid w:val="002C7C79"/>
    <w:rsid w:val="002D0D4F"/>
    <w:rsid w:val="002D0DE0"/>
    <w:rsid w:val="002D12B8"/>
    <w:rsid w:val="002D5F74"/>
    <w:rsid w:val="002E553E"/>
    <w:rsid w:val="002F27E1"/>
    <w:rsid w:val="003027D1"/>
    <w:rsid w:val="00307582"/>
    <w:rsid w:val="00320BB5"/>
    <w:rsid w:val="0032199D"/>
    <w:rsid w:val="00322483"/>
    <w:rsid w:val="00344812"/>
    <w:rsid w:val="00362E6C"/>
    <w:rsid w:val="00365630"/>
    <w:rsid w:val="00374623"/>
    <w:rsid w:val="0038206C"/>
    <w:rsid w:val="00385455"/>
    <w:rsid w:val="003A017D"/>
    <w:rsid w:val="003A7232"/>
    <w:rsid w:val="003A7CAC"/>
    <w:rsid w:val="003B05B8"/>
    <w:rsid w:val="003C30E3"/>
    <w:rsid w:val="003C3D76"/>
    <w:rsid w:val="003D0536"/>
    <w:rsid w:val="003D5D84"/>
    <w:rsid w:val="003D69B7"/>
    <w:rsid w:val="003D6D26"/>
    <w:rsid w:val="003E3FDF"/>
    <w:rsid w:val="003E625B"/>
    <w:rsid w:val="003F1A71"/>
    <w:rsid w:val="003F3708"/>
    <w:rsid w:val="003F6824"/>
    <w:rsid w:val="00400967"/>
    <w:rsid w:val="00402EEA"/>
    <w:rsid w:val="0041193B"/>
    <w:rsid w:val="0041317C"/>
    <w:rsid w:val="0042004B"/>
    <w:rsid w:val="0042030E"/>
    <w:rsid w:val="00422446"/>
    <w:rsid w:val="0042747B"/>
    <w:rsid w:val="00433575"/>
    <w:rsid w:val="004428BC"/>
    <w:rsid w:val="00442A26"/>
    <w:rsid w:val="00443915"/>
    <w:rsid w:val="00445199"/>
    <w:rsid w:val="00452C69"/>
    <w:rsid w:val="004543C0"/>
    <w:rsid w:val="0045667D"/>
    <w:rsid w:val="00466D6B"/>
    <w:rsid w:val="00471093"/>
    <w:rsid w:val="00474A0C"/>
    <w:rsid w:val="00480394"/>
    <w:rsid w:val="00485D8B"/>
    <w:rsid w:val="004A6DB0"/>
    <w:rsid w:val="004B22DC"/>
    <w:rsid w:val="004C3B4B"/>
    <w:rsid w:val="004C7E1C"/>
    <w:rsid w:val="004D4661"/>
    <w:rsid w:val="004F1C54"/>
    <w:rsid w:val="005009FB"/>
    <w:rsid w:val="00511897"/>
    <w:rsid w:val="00521C6F"/>
    <w:rsid w:val="0054720D"/>
    <w:rsid w:val="0054747B"/>
    <w:rsid w:val="00553434"/>
    <w:rsid w:val="00556A65"/>
    <w:rsid w:val="00560A2B"/>
    <w:rsid w:val="00561614"/>
    <w:rsid w:val="005877DD"/>
    <w:rsid w:val="00593588"/>
    <w:rsid w:val="00597DFD"/>
    <w:rsid w:val="005A5291"/>
    <w:rsid w:val="005A623E"/>
    <w:rsid w:val="005C240E"/>
    <w:rsid w:val="005C4060"/>
    <w:rsid w:val="005C6E58"/>
    <w:rsid w:val="005D1F47"/>
    <w:rsid w:val="005D6A59"/>
    <w:rsid w:val="005E0E44"/>
    <w:rsid w:val="005E4477"/>
    <w:rsid w:val="005E5AB1"/>
    <w:rsid w:val="005E5C68"/>
    <w:rsid w:val="005F0FBC"/>
    <w:rsid w:val="005F3A5D"/>
    <w:rsid w:val="00602411"/>
    <w:rsid w:val="006046AC"/>
    <w:rsid w:val="00611023"/>
    <w:rsid w:val="0063008F"/>
    <w:rsid w:val="0064231E"/>
    <w:rsid w:val="00646098"/>
    <w:rsid w:val="00647D82"/>
    <w:rsid w:val="006508D7"/>
    <w:rsid w:val="00660013"/>
    <w:rsid w:val="006647B7"/>
    <w:rsid w:val="006804B8"/>
    <w:rsid w:val="00680DFA"/>
    <w:rsid w:val="006911E4"/>
    <w:rsid w:val="00692B03"/>
    <w:rsid w:val="00697F25"/>
    <w:rsid w:val="006A1C23"/>
    <w:rsid w:val="006B0C33"/>
    <w:rsid w:val="006B312C"/>
    <w:rsid w:val="006B69E6"/>
    <w:rsid w:val="006C4A3D"/>
    <w:rsid w:val="006E1629"/>
    <w:rsid w:val="006F0980"/>
    <w:rsid w:val="006F1BD6"/>
    <w:rsid w:val="006F2A1F"/>
    <w:rsid w:val="006F6374"/>
    <w:rsid w:val="00701939"/>
    <w:rsid w:val="00707A2D"/>
    <w:rsid w:val="00707D39"/>
    <w:rsid w:val="00711CC7"/>
    <w:rsid w:val="00716689"/>
    <w:rsid w:val="00723A38"/>
    <w:rsid w:val="00726786"/>
    <w:rsid w:val="00727D46"/>
    <w:rsid w:val="0073135A"/>
    <w:rsid w:val="00733DB3"/>
    <w:rsid w:val="00737AAC"/>
    <w:rsid w:val="00742AFF"/>
    <w:rsid w:val="00744527"/>
    <w:rsid w:val="007537C0"/>
    <w:rsid w:val="007604A1"/>
    <w:rsid w:val="00764B9D"/>
    <w:rsid w:val="0077365B"/>
    <w:rsid w:val="00780D5E"/>
    <w:rsid w:val="00782CFA"/>
    <w:rsid w:val="00782E10"/>
    <w:rsid w:val="00790329"/>
    <w:rsid w:val="00792707"/>
    <w:rsid w:val="007B470A"/>
    <w:rsid w:val="007B7798"/>
    <w:rsid w:val="007C6F08"/>
    <w:rsid w:val="007E0C96"/>
    <w:rsid w:val="007E7175"/>
    <w:rsid w:val="00805803"/>
    <w:rsid w:val="00813084"/>
    <w:rsid w:val="00815052"/>
    <w:rsid w:val="00815892"/>
    <w:rsid w:val="00832702"/>
    <w:rsid w:val="00845636"/>
    <w:rsid w:val="00846558"/>
    <w:rsid w:val="00863F03"/>
    <w:rsid w:val="0086708B"/>
    <w:rsid w:val="0087260A"/>
    <w:rsid w:val="00882959"/>
    <w:rsid w:val="00883797"/>
    <w:rsid w:val="00885EB8"/>
    <w:rsid w:val="008C7180"/>
    <w:rsid w:val="008D3E6A"/>
    <w:rsid w:val="008E4405"/>
    <w:rsid w:val="008E711B"/>
    <w:rsid w:val="008F3F5E"/>
    <w:rsid w:val="008F4761"/>
    <w:rsid w:val="008F6236"/>
    <w:rsid w:val="009034F7"/>
    <w:rsid w:val="00906A3D"/>
    <w:rsid w:val="00911950"/>
    <w:rsid w:val="00911B9E"/>
    <w:rsid w:val="00912705"/>
    <w:rsid w:val="0091312D"/>
    <w:rsid w:val="009132C1"/>
    <w:rsid w:val="00920810"/>
    <w:rsid w:val="00926670"/>
    <w:rsid w:val="00927C79"/>
    <w:rsid w:val="00930DC4"/>
    <w:rsid w:val="00932ED9"/>
    <w:rsid w:val="0094183F"/>
    <w:rsid w:val="00951E1F"/>
    <w:rsid w:val="0097714E"/>
    <w:rsid w:val="009830B6"/>
    <w:rsid w:val="009836CA"/>
    <w:rsid w:val="00983C5A"/>
    <w:rsid w:val="009901CA"/>
    <w:rsid w:val="009916E0"/>
    <w:rsid w:val="009A4557"/>
    <w:rsid w:val="009B061C"/>
    <w:rsid w:val="009B0789"/>
    <w:rsid w:val="009B7989"/>
    <w:rsid w:val="009C7F26"/>
    <w:rsid w:val="009E65A8"/>
    <w:rsid w:val="009F2C2D"/>
    <w:rsid w:val="00A23310"/>
    <w:rsid w:val="00A27003"/>
    <w:rsid w:val="00A37DD6"/>
    <w:rsid w:val="00A438BD"/>
    <w:rsid w:val="00A46F3A"/>
    <w:rsid w:val="00A51736"/>
    <w:rsid w:val="00A5465E"/>
    <w:rsid w:val="00A60A28"/>
    <w:rsid w:val="00A633EA"/>
    <w:rsid w:val="00A64BE2"/>
    <w:rsid w:val="00A73289"/>
    <w:rsid w:val="00A8377C"/>
    <w:rsid w:val="00A9303C"/>
    <w:rsid w:val="00AB4EBC"/>
    <w:rsid w:val="00AD05A1"/>
    <w:rsid w:val="00AD4B8A"/>
    <w:rsid w:val="00AD524B"/>
    <w:rsid w:val="00AE5358"/>
    <w:rsid w:val="00AE6570"/>
    <w:rsid w:val="00AE6DA1"/>
    <w:rsid w:val="00AF71A6"/>
    <w:rsid w:val="00AF73FD"/>
    <w:rsid w:val="00AF7C98"/>
    <w:rsid w:val="00B01745"/>
    <w:rsid w:val="00B11688"/>
    <w:rsid w:val="00B16648"/>
    <w:rsid w:val="00B215E3"/>
    <w:rsid w:val="00B24739"/>
    <w:rsid w:val="00B34DD3"/>
    <w:rsid w:val="00B42DF8"/>
    <w:rsid w:val="00B43854"/>
    <w:rsid w:val="00B55640"/>
    <w:rsid w:val="00B616B5"/>
    <w:rsid w:val="00B65CAF"/>
    <w:rsid w:val="00B72ABC"/>
    <w:rsid w:val="00B734E6"/>
    <w:rsid w:val="00B74397"/>
    <w:rsid w:val="00B83FF5"/>
    <w:rsid w:val="00B87D7D"/>
    <w:rsid w:val="00B90411"/>
    <w:rsid w:val="00B919A2"/>
    <w:rsid w:val="00B91BF7"/>
    <w:rsid w:val="00B93DC4"/>
    <w:rsid w:val="00B9548A"/>
    <w:rsid w:val="00BA2BF1"/>
    <w:rsid w:val="00BC50BD"/>
    <w:rsid w:val="00BD0ABB"/>
    <w:rsid w:val="00BD0F33"/>
    <w:rsid w:val="00BD31E0"/>
    <w:rsid w:val="00BD3BFC"/>
    <w:rsid w:val="00BE453A"/>
    <w:rsid w:val="00BE5AEC"/>
    <w:rsid w:val="00BE7067"/>
    <w:rsid w:val="00BF7654"/>
    <w:rsid w:val="00C00628"/>
    <w:rsid w:val="00C01A37"/>
    <w:rsid w:val="00C050E0"/>
    <w:rsid w:val="00C059C6"/>
    <w:rsid w:val="00C0648C"/>
    <w:rsid w:val="00C20070"/>
    <w:rsid w:val="00C22B62"/>
    <w:rsid w:val="00C40E2B"/>
    <w:rsid w:val="00C41B8D"/>
    <w:rsid w:val="00C421E8"/>
    <w:rsid w:val="00C4227A"/>
    <w:rsid w:val="00C44E98"/>
    <w:rsid w:val="00C5544F"/>
    <w:rsid w:val="00C6578E"/>
    <w:rsid w:val="00C72048"/>
    <w:rsid w:val="00C72C6A"/>
    <w:rsid w:val="00C752D7"/>
    <w:rsid w:val="00C80CFB"/>
    <w:rsid w:val="00C8542E"/>
    <w:rsid w:val="00C90491"/>
    <w:rsid w:val="00CA53D7"/>
    <w:rsid w:val="00CA5647"/>
    <w:rsid w:val="00CB0E3E"/>
    <w:rsid w:val="00CB6629"/>
    <w:rsid w:val="00CC0D4C"/>
    <w:rsid w:val="00CC76AC"/>
    <w:rsid w:val="00CC76D7"/>
    <w:rsid w:val="00CD2B1D"/>
    <w:rsid w:val="00CD2C51"/>
    <w:rsid w:val="00CD5E66"/>
    <w:rsid w:val="00CD60B0"/>
    <w:rsid w:val="00CE7278"/>
    <w:rsid w:val="00CE7DDB"/>
    <w:rsid w:val="00CF4016"/>
    <w:rsid w:val="00D00CA0"/>
    <w:rsid w:val="00D01A27"/>
    <w:rsid w:val="00D128BE"/>
    <w:rsid w:val="00D163E8"/>
    <w:rsid w:val="00D166D6"/>
    <w:rsid w:val="00D264E5"/>
    <w:rsid w:val="00D30CCE"/>
    <w:rsid w:val="00D375EB"/>
    <w:rsid w:val="00D45F2C"/>
    <w:rsid w:val="00D660B2"/>
    <w:rsid w:val="00D6656C"/>
    <w:rsid w:val="00D82D99"/>
    <w:rsid w:val="00D914A7"/>
    <w:rsid w:val="00D939D0"/>
    <w:rsid w:val="00D958BA"/>
    <w:rsid w:val="00DA0236"/>
    <w:rsid w:val="00DA1C47"/>
    <w:rsid w:val="00DA4647"/>
    <w:rsid w:val="00DA640B"/>
    <w:rsid w:val="00DB2951"/>
    <w:rsid w:val="00DC1903"/>
    <w:rsid w:val="00DE4BB8"/>
    <w:rsid w:val="00DE7752"/>
    <w:rsid w:val="00DF0082"/>
    <w:rsid w:val="00E02614"/>
    <w:rsid w:val="00E03F42"/>
    <w:rsid w:val="00E05DA3"/>
    <w:rsid w:val="00E11B34"/>
    <w:rsid w:val="00E159F4"/>
    <w:rsid w:val="00E22E3E"/>
    <w:rsid w:val="00E35A1B"/>
    <w:rsid w:val="00E35CB9"/>
    <w:rsid w:val="00E4266B"/>
    <w:rsid w:val="00E5436A"/>
    <w:rsid w:val="00E55647"/>
    <w:rsid w:val="00E5598A"/>
    <w:rsid w:val="00E650A6"/>
    <w:rsid w:val="00E745D8"/>
    <w:rsid w:val="00E77F44"/>
    <w:rsid w:val="00E837BF"/>
    <w:rsid w:val="00E92326"/>
    <w:rsid w:val="00EA1F79"/>
    <w:rsid w:val="00EA2502"/>
    <w:rsid w:val="00EA5725"/>
    <w:rsid w:val="00EA6936"/>
    <w:rsid w:val="00EC0C44"/>
    <w:rsid w:val="00EC2DFC"/>
    <w:rsid w:val="00EC4A6A"/>
    <w:rsid w:val="00EC4E3D"/>
    <w:rsid w:val="00EC68D9"/>
    <w:rsid w:val="00ED7A1B"/>
    <w:rsid w:val="00F02815"/>
    <w:rsid w:val="00F034BF"/>
    <w:rsid w:val="00F07399"/>
    <w:rsid w:val="00F077D2"/>
    <w:rsid w:val="00F10864"/>
    <w:rsid w:val="00F30694"/>
    <w:rsid w:val="00F40BDB"/>
    <w:rsid w:val="00F443F8"/>
    <w:rsid w:val="00F56974"/>
    <w:rsid w:val="00F5738C"/>
    <w:rsid w:val="00F6127A"/>
    <w:rsid w:val="00F926D1"/>
    <w:rsid w:val="00F96048"/>
    <w:rsid w:val="00F97341"/>
    <w:rsid w:val="00FA26DE"/>
    <w:rsid w:val="00FB3BC4"/>
    <w:rsid w:val="00FB7F6F"/>
    <w:rsid w:val="00FC34E8"/>
    <w:rsid w:val="00FD2773"/>
    <w:rsid w:val="00FD2CCF"/>
    <w:rsid w:val="00FD37D7"/>
    <w:rsid w:val="00FE2BBB"/>
    <w:rsid w:val="00FE4447"/>
    <w:rsid w:val="00FF6A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A2774"/>
  <w15:chartTrackingRefBased/>
  <w15:docId w15:val="{26A2C808-D189-41EB-B54A-9BED10F2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25"/>
  </w:style>
  <w:style w:type="paragraph" w:styleId="Ttulo1">
    <w:name w:val="heading 1"/>
    <w:basedOn w:val="Normal"/>
    <w:next w:val="Normal"/>
    <w:link w:val="Ttulo1Car"/>
    <w:uiPriority w:val="9"/>
    <w:qFormat/>
    <w:rsid w:val="0041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31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1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1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1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1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1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31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31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1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1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1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1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17C"/>
    <w:rPr>
      <w:rFonts w:eastAsiaTheme="majorEastAsia" w:cstheme="majorBidi"/>
      <w:color w:val="272727" w:themeColor="text1" w:themeTint="D8"/>
    </w:rPr>
  </w:style>
  <w:style w:type="paragraph" w:styleId="Ttulo">
    <w:name w:val="Title"/>
    <w:basedOn w:val="Normal"/>
    <w:next w:val="Normal"/>
    <w:link w:val="TtuloCar"/>
    <w:uiPriority w:val="10"/>
    <w:qFormat/>
    <w:rsid w:val="0041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1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1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17C"/>
    <w:pPr>
      <w:spacing w:before="160"/>
      <w:jc w:val="center"/>
    </w:pPr>
    <w:rPr>
      <w:i/>
      <w:iCs/>
      <w:color w:val="404040" w:themeColor="text1" w:themeTint="BF"/>
    </w:rPr>
  </w:style>
  <w:style w:type="character" w:customStyle="1" w:styleId="CitaCar">
    <w:name w:val="Cita Car"/>
    <w:basedOn w:val="Fuentedeprrafopredeter"/>
    <w:link w:val="Cita"/>
    <w:uiPriority w:val="29"/>
    <w:rsid w:val="0041317C"/>
    <w:rPr>
      <w:i/>
      <w:iCs/>
      <w:color w:val="404040" w:themeColor="text1" w:themeTint="BF"/>
    </w:rPr>
  </w:style>
  <w:style w:type="paragraph" w:styleId="Prrafodelista">
    <w:name w:val="List Paragraph"/>
    <w:basedOn w:val="Normal"/>
    <w:qFormat/>
    <w:rsid w:val="0041317C"/>
    <w:pPr>
      <w:ind w:left="720"/>
      <w:contextualSpacing/>
    </w:pPr>
  </w:style>
  <w:style w:type="character" w:styleId="nfasisintenso">
    <w:name w:val="Intense Emphasis"/>
    <w:basedOn w:val="Fuentedeprrafopredeter"/>
    <w:uiPriority w:val="21"/>
    <w:qFormat/>
    <w:rsid w:val="0041317C"/>
    <w:rPr>
      <w:i/>
      <w:iCs/>
      <w:color w:val="0F4761" w:themeColor="accent1" w:themeShade="BF"/>
    </w:rPr>
  </w:style>
  <w:style w:type="paragraph" w:styleId="Citadestacada">
    <w:name w:val="Intense Quote"/>
    <w:basedOn w:val="Normal"/>
    <w:next w:val="Normal"/>
    <w:link w:val="CitadestacadaCar"/>
    <w:uiPriority w:val="30"/>
    <w:qFormat/>
    <w:rsid w:val="0041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17C"/>
    <w:rPr>
      <w:i/>
      <w:iCs/>
      <w:color w:val="0F4761" w:themeColor="accent1" w:themeShade="BF"/>
    </w:rPr>
  </w:style>
  <w:style w:type="character" w:styleId="Referenciaintensa">
    <w:name w:val="Intense Reference"/>
    <w:basedOn w:val="Fuentedeprrafopredeter"/>
    <w:uiPriority w:val="32"/>
    <w:qFormat/>
    <w:rsid w:val="0041317C"/>
    <w:rPr>
      <w:b/>
      <w:bCs/>
      <w:smallCaps/>
      <w:color w:val="0F4761" w:themeColor="accent1" w:themeShade="BF"/>
      <w:spacing w:val="5"/>
    </w:rPr>
  </w:style>
  <w:style w:type="character" w:styleId="Hipervnculo">
    <w:name w:val="Hyperlink"/>
    <w:basedOn w:val="Fuentedeprrafopredeter"/>
    <w:uiPriority w:val="99"/>
    <w:unhideWhenUsed/>
    <w:rsid w:val="0041317C"/>
    <w:rPr>
      <w:color w:val="467886" w:themeColor="hyperlink"/>
      <w:u w:val="single"/>
    </w:rPr>
  </w:style>
  <w:style w:type="character" w:styleId="Mencinsinresolver">
    <w:name w:val="Unresolved Mention"/>
    <w:basedOn w:val="Fuentedeprrafopredeter"/>
    <w:uiPriority w:val="99"/>
    <w:semiHidden/>
    <w:unhideWhenUsed/>
    <w:rsid w:val="0041317C"/>
    <w:rPr>
      <w:color w:val="605E5C"/>
      <w:shd w:val="clear" w:color="auto" w:fill="E1DFDD"/>
    </w:rPr>
  </w:style>
  <w:style w:type="paragraph" w:styleId="Encabezado">
    <w:name w:val="header"/>
    <w:basedOn w:val="Normal"/>
    <w:link w:val="EncabezadoCar"/>
    <w:uiPriority w:val="99"/>
    <w:unhideWhenUsed/>
    <w:rsid w:val="004131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317C"/>
  </w:style>
  <w:style w:type="paragraph" w:styleId="Piedepgina">
    <w:name w:val="footer"/>
    <w:basedOn w:val="Normal"/>
    <w:link w:val="PiedepginaCar"/>
    <w:uiPriority w:val="99"/>
    <w:unhideWhenUsed/>
    <w:rsid w:val="004131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317C"/>
  </w:style>
  <w:style w:type="table" w:styleId="Tablaconcuadrcula">
    <w:name w:val="Table Grid"/>
    <w:basedOn w:val="Tablanormal"/>
    <w:uiPriority w:val="39"/>
    <w:rsid w:val="00413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A7CAC"/>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3A7CAC"/>
    <w:pPr>
      <w:spacing w:before="120" w:after="0"/>
    </w:pPr>
    <w:rPr>
      <w:b/>
      <w:bCs/>
      <w:i/>
      <w:iCs/>
      <w:sz w:val="24"/>
      <w:szCs w:val="24"/>
    </w:rPr>
  </w:style>
  <w:style w:type="paragraph" w:styleId="TDC2">
    <w:name w:val="toc 2"/>
    <w:basedOn w:val="Normal"/>
    <w:next w:val="Normal"/>
    <w:autoRedefine/>
    <w:uiPriority w:val="39"/>
    <w:unhideWhenUsed/>
    <w:rsid w:val="003A7CAC"/>
    <w:pPr>
      <w:spacing w:before="120" w:after="0"/>
      <w:ind w:left="220"/>
    </w:pPr>
    <w:rPr>
      <w:b/>
      <w:bCs/>
    </w:rPr>
  </w:style>
  <w:style w:type="paragraph" w:styleId="TDC3">
    <w:name w:val="toc 3"/>
    <w:basedOn w:val="Normal"/>
    <w:next w:val="Normal"/>
    <w:autoRedefine/>
    <w:uiPriority w:val="39"/>
    <w:unhideWhenUsed/>
    <w:rsid w:val="003A7CAC"/>
    <w:pPr>
      <w:spacing w:after="0"/>
      <w:ind w:left="440"/>
    </w:pPr>
    <w:rPr>
      <w:sz w:val="20"/>
      <w:szCs w:val="20"/>
    </w:rPr>
  </w:style>
  <w:style w:type="paragraph" w:styleId="TDC4">
    <w:name w:val="toc 4"/>
    <w:basedOn w:val="Normal"/>
    <w:next w:val="Normal"/>
    <w:autoRedefine/>
    <w:uiPriority w:val="39"/>
    <w:semiHidden/>
    <w:unhideWhenUsed/>
    <w:rsid w:val="003A7CAC"/>
    <w:pPr>
      <w:spacing w:after="0"/>
      <w:ind w:left="660"/>
    </w:pPr>
    <w:rPr>
      <w:sz w:val="20"/>
      <w:szCs w:val="20"/>
    </w:rPr>
  </w:style>
  <w:style w:type="paragraph" w:styleId="TDC5">
    <w:name w:val="toc 5"/>
    <w:basedOn w:val="Normal"/>
    <w:next w:val="Normal"/>
    <w:autoRedefine/>
    <w:uiPriority w:val="39"/>
    <w:semiHidden/>
    <w:unhideWhenUsed/>
    <w:rsid w:val="003A7CAC"/>
    <w:pPr>
      <w:spacing w:after="0"/>
      <w:ind w:left="880"/>
    </w:pPr>
    <w:rPr>
      <w:sz w:val="20"/>
      <w:szCs w:val="20"/>
    </w:rPr>
  </w:style>
  <w:style w:type="paragraph" w:styleId="TDC6">
    <w:name w:val="toc 6"/>
    <w:basedOn w:val="Normal"/>
    <w:next w:val="Normal"/>
    <w:autoRedefine/>
    <w:uiPriority w:val="39"/>
    <w:semiHidden/>
    <w:unhideWhenUsed/>
    <w:rsid w:val="003A7CAC"/>
    <w:pPr>
      <w:spacing w:after="0"/>
      <w:ind w:left="1100"/>
    </w:pPr>
    <w:rPr>
      <w:sz w:val="20"/>
      <w:szCs w:val="20"/>
    </w:rPr>
  </w:style>
  <w:style w:type="paragraph" w:styleId="TDC7">
    <w:name w:val="toc 7"/>
    <w:basedOn w:val="Normal"/>
    <w:next w:val="Normal"/>
    <w:autoRedefine/>
    <w:uiPriority w:val="39"/>
    <w:semiHidden/>
    <w:unhideWhenUsed/>
    <w:rsid w:val="003A7CAC"/>
    <w:pPr>
      <w:spacing w:after="0"/>
      <w:ind w:left="1320"/>
    </w:pPr>
    <w:rPr>
      <w:sz w:val="20"/>
      <w:szCs w:val="20"/>
    </w:rPr>
  </w:style>
  <w:style w:type="paragraph" w:styleId="TDC8">
    <w:name w:val="toc 8"/>
    <w:basedOn w:val="Normal"/>
    <w:next w:val="Normal"/>
    <w:autoRedefine/>
    <w:uiPriority w:val="39"/>
    <w:semiHidden/>
    <w:unhideWhenUsed/>
    <w:rsid w:val="003A7CAC"/>
    <w:pPr>
      <w:spacing w:after="0"/>
      <w:ind w:left="1540"/>
    </w:pPr>
    <w:rPr>
      <w:sz w:val="20"/>
      <w:szCs w:val="20"/>
    </w:rPr>
  </w:style>
  <w:style w:type="paragraph" w:styleId="TDC9">
    <w:name w:val="toc 9"/>
    <w:basedOn w:val="Normal"/>
    <w:next w:val="Normal"/>
    <w:autoRedefine/>
    <w:uiPriority w:val="39"/>
    <w:semiHidden/>
    <w:unhideWhenUsed/>
    <w:rsid w:val="003A7CAC"/>
    <w:pPr>
      <w:spacing w:after="0"/>
      <w:ind w:left="1760"/>
    </w:pPr>
    <w:rPr>
      <w:sz w:val="20"/>
      <w:szCs w:val="20"/>
    </w:rPr>
  </w:style>
  <w:style w:type="paragraph" w:customStyle="1" w:styleId="p1">
    <w:name w:val="p1"/>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2">
    <w:name w:val="p2"/>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unhideWhenUsed/>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apple-converted-space">
    <w:name w:val="apple-converted-space"/>
    <w:basedOn w:val="Fuentedeprrafopredeter"/>
    <w:rsid w:val="00744527"/>
  </w:style>
  <w:style w:type="character" w:styleId="Textoennegrita">
    <w:name w:val="Strong"/>
    <w:basedOn w:val="Fuentedeprrafopredeter"/>
    <w:uiPriority w:val="22"/>
    <w:qFormat/>
    <w:rsid w:val="00744527"/>
    <w:rPr>
      <w:b/>
      <w:bCs/>
    </w:rPr>
  </w:style>
  <w:style w:type="character" w:styleId="nfasis">
    <w:name w:val="Emphasis"/>
    <w:basedOn w:val="Fuentedeprrafopredeter"/>
    <w:uiPriority w:val="20"/>
    <w:qFormat/>
    <w:rsid w:val="00744527"/>
    <w:rPr>
      <w:i/>
      <w:iCs/>
    </w:rPr>
  </w:style>
  <w:style w:type="character" w:customStyle="1" w:styleId="s1">
    <w:name w:val="s1"/>
    <w:basedOn w:val="Fuentedeprrafopredeter"/>
    <w:rsid w:val="00744527"/>
  </w:style>
  <w:style w:type="paragraph" w:customStyle="1" w:styleId="p3">
    <w:name w:val="p3"/>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4">
    <w:name w:val="p4"/>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delmarcadordeposicin">
    <w:name w:val="Placeholder Text"/>
    <w:basedOn w:val="Fuentedeprrafopredeter"/>
    <w:uiPriority w:val="99"/>
    <w:semiHidden/>
    <w:rsid w:val="00D163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6008">
      <w:bodyDiv w:val="1"/>
      <w:marLeft w:val="0"/>
      <w:marRight w:val="0"/>
      <w:marTop w:val="0"/>
      <w:marBottom w:val="0"/>
      <w:divBdr>
        <w:top w:val="none" w:sz="0" w:space="0" w:color="auto"/>
        <w:left w:val="none" w:sz="0" w:space="0" w:color="auto"/>
        <w:bottom w:val="none" w:sz="0" w:space="0" w:color="auto"/>
        <w:right w:val="none" w:sz="0" w:space="0" w:color="auto"/>
      </w:divBdr>
      <w:divsChild>
        <w:div w:id="538779964">
          <w:marLeft w:val="0"/>
          <w:marRight w:val="0"/>
          <w:marTop w:val="0"/>
          <w:marBottom w:val="0"/>
          <w:divBdr>
            <w:top w:val="none" w:sz="0" w:space="0" w:color="auto"/>
            <w:left w:val="none" w:sz="0" w:space="0" w:color="auto"/>
            <w:bottom w:val="none" w:sz="0" w:space="0" w:color="auto"/>
            <w:right w:val="none" w:sz="0" w:space="0" w:color="auto"/>
          </w:divBdr>
          <w:divsChild>
            <w:div w:id="2013560211">
              <w:marLeft w:val="0"/>
              <w:marRight w:val="0"/>
              <w:marTop w:val="0"/>
              <w:marBottom w:val="0"/>
              <w:divBdr>
                <w:top w:val="none" w:sz="0" w:space="0" w:color="auto"/>
                <w:left w:val="none" w:sz="0" w:space="0" w:color="auto"/>
                <w:bottom w:val="none" w:sz="0" w:space="0" w:color="auto"/>
                <w:right w:val="none" w:sz="0" w:space="0" w:color="auto"/>
              </w:divBdr>
              <w:divsChild>
                <w:div w:id="1203052145">
                  <w:marLeft w:val="0"/>
                  <w:marRight w:val="0"/>
                  <w:marTop w:val="0"/>
                  <w:marBottom w:val="0"/>
                  <w:divBdr>
                    <w:top w:val="none" w:sz="0" w:space="0" w:color="auto"/>
                    <w:left w:val="none" w:sz="0" w:space="0" w:color="auto"/>
                    <w:bottom w:val="none" w:sz="0" w:space="0" w:color="auto"/>
                    <w:right w:val="none" w:sz="0" w:space="0" w:color="auto"/>
                  </w:divBdr>
                  <w:divsChild>
                    <w:div w:id="1286158425">
                      <w:marLeft w:val="0"/>
                      <w:marRight w:val="0"/>
                      <w:marTop w:val="0"/>
                      <w:marBottom w:val="0"/>
                      <w:divBdr>
                        <w:top w:val="none" w:sz="0" w:space="0" w:color="auto"/>
                        <w:left w:val="none" w:sz="0" w:space="0" w:color="auto"/>
                        <w:bottom w:val="none" w:sz="0" w:space="0" w:color="auto"/>
                        <w:right w:val="none" w:sz="0" w:space="0" w:color="auto"/>
                      </w:divBdr>
                      <w:divsChild>
                        <w:div w:id="1787308490">
                          <w:marLeft w:val="0"/>
                          <w:marRight w:val="0"/>
                          <w:marTop w:val="0"/>
                          <w:marBottom w:val="0"/>
                          <w:divBdr>
                            <w:top w:val="none" w:sz="0" w:space="0" w:color="auto"/>
                            <w:left w:val="none" w:sz="0" w:space="0" w:color="auto"/>
                            <w:bottom w:val="none" w:sz="0" w:space="0" w:color="auto"/>
                            <w:right w:val="none" w:sz="0" w:space="0" w:color="auto"/>
                          </w:divBdr>
                          <w:divsChild>
                            <w:div w:id="4923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554617">
      <w:bodyDiv w:val="1"/>
      <w:marLeft w:val="0"/>
      <w:marRight w:val="0"/>
      <w:marTop w:val="0"/>
      <w:marBottom w:val="0"/>
      <w:divBdr>
        <w:top w:val="none" w:sz="0" w:space="0" w:color="auto"/>
        <w:left w:val="none" w:sz="0" w:space="0" w:color="auto"/>
        <w:bottom w:val="none" w:sz="0" w:space="0" w:color="auto"/>
        <w:right w:val="none" w:sz="0" w:space="0" w:color="auto"/>
      </w:divBdr>
    </w:div>
    <w:div w:id="288972275">
      <w:bodyDiv w:val="1"/>
      <w:marLeft w:val="0"/>
      <w:marRight w:val="0"/>
      <w:marTop w:val="0"/>
      <w:marBottom w:val="0"/>
      <w:divBdr>
        <w:top w:val="none" w:sz="0" w:space="0" w:color="auto"/>
        <w:left w:val="none" w:sz="0" w:space="0" w:color="auto"/>
        <w:bottom w:val="none" w:sz="0" w:space="0" w:color="auto"/>
        <w:right w:val="none" w:sz="0" w:space="0" w:color="auto"/>
      </w:divBdr>
    </w:div>
    <w:div w:id="291596623">
      <w:bodyDiv w:val="1"/>
      <w:marLeft w:val="0"/>
      <w:marRight w:val="0"/>
      <w:marTop w:val="0"/>
      <w:marBottom w:val="0"/>
      <w:divBdr>
        <w:top w:val="none" w:sz="0" w:space="0" w:color="auto"/>
        <w:left w:val="none" w:sz="0" w:space="0" w:color="auto"/>
        <w:bottom w:val="none" w:sz="0" w:space="0" w:color="auto"/>
        <w:right w:val="none" w:sz="0" w:space="0" w:color="auto"/>
      </w:divBdr>
    </w:div>
    <w:div w:id="332950361">
      <w:bodyDiv w:val="1"/>
      <w:marLeft w:val="0"/>
      <w:marRight w:val="0"/>
      <w:marTop w:val="0"/>
      <w:marBottom w:val="0"/>
      <w:divBdr>
        <w:top w:val="none" w:sz="0" w:space="0" w:color="auto"/>
        <w:left w:val="none" w:sz="0" w:space="0" w:color="auto"/>
        <w:bottom w:val="none" w:sz="0" w:space="0" w:color="auto"/>
        <w:right w:val="none" w:sz="0" w:space="0" w:color="auto"/>
      </w:divBdr>
    </w:div>
    <w:div w:id="392117003">
      <w:bodyDiv w:val="1"/>
      <w:marLeft w:val="0"/>
      <w:marRight w:val="0"/>
      <w:marTop w:val="0"/>
      <w:marBottom w:val="0"/>
      <w:divBdr>
        <w:top w:val="none" w:sz="0" w:space="0" w:color="auto"/>
        <w:left w:val="none" w:sz="0" w:space="0" w:color="auto"/>
        <w:bottom w:val="none" w:sz="0" w:space="0" w:color="auto"/>
        <w:right w:val="none" w:sz="0" w:space="0" w:color="auto"/>
      </w:divBdr>
    </w:div>
    <w:div w:id="421528433">
      <w:bodyDiv w:val="1"/>
      <w:marLeft w:val="0"/>
      <w:marRight w:val="0"/>
      <w:marTop w:val="0"/>
      <w:marBottom w:val="0"/>
      <w:divBdr>
        <w:top w:val="none" w:sz="0" w:space="0" w:color="auto"/>
        <w:left w:val="none" w:sz="0" w:space="0" w:color="auto"/>
        <w:bottom w:val="none" w:sz="0" w:space="0" w:color="auto"/>
        <w:right w:val="none" w:sz="0" w:space="0" w:color="auto"/>
      </w:divBdr>
    </w:div>
    <w:div w:id="701712239">
      <w:bodyDiv w:val="1"/>
      <w:marLeft w:val="0"/>
      <w:marRight w:val="0"/>
      <w:marTop w:val="0"/>
      <w:marBottom w:val="0"/>
      <w:divBdr>
        <w:top w:val="none" w:sz="0" w:space="0" w:color="auto"/>
        <w:left w:val="none" w:sz="0" w:space="0" w:color="auto"/>
        <w:bottom w:val="none" w:sz="0" w:space="0" w:color="auto"/>
        <w:right w:val="none" w:sz="0" w:space="0" w:color="auto"/>
      </w:divBdr>
    </w:div>
    <w:div w:id="765615622">
      <w:bodyDiv w:val="1"/>
      <w:marLeft w:val="0"/>
      <w:marRight w:val="0"/>
      <w:marTop w:val="0"/>
      <w:marBottom w:val="0"/>
      <w:divBdr>
        <w:top w:val="none" w:sz="0" w:space="0" w:color="auto"/>
        <w:left w:val="none" w:sz="0" w:space="0" w:color="auto"/>
        <w:bottom w:val="none" w:sz="0" w:space="0" w:color="auto"/>
        <w:right w:val="none" w:sz="0" w:space="0" w:color="auto"/>
      </w:divBdr>
      <w:divsChild>
        <w:div w:id="1864204168">
          <w:marLeft w:val="0"/>
          <w:marRight w:val="0"/>
          <w:marTop w:val="0"/>
          <w:marBottom w:val="0"/>
          <w:divBdr>
            <w:top w:val="none" w:sz="0" w:space="0" w:color="auto"/>
            <w:left w:val="none" w:sz="0" w:space="0" w:color="auto"/>
            <w:bottom w:val="none" w:sz="0" w:space="0" w:color="auto"/>
            <w:right w:val="none" w:sz="0" w:space="0" w:color="auto"/>
          </w:divBdr>
          <w:divsChild>
            <w:div w:id="482894811">
              <w:marLeft w:val="0"/>
              <w:marRight w:val="0"/>
              <w:marTop w:val="0"/>
              <w:marBottom w:val="0"/>
              <w:divBdr>
                <w:top w:val="none" w:sz="0" w:space="0" w:color="auto"/>
                <w:left w:val="none" w:sz="0" w:space="0" w:color="auto"/>
                <w:bottom w:val="none" w:sz="0" w:space="0" w:color="auto"/>
                <w:right w:val="none" w:sz="0" w:space="0" w:color="auto"/>
              </w:divBdr>
              <w:divsChild>
                <w:div w:id="66921148">
                  <w:marLeft w:val="0"/>
                  <w:marRight w:val="0"/>
                  <w:marTop w:val="0"/>
                  <w:marBottom w:val="0"/>
                  <w:divBdr>
                    <w:top w:val="none" w:sz="0" w:space="0" w:color="auto"/>
                    <w:left w:val="none" w:sz="0" w:space="0" w:color="auto"/>
                    <w:bottom w:val="none" w:sz="0" w:space="0" w:color="auto"/>
                    <w:right w:val="none" w:sz="0" w:space="0" w:color="auto"/>
                  </w:divBdr>
                  <w:divsChild>
                    <w:div w:id="1268196598">
                      <w:marLeft w:val="0"/>
                      <w:marRight w:val="0"/>
                      <w:marTop w:val="0"/>
                      <w:marBottom w:val="0"/>
                      <w:divBdr>
                        <w:top w:val="none" w:sz="0" w:space="0" w:color="auto"/>
                        <w:left w:val="none" w:sz="0" w:space="0" w:color="auto"/>
                        <w:bottom w:val="none" w:sz="0" w:space="0" w:color="auto"/>
                        <w:right w:val="none" w:sz="0" w:space="0" w:color="auto"/>
                      </w:divBdr>
                      <w:divsChild>
                        <w:div w:id="1858958990">
                          <w:marLeft w:val="0"/>
                          <w:marRight w:val="0"/>
                          <w:marTop w:val="0"/>
                          <w:marBottom w:val="0"/>
                          <w:divBdr>
                            <w:top w:val="none" w:sz="0" w:space="0" w:color="auto"/>
                            <w:left w:val="none" w:sz="0" w:space="0" w:color="auto"/>
                            <w:bottom w:val="none" w:sz="0" w:space="0" w:color="auto"/>
                            <w:right w:val="none" w:sz="0" w:space="0" w:color="auto"/>
                          </w:divBdr>
                          <w:divsChild>
                            <w:div w:id="6084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2939">
      <w:bodyDiv w:val="1"/>
      <w:marLeft w:val="0"/>
      <w:marRight w:val="0"/>
      <w:marTop w:val="0"/>
      <w:marBottom w:val="0"/>
      <w:divBdr>
        <w:top w:val="none" w:sz="0" w:space="0" w:color="auto"/>
        <w:left w:val="none" w:sz="0" w:space="0" w:color="auto"/>
        <w:bottom w:val="none" w:sz="0" w:space="0" w:color="auto"/>
        <w:right w:val="none" w:sz="0" w:space="0" w:color="auto"/>
      </w:divBdr>
      <w:divsChild>
        <w:div w:id="1916427649">
          <w:marLeft w:val="0"/>
          <w:marRight w:val="0"/>
          <w:marTop w:val="0"/>
          <w:marBottom w:val="0"/>
          <w:divBdr>
            <w:top w:val="none" w:sz="0" w:space="0" w:color="auto"/>
            <w:left w:val="none" w:sz="0" w:space="0" w:color="auto"/>
            <w:bottom w:val="none" w:sz="0" w:space="0" w:color="auto"/>
            <w:right w:val="none" w:sz="0" w:space="0" w:color="auto"/>
          </w:divBdr>
          <w:divsChild>
            <w:div w:id="1016082258">
              <w:marLeft w:val="0"/>
              <w:marRight w:val="0"/>
              <w:marTop w:val="0"/>
              <w:marBottom w:val="0"/>
              <w:divBdr>
                <w:top w:val="none" w:sz="0" w:space="0" w:color="auto"/>
                <w:left w:val="none" w:sz="0" w:space="0" w:color="auto"/>
                <w:bottom w:val="none" w:sz="0" w:space="0" w:color="auto"/>
                <w:right w:val="none" w:sz="0" w:space="0" w:color="auto"/>
              </w:divBdr>
              <w:divsChild>
                <w:div w:id="1955482818">
                  <w:marLeft w:val="0"/>
                  <w:marRight w:val="0"/>
                  <w:marTop w:val="0"/>
                  <w:marBottom w:val="0"/>
                  <w:divBdr>
                    <w:top w:val="none" w:sz="0" w:space="0" w:color="auto"/>
                    <w:left w:val="none" w:sz="0" w:space="0" w:color="auto"/>
                    <w:bottom w:val="none" w:sz="0" w:space="0" w:color="auto"/>
                    <w:right w:val="none" w:sz="0" w:space="0" w:color="auto"/>
                  </w:divBdr>
                  <w:divsChild>
                    <w:div w:id="137236624">
                      <w:marLeft w:val="0"/>
                      <w:marRight w:val="0"/>
                      <w:marTop w:val="0"/>
                      <w:marBottom w:val="0"/>
                      <w:divBdr>
                        <w:top w:val="none" w:sz="0" w:space="0" w:color="auto"/>
                        <w:left w:val="none" w:sz="0" w:space="0" w:color="auto"/>
                        <w:bottom w:val="none" w:sz="0" w:space="0" w:color="auto"/>
                        <w:right w:val="none" w:sz="0" w:space="0" w:color="auto"/>
                      </w:divBdr>
                      <w:divsChild>
                        <w:div w:id="313338546">
                          <w:marLeft w:val="0"/>
                          <w:marRight w:val="0"/>
                          <w:marTop w:val="0"/>
                          <w:marBottom w:val="0"/>
                          <w:divBdr>
                            <w:top w:val="none" w:sz="0" w:space="0" w:color="auto"/>
                            <w:left w:val="none" w:sz="0" w:space="0" w:color="auto"/>
                            <w:bottom w:val="none" w:sz="0" w:space="0" w:color="auto"/>
                            <w:right w:val="none" w:sz="0" w:space="0" w:color="auto"/>
                          </w:divBdr>
                          <w:divsChild>
                            <w:div w:id="1135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88142">
      <w:bodyDiv w:val="1"/>
      <w:marLeft w:val="0"/>
      <w:marRight w:val="0"/>
      <w:marTop w:val="0"/>
      <w:marBottom w:val="0"/>
      <w:divBdr>
        <w:top w:val="none" w:sz="0" w:space="0" w:color="auto"/>
        <w:left w:val="none" w:sz="0" w:space="0" w:color="auto"/>
        <w:bottom w:val="none" w:sz="0" w:space="0" w:color="auto"/>
        <w:right w:val="none" w:sz="0" w:space="0" w:color="auto"/>
      </w:divBdr>
      <w:divsChild>
        <w:div w:id="54083930">
          <w:marLeft w:val="0"/>
          <w:marRight w:val="0"/>
          <w:marTop w:val="0"/>
          <w:marBottom w:val="0"/>
          <w:divBdr>
            <w:top w:val="none" w:sz="0" w:space="0" w:color="auto"/>
            <w:left w:val="none" w:sz="0" w:space="0" w:color="auto"/>
            <w:bottom w:val="none" w:sz="0" w:space="0" w:color="auto"/>
            <w:right w:val="none" w:sz="0" w:space="0" w:color="auto"/>
          </w:divBdr>
          <w:divsChild>
            <w:div w:id="414910051">
              <w:marLeft w:val="0"/>
              <w:marRight w:val="0"/>
              <w:marTop w:val="0"/>
              <w:marBottom w:val="0"/>
              <w:divBdr>
                <w:top w:val="none" w:sz="0" w:space="0" w:color="auto"/>
                <w:left w:val="none" w:sz="0" w:space="0" w:color="auto"/>
                <w:bottom w:val="none" w:sz="0" w:space="0" w:color="auto"/>
                <w:right w:val="none" w:sz="0" w:space="0" w:color="auto"/>
              </w:divBdr>
              <w:divsChild>
                <w:div w:id="1421875929">
                  <w:marLeft w:val="0"/>
                  <w:marRight w:val="0"/>
                  <w:marTop w:val="0"/>
                  <w:marBottom w:val="0"/>
                  <w:divBdr>
                    <w:top w:val="none" w:sz="0" w:space="0" w:color="auto"/>
                    <w:left w:val="none" w:sz="0" w:space="0" w:color="auto"/>
                    <w:bottom w:val="none" w:sz="0" w:space="0" w:color="auto"/>
                    <w:right w:val="none" w:sz="0" w:space="0" w:color="auto"/>
                  </w:divBdr>
                  <w:divsChild>
                    <w:div w:id="58212365">
                      <w:marLeft w:val="0"/>
                      <w:marRight w:val="0"/>
                      <w:marTop w:val="0"/>
                      <w:marBottom w:val="0"/>
                      <w:divBdr>
                        <w:top w:val="none" w:sz="0" w:space="0" w:color="auto"/>
                        <w:left w:val="none" w:sz="0" w:space="0" w:color="auto"/>
                        <w:bottom w:val="none" w:sz="0" w:space="0" w:color="auto"/>
                        <w:right w:val="none" w:sz="0" w:space="0" w:color="auto"/>
                      </w:divBdr>
                      <w:divsChild>
                        <w:div w:id="1297417780">
                          <w:marLeft w:val="0"/>
                          <w:marRight w:val="0"/>
                          <w:marTop w:val="0"/>
                          <w:marBottom w:val="0"/>
                          <w:divBdr>
                            <w:top w:val="none" w:sz="0" w:space="0" w:color="auto"/>
                            <w:left w:val="none" w:sz="0" w:space="0" w:color="auto"/>
                            <w:bottom w:val="none" w:sz="0" w:space="0" w:color="auto"/>
                            <w:right w:val="none" w:sz="0" w:space="0" w:color="auto"/>
                          </w:divBdr>
                          <w:divsChild>
                            <w:div w:id="20839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80588">
      <w:bodyDiv w:val="1"/>
      <w:marLeft w:val="0"/>
      <w:marRight w:val="0"/>
      <w:marTop w:val="0"/>
      <w:marBottom w:val="0"/>
      <w:divBdr>
        <w:top w:val="none" w:sz="0" w:space="0" w:color="auto"/>
        <w:left w:val="none" w:sz="0" w:space="0" w:color="auto"/>
        <w:bottom w:val="none" w:sz="0" w:space="0" w:color="auto"/>
        <w:right w:val="none" w:sz="0" w:space="0" w:color="auto"/>
      </w:divBdr>
    </w:div>
    <w:div w:id="991445198">
      <w:bodyDiv w:val="1"/>
      <w:marLeft w:val="0"/>
      <w:marRight w:val="0"/>
      <w:marTop w:val="0"/>
      <w:marBottom w:val="0"/>
      <w:divBdr>
        <w:top w:val="none" w:sz="0" w:space="0" w:color="auto"/>
        <w:left w:val="none" w:sz="0" w:space="0" w:color="auto"/>
        <w:bottom w:val="none" w:sz="0" w:space="0" w:color="auto"/>
        <w:right w:val="none" w:sz="0" w:space="0" w:color="auto"/>
      </w:divBdr>
    </w:div>
    <w:div w:id="1182279702">
      <w:bodyDiv w:val="1"/>
      <w:marLeft w:val="0"/>
      <w:marRight w:val="0"/>
      <w:marTop w:val="0"/>
      <w:marBottom w:val="0"/>
      <w:divBdr>
        <w:top w:val="none" w:sz="0" w:space="0" w:color="auto"/>
        <w:left w:val="none" w:sz="0" w:space="0" w:color="auto"/>
        <w:bottom w:val="none" w:sz="0" w:space="0" w:color="auto"/>
        <w:right w:val="none" w:sz="0" w:space="0" w:color="auto"/>
      </w:divBdr>
    </w:div>
    <w:div w:id="1216703052">
      <w:bodyDiv w:val="1"/>
      <w:marLeft w:val="0"/>
      <w:marRight w:val="0"/>
      <w:marTop w:val="0"/>
      <w:marBottom w:val="0"/>
      <w:divBdr>
        <w:top w:val="none" w:sz="0" w:space="0" w:color="auto"/>
        <w:left w:val="none" w:sz="0" w:space="0" w:color="auto"/>
        <w:bottom w:val="none" w:sz="0" w:space="0" w:color="auto"/>
        <w:right w:val="none" w:sz="0" w:space="0" w:color="auto"/>
      </w:divBdr>
    </w:div>
    <w:div w:id="1532299586">
      <w:bodyDiv w:val="1"/>
      <w:marLeft w:val="0"/>
      <w:marRight w:val="0"/>
      <w:marTop w:val="0"/>
      <w:marBottom w:val="0"/>
      <w:divBdr>
        <w:top w:val="none" w:sz="0" w:space="0" w:color="auto"/>
        <w:left w:val="none" w:sz="0" w:space="0" w:color="auto"/>
        <w:bottom w:val="none" w:sz="0" w:space="0" w:color="auto"/>
        <w:right w:val="none" w:sz="0" w:space="0" w:color="auto"/>
      </w:divBdr>
    </w:div>
    <w:div w:id="1546331882">
      <w:bodyDiv w:val="1"/>
      <w:marLeft w:val="0"/>
      <w:marRight w:val="0"/>
      <w:marTop w:val="0"/>
      <w:marBottom w:val="0"/>
      <w:divBdr>
        <w:top w:val="none" w:sz="0" w:space="0" w:color="auto"/>
        <w:left w:val="none" w:sz="0" w:space="0" w:color="auto"/>
        <w:bottom w:val="none" w:sz="0" w:space="0" w:color="auto"/>
        <w:right w:val="none" w:sz="0" w:space="0" w:color="auto"/>
      </w:divBdr>
    </w:div>
    <w:div w:id="1710841936">
      <w:bodyDiv w:val="1"/>
      <w:marLeft w:val="0"/>
      <w:marRight w:val="0"/>
      <w:marTop w:val="0"/>
      <w:marBottom w:val="0"/>
      <w:divBdr>
        <w:top w:val="none" w:sz="0" w:space="0" w:color="auto"/>
        <w:left w:val="none" w:sz="0" w:space="0" w:color="auto"/>
        <w:bottom w:val="none" w:sz="0" w:space="0" w:color="auto"/>
        <w:right w:val="none" w:sz="0" w:space="0" w:color="auto"/>
      </w:divBdr>
    </w:div>
    <w:div w:id="1725136114">
      <w:bodyDiv w:val="1"/>
      <w:marLeft w:val="0"/>
      <w:marRight w:val="0"/>
      <w:marTop w:val="0"/>
      <w:marBottom w:val="0"/>
      <w:divBdr>
        <w:top w:val="none" w:sz="0" w:space="0" w:color="auto"/>
        <w:left w:val="none" w:sz="0" w:space="0" w:color="auto"/>
        <w:bottom w:val="none" w:sz="0" w:space="0" w:color="auto"/>
        <w:right w:val="none" w:sz="0" w:space="0" w:color="auto"/>
      </w:divBdr>
      <w:divsChild>
        <w:div w:id="1893224830">
          <w:marLeft w:val="0"/>
          <w:marRight w:val="0"/>
          <w:marTop w:val="0"/>
          <w:marBottom w:val="0"/>
          <w:divBdr>
            <w:top w:val="none" w:sz="0" w:space="0" w:color="auto"/>
            <w:left w:val="none" w:sz="0" w:space="0" w:color="auto"/>
            <w:bottom w:val="none" w:sz="0" w:space="0" w:color="auto"/>
            <w:right w:val="none" w:sz="0" w:space="0" w:color="auto"/>
          </w:divBdr>
          <w:divsChild>
            <w:div w:id="1243022896">
              <w:marLeft w:val="0"/>
              <w:marRight w:val="0"/>
              <w:marTop w:val="0"/>
              <w:marBottom w:val="0"/>
              <w:divBdr>
                <w:top w:val="none" w:sz="0" w:space="0" w:color="auto"/>
                <w:left w:val="none" w:sz="0" w:space="0" w:color="auto"/>
                <w:bottom w:val="none" w:sz="0" w:space="0" w:color="auto"/>
                <w:right w:val="none" w:sz="0" w:space="0" w:color="auto"/>
              </w:divBdr>
              <w:divsChild>
                <w:div w:id="229268845">
                  <w:marLeft w:val="0"/>
                  <w:marRight w:val="0"/>
                  <w:marTop w:val="0"/>
                  <w:marBottom w:val="0"/>
                  <w:divBdr>
                    <w:top w:val="none" w:sz="0" w:space="0" w:color="auto"/>
                    <w:left w:val="none" w:sz="0" w:space="0" w:color="auto"/>
                    <w:bottom w:val="none" w:sz="0" w:space="0" w:color="auto"/>
                    <w:right w:val="none" w:sz="0" w:space="0" w:color="auto"/>
                  </w:divBdr>
                  <w:divsChild>
                    <w:div w:id="1801418000">
                      <w:marLeft w:val="0"/>
                      <w:marRight w:val="0"/>
                      <w:marTop w:val="0"/>
                      <w:marBottom w:val="0"/>
                      <w:divBdr>
                        <w:top w:val="none" w:sz="0" w:space="0" w:color="auto"/>
                        <w:left w:val="none" w:sz="0" w:space="0" w:color="auto"/>
                        <w:bottom w:val="none" w:sz="0" w:space="0" w:color="auto"/>
                        <w:right w:val="none" w:sz="0" w:space="0" w:color="auto"/>
                      </w:divBdr>
                      <w:divsChild>
                        <w:div w:id="2109306477">
                          <w:marLeft w:val="0"/>
                          <w:marRight w:val="0"/>
                          <w:marTop w:val="0"/>
                          <w:marBottom w:val="0"/>
                          <w:divBdr>
                            <w:top w:val="none" w:sz="0" w:space="0" w:color="auto"/>
                            <w:left w:val="none" w:sz="0" w:space="0" w:color="auto"/>
                            <w:bottom w:val="none" w:sz="0" w:space="0" w:color="auto"/>
                            <w:right w:val="none" w:sz="0" w:space="0" w:color="auto"/>
                          </w:divBdr>
                          <w:divsChild>
                            <w:div w:id="2818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6841">
      <w:bodyDiv w:val="1"/>
      <w:marLeft w:val="0"/>
      <w:marRight w:val="0"/>
      <w:marTop w:val="0"/>
      <w:marBottom w:val="0"/>
      <w:divBdr>
        <w:top w:val="none" w:sz="0" w:space="0" w:color="auto"/>
        <w:left w:val="none" w:sz="0" w:space="0" w:color="auto"/>
        <w:bottom w:val="none" w:sz="0" w:space="0" w:color="auto"/>
        <w:right w:val="none" w:sz="0" w:space="0" w:color="auto"/>
      </w:divBdr>
    </w:div>
    <w:div w:id="1848670653">
      <w:bodyDiv w:val="1"/>
      <w:marLeft w:val="0"/>
      <w:marRight w:val="0"/>
      <w:marTop w:val="0"/>
      <w:marBottom w:val="0"/>
      <w:divBdr>
        <w:top w:val="none" w:sz="0" w:space="0" w:color="auto"/>
        <w:left w:val="none" w:sz="0" w:space="0" w:color="auto"/>
        <w:bottom w:val="none" w:sz="0" w:space="0" w:color="auto"/>
        <w:right w:val="none" w:sz="0" w:space="0" w:color="auto"/>
      </w:divBdr>
      <w:divsChild>
        <w:div w:id="124473506">
          <w:marLeft w:val="0"/>
          <w:marRight w:val="0"/>
          <w:marTop w:val="0"/>
          <w:marBottom w:val="0"/>
          <w:divBdr>
            <w:top w:val="none" w:sz="0" w:space="0" w:color="auto"/>
            <w:left w:val="none" w:sz="0" w:space="0" w:color="auto"/>
            <w:bottom w:val="none" w:sz="0" w:space="0" w:color="auto"/>
            <w:right w:val="none" w:sz="0" w:space="0" w:color="auto"/>
          </w:divBdr>
          <w:divsChild>
            <w:div w:id="1638604632">
              <w:marLeft w:val="0"/>
              <w:marRight w:val="0"/>
              <w:marTop w:val="0"/>
              <w:marBottom w:val="0"/>
              <w:divBdr>
                <w:top w:val="none" w:sz="0" w:space="0" w:color="auto"/>
                <w:left w:val="none" w:sz="0" w:space="0" w:color="auto"/>
                <w:bottom w:val="none" w:sz="0" w:space="0" w:color="auto"/>
                <w:right w:val="none" w:sz="0" w:space="0" w:color="auto"/>
              </w:divBdr>
              <w:divsChild>
                <w:div w:id="243103364">
                  <w:marLeft w:val="0"/>
                  <w:marRight w:val="0"/>
                  <w:marTop w:val="0"/>
                  <w:marBottom w:val="0"/>
                  <w:divBdr>
                    <w:top w:val="none" w:sz="0" w:space="0" w:color="auto"/>
                    <w:left w:val="none" w:sz="0" w:space="0" w:color="auto"/>
                    <w:bottom w:val="none" w:sz="0" w:space="0" w:color="auto"/>
                    <w:right w:val="none" w:sz="0" w:space="0" w:color="auto"/>
                  </w:divBdr>
                  <w:divsChild>
                    <w:div w:id="61145889">
                      <w:marLeft w:val="0"/>
                      <w:marRight w:val="0"/>
                      <w:marTop w:val="0"/>
                      <w:marBottom w:val="0"/>
                      <w:divBdr>
                        <w:top w:val="none" w:sz="0" w:space="0" w:color="auto"/>
                        <w:left w:val="none" w:sz="0" w:space="0" w:color="auto"/>
                        <w:bottom w:val="none" w:sz="0" w:space="0" w:color="auto"/>
                        <w:right w:val="none" w:sz="0" w:space="0" w:color="auto"/>
                      </w:divBdr>
                      <w:divsChild>
                        <w:div w:id="1198006748">
                          <w:marLeft w:val="0"/>
                          <w:marRight w:val="0"/>
                          <w:marTop w:val="0"/>
                          <w:marBottom w:val="0"/>
                          <w:divBdr>
                            <w:top w:val="none" w:sz="0" w:space="0" w:color="auto"/>
                            <w:left w:val="none" w:sz="0" w:space="0" w:color="auto"/>
                            <w:bottom w:val="none" w:sz="0" w:space="0" w:color="auto"/>
                            <w:right w:val="none" w:sz="0" w:space="0" w:color="auto"/>
                          </w:divBdr>
                          <w:divsChild>
                            <w:div w:id="5893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2983">
      <w:bodyDiv w:val="1"/>
      <w:marLeft w:val="0"/>
      <w:marRight w:val="0"/>
      <w:marTop w:val="0"/>
      <w:marBottom w:val="0"/>
      <w:divBdr>
        <w:top w:val="none" w:sz="0" w:space="0" w:color="auto"/>
        <w:left w:val="none" w:sz="0" w:space="0" w:color="auto"/>
        <w:bottom w:val="none" w:sz="0" w:space="0" w:color="auto"/>
        <w:right w:val="none" w:sz="0" w:space="0" w:color="auto"/>
      </w:divBdr>
    </w:div>
    <w:div w:id="1927301685">
      <w:bodyDiv w:val="1"/>
      <w:marLeft w:val="0"/>
      <w:marRight w:val="0"/>
      <w:marTop w:val="0"/>
      <w:marBottom w:val="0"/>
      <w:divBdr>
        <w:top w:val="none" w:sz="0" w:space="0" w:color="auto"/>
        <w:left w:val="none" w:sz="0" w:space="0" w:color="auto"/>
        <w:bottom w:val="none" w:sz="0" w:space="0" w:color="auto"/>
        <w:right w:val="none" w:sz="0" w:space="0" w:color="auto"/>
      </w:divBdr>
      <w:divsChild>
        <w:div w:id="403183223">
          <w:marLeft w:val="0"/>
          <w:marRight w:val="0"/>
          <w:marTop w:val="0"/>
          <w:marBottom w:val="0"/>
          <w:divBdr>
            <w:top w:val="none" w:sz="0" w:space="0" w:color="auto"/>
            <w:left w:val="none" w:sz="0" w:space="0" w:color="auto"/>
            <w:bottom w:val="none" w:sz="0" w:space="0" w:color="auto"/>
            <w:right w:val="none" w:sz="0" w:space="0" w:color="auto"/>
          </w:divBdr>
          <w:divsChild>
            <w:div w:id="2113044306">
              <w:marLeft w:val="0"/>
              <w:marRight w:val="0"/>
              <w:marTop w:val="0"/>
              <w:marBottom w:val="0"/>
              <w:divBdr>
                <w:top w:val="none" w:sz="0" w:space="0" w:color="auto"/>
                <w:left w:val="none" w:sz="0" w:space="0" w:color="auto"/>
                <w:bottom w:val="none" w:sz="0" w:space="0" w:color="auto"/>
                <w:right w:val="none" w:sz="0" w:space="0" w:color="auto"/>
              </w:divBdr>
              <w:divsChild>
                <w:div w:id="359403167">
                  <w:marLeft w:val="0"/>
                  <w:marRight w:val="0"/>
                  <w:marTop w:val="0"/>
                  <w:marBottom w:val="0"/>
                  <w:divBdr>
                    <w:top w:val="none" w:sz="0" w:space="0" w:color="auto"/>
                    <w:left w:val="none" w:sz="0" w:space="0" w:color="auto"/>
                    <w:bottom w:val="none" w:sz="0" w:space="0" w:color="auto"/>
                    <w:right w:val="none" w:sz="0" w:space="0" w:color="auto"/>
                  </w:divBdr>
                  <w:divsChild>
                    <w:div w:id="545067143">
                      <w:marLeft w:val="0"/>
                      <w:marRight w:val="0"/>
                      <w:marTop w:val="0"/>
                      <w:marBottom w:val="0"/>
                      <w:divBdr>
                        <w:top w:val="none" w:sz="0" w:space="0" w:color="auto"/>
                        <w:left w:val="none" w:sz="0" w:space="0" w:color="auto"/>
                        <w:bottom w:val="none" w:sz="0" w:space="0" w:color="auto"/>
                        <w:right w:val="none" w:sz="0" w:space="0" w:color="auto"/>
                      </w:divBdr>
                      <w:divsChild>
                        <w:div w:id="692342707">
                          <w:marLeft w:val="0"/>
                          <w:marRight w:val="0"/>
                          <w:marTop w:val="0"/>
                          <w:marBottom w:val="0"/>
                          <w:divBdr>
                            <w:top w:val="none" w:sz="0" w:space="0" w:color="auto"/>
                            <w:left w:val="none" w:sz="0" w:space="0" w:color="auto"/>
                            <w:bottom w:val="none" w:sz="0" w:space="0" w:color="auto"/>
                            <w:right w:val="none" w:sz="0" w:space="0" w:color="auto"/>
                          </w:divBdr>
                          <w:divsChild>
                            <w:div w:id="2259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81616109">
      <w:bodyDiv w:val="1"/>
      <w:marLeft w:val="0"/>
      <w:marRight w:val="0"/>
      <w:marTop w:val="0"/>
      <w:marBottom w:val="0"/>
      <w:divBdr>
        <w:top w:val="none" w:sz="0" w:space="0" w:color="auto"/>
        <w:left w:val="none" w:sz="0" w:space="0" w:color="auto"/>
        <w:bottom w:val="none" w:sz="0" w:space="0" w:color="auto"/>
        <w:right w:val="none" w:sz="0" w:space="0" w:color="auto"/>
      </w:divBdr>
      <w:divsChild>
        <w:div w:id="245463068">
          <w:marLeft w:val="0"/>
          <w:marRight w:val="0"/>
          <w:marTop w:val="0"/>
          <w:marBottom w:val="0"/>
          <w:divBdr>
            <w:top w:val="none" w:sz="0" w:space="0" w:color="auto"/>
            <w:left w:val="none" w:sz="0" w:space="0" w:color="auto"/>
            <w:bottom w:val="none" w:sz="0" w:space="0" w:color="auto"/>
            <w:right w:val="none" w:sz="0" w:space="0" w:color="auto"/>
          </w:divBdr>
          <w:divsChild>
            <w:div w:id="1172061272">
              <w:marLeft w:val="0"/>
              <w:marRight w:val="0"/>
              <w:marTop w:val="0"/>
              <w:marBottom w:val="0"/>
              <w:divBdr>
                <w:top w:val="none" w:sz="0" w:space="0" w:color="auto"/>
                <w:left w:val="none" w:sz="0" w:space="0" w:color="auto"/>
                <w:bottom w:val="none" w:sz="0" w:space="0" w:color="auto"/>
                <w:right w:val="none" w:sz="0" w:space="0" w:color="auto"/>
              </w:divBdr>
              <w:divsChild>
                <w:div w:id="1224295097">
                  <w:marLeft w:val="0"/>
                  <w:marRight w:val="0"/>
                  <w:marTop w:val="0"/>
                  <w:marBottom w:val="0"/>
                  <w:divBdr>
                    <w:top w:val="none" w:sz="0" w:space="0" w:color="auto"/>
                    <w:left w:val="none" w:sz="0" w:space="0" w:color="auto"/>
                    <w:bottom w:val="none" w:sz="0" w:space="0" w:color="auto"/>
                    <w:right w:val="none" w:sz="0" w:space="0" w:color="auto"/>
                  </w:divBdr>
                  <w:divsChild>
                    <w:div w:id="570045809">
                      <w:marLeft w:val="0"/>
                      <w:marRight w:val="0"/>
                      <w:marTop w:val="0"/>
                      <w:marBottom w:val="0"/>
                      <w:divBdr>
                        <w:top w:val="none" w:sz="0" w:space="0" w:color="auto"/>
                        <w:left w:val="none" w:sz="0" w:space="0" w:color="auto"/>
                        <w:bottom w:val="none" w:sz="0" w:space="0" w:color="auto"/>
                        <w:right w:val="none" w:sz="0" w:space="0" w:color="auto"/>
                      </w:divBdr>
                      <w:divsChild>
                        <w:div w:id="338388476">
                          <w:marLeft w:val="0"/>
                          <w:marRight w:val="0"/>
                          <w:marTop w:val="0"/>
                          <w:marBottom w:val="0"/>
                          <w:divBdr>
                            <w:top w:val="none" w:sz="0" w:space="0" w:color="auto"/>
                            <w:left w:val="none" w:sz="0" w:space="0" w:color="auto"/>
                            <w:bottom w:val="none" w:sz="0" w:space="0" w:color="auto"/>
                            <w:right w:val="none" w:sz="0" w:space="0" w:color="auto"/>
                          </w:divBdr>
                          <w:divsChild>
                            <w:div w:id="7324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28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7C349-D7C2-4CD1-8F73-AA0979E11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Garces Florez</dc:creator>
  <cp:keywords/>
  <dc:description/>
  <cp:lastModifiedBy>Especialista de Negocios Verdes</cp:lastModifiedBy>
  <cp:revision>2</cp:revision>
  <cp:lastPrinted>2026-03-10T12:18:00Z</cp:lastPrinted>
  <dcterms:created xsi:type="dcterms:W3CDTF">2026-03-18T03:24:00Z</dcterms:created>
  <dcterms:modified xsi:type="dcterms:W3CDTF">2026-03-18T03:24:00Z</dcterms:modified>
</cp:coreProperties>
</file>