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DEL FACILITADOR — SESIÓN 3.2</w:t>
        <w:br/>
        <w:t>Estabilidad del carbono y persistencia en suelo</w:t>
      </w:r>
    </w:p>
    <w:p>
      <w:pPr>
        <w:jc w:val="center"/>
      </w:pPr>
      <w:r>
        <w:rPr>
          <w:b/>
        </w:rPr>
        <w:t>Módulo 3 — Ciencia y Tecnología del Biochar  |  2 horas  |  Virtual sincrónica</w:t>
      </w:r>
    </w:p>
    <w:p/>
    <w:p>
      <w:pPr>
        <w:pStyle w:val="Heading1"/>
      </w:pPr>
      <w:r>
        <w:t>1. OBJETIVOS DE APRENDIZAJE</w:t>
      </w:r>
    </w:p>
    <w:p>
      <w:pPr>
        <w:pStyle w:val="ListBullet"/>
      </w:pPr>
      <w:r>
        <w:t>Explicar qué es la fracción PAC y por qué persiste más de 1.000 años en el suelo.</w:t>
      </w:r>
    </w:p>
    <w:p>
      <w:pPr>
        <w:pStyle w:val="ListBullet"/>
      </w:pPr>
      <w:r>
        <w:t>Describir la diferencia entre PAC (≥75%) y SPC (≤25%) en el biochar del proyecto.</w:t>
      </w:r>
    </w:p>
    <w:p>
      <w:pPr>
        <w:pStyle w:val="ListBullet"/>
      </w:pPr>
      <w:r>
        <w:t>Interpretar el índice H/Corg como indicador de estabilidad del biochar.</w:t>
      </w:r>
    </w:p>
    <w:p>
      <w:pPr>
        <w:pStyle w:val="ListBullet"/>
      </w:pPr>
      <w:r>
        <w:t>Conectar la estabilidad del carbono con la integridad del crédito a 10 años.</w:t>
      </w:r>
    </w:p>
    <w:p>
      <w:pPr>
        <w:pStyle w:val="ListBullet"/>
      </w:pPr>
      <w:r>
        <w:t>Identificar los criterios de calidad de la biomasa elegible (zoca del café).</w:t>
      </w:r>
    </w:p>
    <w:p>
      <w:pPr>
        <w:pStyle w:val="Heading1"/>
      </w:pPr>
      <w:r>
        <w:t>2. MATERIALES NECESARIOS</w:t>
      </w:r>
    </w:p>
    <w:p>
      <w:pPr>
        <w:pStyle w:val="ListBullet"/>
      </w:pPr>
      <w:r>
        <w:t>Presentación S3.2 con esquemas de estructura molecular del carbono.</w:t>
      </w:r>
    </w:p>
    <w:p>
      <w:pPr>
        <w:pStyle w:val="ListBullet"/>
      </w:pPr>
      <w:r>
        <w:t>Guía de Lectura S3.2 (distribuida previamente).</w:t>
      </w:r>
    </w:p>
    <w:p>
      <w:pPr>
        <w:pStyle w:val="ListBullet"/>
      </w:pPr>
      <w:r>
        <w:t>Ficha de caracterización de biochar del proyecto (con datos reales de H/C).</w:t>
      </w:r>
    </w:p>
    <w:p>
      <w:pPr>
        <w:pStyle w:val="ListBullet"/>
      </w:pPr>
      <w:r>
        <w:t>Muestra visual o foto de biochar vs. carbón vegetal para comparar.</w:t>
      </w:r>
    </w:p>
    <w:p>
      <w:pPr>
        <w:pStyle w:val="Heading1"/>
      </w:pPr>
      <w:r>
        <w:t>3. AGENDA</w:t>
      </w:r>
    </w:p>
    <w:tbl>
      <w:tblPr>
        <w:tblStyle w:val="TableGrid"/>
        <w:tblW w:type="auto" w:w="0"/>
        <w:tblLook w:firstColumn="1" w:firstRow="1" w:lastColumn="0" w:lastRow="0" w:noHBand="0" w:noVBand="1" w:val="04A0"/>
      </w:tblPr>
      <w:tblGrid>
        <w:gridCol w:w="2880"/>
        <w:gridCol w:w="2880"/>
        <w:gridCol w:w="2880"/>
      </w:tblGrid>
      <w:tr>
        <w:tc>
          <w:tcPr>
            <w:tcW w:type="dxa" w:w="2880"/>
          </w:tcPr>
          <w:p>
            <w:r>
              <w:t>Tiempo</w:t>
            </w:r>
          </w:p>
        </w:tc>
        <w:tc>
          <w:tcPr>
            <w:tcW w:type="dxa" w:w="2880"/>
          </w:tcPr>
          <w:p>
            <w:r>
              <w:t>Actividad</w:t>
            </w:r>
          </w:p>
        </w:tc>
        <w:tc>
          <w:tcPr>
            <w:tcW w:type="dxa" w:w="2880"/>
          </w:tcPr>
          <w:p>
            <w:r>
              <w:t>Metodología</w:t>
            </w:r>
          </w:p>
        </w:tc>
      </w:tr>
      <w:tr>
        <w:tc>
          <w:tcPr>
            <w:tcW w:type="dxa" w:w="2880"/>
          </w:tcPr>
          <w:p>
            <w:r>
              <w:t>0:00 – 0:10</w:t>
            </w:r>
          </w:p>
        </w:tc>
        <w:tc>
          <w:tcPr>
            <w:tcW w:type="dxa" w:w="2880"/>
          </w:tcPr>
          <w:p>
            <w:r>
              <w:t>Activación — ¿Qué pasa con el carbono bajo la tierra?</w:t>
            </w:r>
          </w:p>
        </w:tc>
        <w:tc>
          <w:tcPr>
            <w:tcW w:type="dxa" w:w="2880"/>
          </w:tcPr>
          <w:p>
            <w:r>
              <w:t>Pregunta al grupo</w:t>
            </w:r>
          </w:p>
        </w:tc>
      </w:tr>
      <w:tr>
        <w:tc>
          <w:tcPr>
            <w:tcW w:type="dxa" w:w="2880"/>
          </w:tcPr>
          <w:p>
            <w:r>
              <w:t>0:10 – 0:35</w:t>
            </w:r>
          </w:p>
        </w:tc>
        <w:tc>
          <w:tcPr>
            <w:tcW w:type="dxa" w:w="2880"/>
          </w:tcPr>
          <w:p>
            <w:r>
              <w:t>Fracción PAC y SPC: qué son y cómo se forman</w:t>
            </w:r>
          </w:p>
        </w:tc>
        <w:tc>
          <w:tcPr>
            <w:tcW w:type="dxa" w:w="2880"/>
          </w:tcPr>
          <w:p>
            <w:r>
              <w:t>Exposición</w:t>
            </w:r>
          </w:p>
        </w:tc>
      </w:tr>
      <w:tr>
        <w:tc>
          <w:tcPr>
            <w:tcW w:type="dxa" w:w="2880"/>
          </w:tcPr>
          <w:p>
            <w:r>
              <w:t>0:35 – 0:55</w:t>
            </w:r>
          </w:p>
        </w:tc>
        <w:tc>
          <w:tcPr>
            <w:tcW w:type="dxa" w:w="2880"/>
          </w:tcPr>
          <w:p>
            <w:r>
              <w:t>El índice H/Corg como indicador clave</w:t>
            </w:r>
          </w:p>
        </w:tc>
        <w:tc>
          <w:tcPr>
            <w:tcW w:type="dxa" w:w="2880"/>
          </w:tcPr>
          <w:p>
            <w:r>
              <w:t>Demostración con datos reales</w:t>
            </w:r>
          </w:p>
        </w:tc>
      </w:tr>
      <w:tr>
        <w:tc>
          <w:tcPr>
            <w:tcW w:type="dxa" w:w="2880"/>
          </w:tcPr>
          <w:p>
            <w:r>
              <w:t>0:55 – 1:20</w:t>
            </w:r>
          </w:p>
        </w:tc>
        <w:tc>
          <w:tcPr>
            <w:tcW w:type="dxa" w:w="2880"/>
          </w:tcPr>
          <w:p>
            <w:r>
              <w:t>¿Por qué importa la permanencia para el crédito?</w:t>
            </w:r>
          </w:p>
        </w:tc>
        <w:tc>
          <w:tcPr>
            <w:tcW w:type="dxa" w:w="2880"/>
          </w:tcPr>
          <w:p>
            <w:r>
              <w:t>Exposición + casos</w:t>
            </w:r>
          </w:p>
        </w:tc>
      </w:tr>
      <w:tr>
        <w:tc>
          <w:tcPr>
            <w:tcW w:type="dxa" w:w="2880"/>
          </w:tcPr>
          <w:p>
            <w:r>
              <w:t>1:20 – 1:45</w:t>
            </w:r>
          </w:p>
        </w:tc>
        <w:tc>
          <w:tcPr>
            <w:tcW w:type="dxa" w:w="2880"/>
          </w:tcPr>
          <w:p>
            <w:r>
              <w:t>Biomasa elegible: criterios de calidad de la zoca</w:t>
            </w:r>
          </w:p>
        </w:tc>
        <w:tc>
          <w:tcPr>
            <w:tcW w:type="dxa" w:w="2880"/>
          </w:tcPr>
          <w:p>
            <w:r>
              <w:t>Checklist interactivo</w:t>
            </w:r>
          </w:p>
        </w:tc>
      </w:tr>
      <w:tr>
        <w:tc>
          <w:tcPr>
            <w:tcW w:type="dxa" w:w="2880"/>
          </w:tcPr>
          <w:p>
            <w:r>
              <w:t>1:45 – 2:00</w:t>
            </w:r>
          </w:p>
        </w:tc>
        <w:tc>
          <w:tcPr>
            <w:tcW w:type="dxa" w:w="2880"/>
          </w:tcPr>
          <w:p>
            <w:r>
              <w:t>Cierre y reflexión grupal</w:t>
            </w:r>
          </w:p>
        </w:tc>
        <w:tc>
          <w:tcPr>
            <w:tcW w:type="dxa" w:w="2880"/>
          </w:tcPr>
          <w:p>
            <w:r>
              <w:t>Ronda de síntesis</w:t>
            </w:r>
          </w:p>
        </w:tc>
      </w:tr>
    </w:tbl>
    <w:p>
      <w:pPr>
        <w:pStyle w:val="Heading1"/>
      </w:pPr>
      <w:r>
        <w:t>4. DESARROLLO DE LA SESIÓN</w:t>
      </w:r>
    </w:p>
    <w:p>
      <w:pPr>
        <w:pStyle w:val="Heading2"/>
      </w:pPr>
      <w:r>
        <w:t>4.1 Activación (10 minutos)</w:t>
      </w:r>
    </w:p>
    <w:p>
      <w:r>
        <w:t>Pregunta inicial: «Si enterramos un trozo de madera en el suelo, ¿cuánto tiempo tarda en descomponerse? ¿Y si enterramos un trozo de carbón de leña? ¿Y el biochar?»</w:t>
      </w:r>
    </w:p>
    <w:p>
      <w:r>
        <w:t>Escucha respuestas. Introduce: la respuesta depende de la estructura química del carbono. La madera tiene carbono 'fresco' que los microorganismos consumen rápido. El carbono del biochar tiene una estructura aromática que los microorganismos no pueden degradar fácilmente.</w:t>
      </w:r>
    </w:p>
    <w:p>
      <w:pPr>
        <w:pStyle w:val="Heading2"/>
      </w:pPr>
      <w:r>
        <w:t>4.2 Fracción PAC y SPC (25 minutos)</w:t>
      </w:r>
    </w:p>
    <w:p>
      <w:r>
        <w:t>En el biochar producido con el Kon-Tiki, el carbono se distribuye en dos fracciones:</w:t>
      </w:r>
    </w:p>
    <w:p>
      <w:pPr>
        <w:pStyle w:val="ListBullet"/>
      </w:pPr>
      <w:r>
        <w:t>PAC (Carbono Aromático Persistente): estructura de anillos de benceno condensados. Literalmente no tiene grupos funcionales que los microorganismos puedan atacar. Persiste más de 1.000 años. Mínimo requerido: 75% del carbono total.</w:t>
      </w:r>
    </w:p>
    <w:p>
      <w:pPr>
        <w:pStyle w:val="ListBullet"/>
      </w:pPr>
      <w:r>
        <w:t>SPC (Carbono Semi-Persistente): estructuras menos condensadas, con más hidrógeno y oxígeno en su composición. Se degrada gradualmente — vida media aproximada de 50 años. Constituye el 25% restante.</w:t>
      </w:r>
    </w:p>
    <w:p>
      <w:r>
        <w:t>Analogía para el grupo: imaginen que el carbono del biochar es como una red de alambre (PAC) vs. una red de hilo (SPC). El alambre dura décadas; el hilo se deteriora en años.</w:t>
      </w:r>
    </w:p>
    <w:p>
      <w:r>
        <w:t>Pregunta al grupo: ¿por qué es importante para el proyecto que la mayor parte del carbono sea PAC? (Respuesta: el crédito de carbono se calcula sobre el carbono que va a permanecer en el suelo — no el que se va a degradar).</w:t>
      </w:r>
    </w:p>
    <w:p>
      <w:pPr>
        <w:pStyle w:val="Heading2"/>
      </w:pPr>
      <w:r>
        <w:t>4.3 El índice H/Corg (20 minutos)</w:t>
      </w:r>
    </w:p>
    <w:p>
      <w:r>
        <w:t>El índice H/Corg (relación hidrógeno/carbono orgánico) es el parámetro analítico que certifica la estabilidad del biochar:</w:t>
      </w:r>
    </w:p>
    <w:p>
      <w:pPr>
        <w:pStyle w:val="ListBullet"/>
      </w:pPr>
      <w:r>
        <w:t>H/Corg &lt; 0.4 → el biochar cumple el umbral de PAC ≥ 75% según el estándar Global Artisan C-Sink.</w:t>
      </w:r>
    </w:p>
    <w:p>
      <w:pPr>
        <w:pStyle w:val="ListBullet"/>
      </w:pPr>
      <w:r>
        <w:t>H/Corg &gt; 0.4 → la pirólisis fue incompleta; hay demasiado carbono 'joven' que se degradará más rápido.</w:t>
      </w:r>
    </w:p>
    <w:p>
      <w:r>
        <w:t>¿Cómo se determina? Es una análisis de laboratorio que el proyecto realiza sobre muestras del biochar producido. El extensionista no lo mide en campo, pero sí debe entenderlo para interpretar los informes de calidad.</w:t>
      </w:r>
    </w:p>
    <w:p>
      <w:r>
        <w:t>Ejercicio: presenta la ficha de caracterización de un lote real del proyecto. Pregunta: ¿este biochar cumple el umbral H/C &lt; 0.4?</w:t>
      </w:r>
    </w:p>
    <w:p>
      <w:pPr>
        <w:pStyle w:val="Heading2"/>
      </w:pPr>
      <w:r>
        <w:t>4.4 Permanencia y el crédito de carbono a 10 años (25 minutos)</w:t>
      </w:r>
    </w:p>
    <w:p>
      <w:r>
        <w:t>El crédito de carbono que emite el proyecto tiene una duración de 10 años. Durante ese tiempo, el comprometido es que el carbono permanezca en el suelo donde fue aplicado.</w:t>
      </w:r>
    </w:p>
    <w:p>
      <w:r>
        <w:t>¿Cómo se garantiza eso?</w:t>
      </w:r>
    </w:p>
    <w:p>
      <w:pPr>
        <w:pStyle w:val="ListBullet"/>
      </w:pPr>
      <w:r>
        <w:t>El biochar solo califica si H/Corg &lt; 0.4 (estructura PAC dominante).</w:t>
      </w:r>
    </w:p>
    <w:p>
      <w:pPr>
        <w:pStyle w:val="ListBullet"/>
      </w:pPr>
      <w:r>
        <w:t>Se aplica directamente al suelo de la misma finca donde se produjo — no se saca del predio.</w:t>
      </w:r>
    </w:p>
    <w:p>
      <w:pPr>
        <w:pStyle w:val="ListBullet"/>
      </w:pPr>
      <w:r>
        <w:t>Los análisis de suelo periódicos verifican que el carbono orgánico del suelo (SOC) siga presente.</w:t>
      </w:r>
    </w:p>
    <w:p>
      <w:pPr>
        <w:pStyle w:val="ListBullet"/>
      </w:pPr>
      <w:r>
        <w:t>Si un lote de biochar no cumple H/Corg &lt; 0.4, no se emite crédito por ese lote.</w:t>
      </w:r>
    </w:p>
    <w:p>
      <w:r>
        <w:t>Caso para discutir: un extensionista registra una quema pero al momento del análisis de laboratorio resulta H/Corg = 0.47. ¿Qué implicaciones tiene para el productor? ¿Para el clúster?</w:t>
      </w:r>
    </w:p>
    <w:p>
      <w:pPr>
        <w:pStyle w:val="Heading2"/>
      </w:pPr>
      <w:r>
        <w:t>4.5 Biomasa elegible (25 minutos)</w:t>
      </w:r>
    </w:p>
    <w:p>
      <w:r>
        <w:t>No toda biomasa produce biochar de calidad. Los criterios de elegibilidad para la zoca del café en el proyecto son:</w:t>
      </w:r>
    </w:p>
    <w:p>
      <w:pPr>
        <w:pStyle w:val="ListBullet"/>
      </w:pPr>
      <w:r>
        <w:t>Humedad: máximo 30% de contenido de humedad al momento de la quema. Biomasa más húmeda produce biochar de menor calidad.</w:t>
      </w:r>
    </w:p>
    <w:p>
      <w:pPr>
        <w:pStyle w:val="ListBullet"/>
      </w:pPr>
      <w:r>
        <w:t>Ausencia de contaminantes: no se acepta zoca mezclada con plástico, metal, tierra u otros residuos.</w:t>
      </w:r>
    </w:p>
    <w:p>
      <w:pPr>
        <w:pStyle w:val="ListBullet"/>
      </w:pPr>
      <w:r>
        <w:t>Tamaño de partícula: fragmentos menores a 15 cm de longitud permiten una pirólisis más homogénea.</w:t>
      </w:r>
    </w:p>
    <w:p>
      <w:pPr>
        <w:pStyle w:val="ListBullet"/>
      </w:pPr>
      <w:r>
        <w:t>Trazabilidad: la biomasa debe provenir de la finca registrada en el proyecto — no de terceros sin documentar.</w:t>
      </w:r>
    </w:p>
    <w:p>
      <w:r>
        <w:t>¿Por qué estos criterios? Porque el análisis H/Corg del biochar final refleja la calidad de la biomasa de entrada. Si la biomasa es de mala calidad, el biochar será de baja calidad — y puede no calificar.</w:t>
      </w:r>
    </w:p>
    <w:p>
      <w:pPr>
        <w:pStyle w:val="Heading2"/>
      </w:pPr>
      <w:r>
        <w:t>4.6 Cierre (10 minutos)</w:t>
      </w:r>
    </w:p>
    <w:p>
      <w:r>
        <w:t>Ronda de síntesis: cada extensionista completa la frase: 'Si el H/Corg de mi biochar es mayor de 0.4, significa que...'</w:t>
      </w:r>
    </w:p>
    <w:p>
      <w:pPr>
        <w:pStyle w:val="Heading1"/>
      </w:pPr>
      <w:r>
        <w:t>5. NOTAS PARA EL FACILITADOR</w:t>
      </w:r>
    </w:p>
    <w:p>
      <w:pPr>
        <w:pStyle w:val="ListBullet"/>
      </w:pPr>
      <w:r>
        <w:t>La química de la estructura aromática puede ser difícil de visualizar. Apóyate en analogías: la diferencia entre un jersey de lana (que se lava y encoge) y un tejido de acero inoxidable (que no se deteriora).</w:t>
      </w:r>
    </w:p>
    <w:p>
      <w:pPr>
        <w:pStyle w:val="ListBullet"/>
      </w:pPr>
      <w:r>
        <w:t>El índice H/C es el único parámetro que el extensionista realmente necesita recordar — lo demás es contexto.</w:t>
      </w:r>
    </w:p>
    <w:p>
      <w:pPr>
        <w:pStyle w:val="ListBullet"/>
      </w:pPr>
      <w:r>
        <w:t>Si hay fichas de caracterización de lotes reales disponibles, úsalas. Los datos reales tienen mucho más impacto que los teóricos.</w:t>
      </w:r>
    </w:p>
    <w:p>
      <w:pPr>
        <w:pStyle w:val="Heading1"/>
      </w:pPr>
      <w:r>
        <w:t>6. GLOSARIO</w:t>
      </w:r>
    </w:p>
    <w:p>
      <w:r>
        <w:rPr>
          <w:b/>
        </w:rPr>
        <w:t xml:space="preserve">PAC: </w:t>
      </w:r>
      <w:r>
        <w:t>Carbono Aromático Persistente. Fracción del carbono del biochar con estructura de anillos aromáticos condensados que persiste &gt; 1.000 años.</w:t>
      </w:r>
    </w:p>
    <w:p>
      <w:r>
        <w:rPr>
          <w:b/>
        </w:rPr>
        <w:t xml:space="preserve">SPC: </w:t>
      </w:r>
      <w:r>
        <w:t>Carbono Semi-Persistente. Fracción del carbono con estructura menos condensada. Vida media ~50 años.</w:t>
      </w:r>
    </w:p>
    <w:p>
      <w:r>
        <w:rPr>
          <w:b/>
        </w:rPr>
        <w:t xml:space="preserve">H/Corg: </w:t>
      </w:r>
      <w:r>
        <w:t>Índice hidrógeno/carbono orgánico. Indicador analítico de la estabilidad del biochar. Valor &lt; 0.4 garantiza PAC ≥ 75%.</w:t>
      </w:r>
    </w:p>
    <w:p>
      <w:r>
        <w:rPr>
          <w:b/>
        </w:rPr>
        <w:t xml:space="preserve">SOC: </w:t>
      </w:r>
      <w:r>
        <w:t>Carbono Orgánico del Suelo (Soil Organic Carbon). Indicador clave de la salud del suelo y del secuestro de carbono.</w:t>
      </w:r>
    </w:p>
    <w:p>
      <w:r>
        <w:rPr>
          <w:b/>
        </w:rPr>
        <w:t xml:space="preserve">Biomasa elegible: </w:t>
      </w:r>
      <w:r>
        <w:t>Biomasa que cumple los criterios del proyecto para ser pirolizada: humedad ≤ 30%, sin contaminantes, tamaño &lt; 15 cm.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