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3.svg" ContentType="image/svg+xml"/>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1"/>
      </w:pPr>
      <w:r>
        <w:t>S4.2 — Biología del suelo cafetero: microbioma, fauna edáfica y materia orgánica</w:t>
      </w:r>
    </w:p>
    <w:p>
      <w:pPr>
        <w:jc w:val="center"/>
      </w:pPr>
      <w:r>
        <w:rPr>
          <w:b/>
          <w:sz w:val="22"/>
        </w:rPr>
        <w:t>Módulo 04 | Sesión 4.2</w:t>
      </w:r>
    </w:p>
    <w:p>
      <w:pPr>
        <w:jc w:val="center"/>
      </w:pPr>
      <w:r>
        <w:rPr>
          <w:b/>
          <w:sz w:val="22"/>
        </w:rPr>
        <w:t>Coffee Biochar Academy — Lecturas Científicas Complementarias</w:t>
      </w:r>
    </w:p>
    <w:p>
      <w:pPr>
        <w:pStyle w:val="Ttulo2"/>
      </w:pPr>
      <w:r>
        <w:t>1. Introducción</w:t>
      </w:r>
    </w:p>
    <w:p>
      <w:pPr/>
      <w:r>
        <w:t xml:space="preserve">Bajo la superficie del cafetal existe un universo biológico de complejidad extraordinaria. Cada gramo de suelo cafetero alberga miles de millones de bacterias, cientos de metros de hifas fúngicas, redes de micorrizas arbusculares entretejidas con las raíces del </w:t>
      </w:r>
      <w:r>
        <w:rPr>
          <w:i/>
        </w:rPr>
        <w:t>Coffea arabica</w:t>
      </w:r>
      <w:r>
        <w:t>, poblaciones de lombrices y artrópodos, y una cascada enzimática que descompone la materia orgánica, cicla los nutrientes y estabiliza la estructura del suelo. Este sistema vivo no es un decorado de la producción cafetera sino su fundamento más profundo: sin él, el cafetal pierde resiliencia, el fertilizante se vuelve ineficiente y el suelo comienza un proceso de degradación que ningún agroquímico puede revertir de manera sostenida.</w:t>
      </w:r>
    </w:p>
    <w:p>
      <w:pPr/>
      <w:r>
        <w:t>La ecología del suelo cafetero colombiano ha recibido creciente atención científica en la última década, y los hallazgos disponibles permiten fundamentar recomendaciones de manejo con una solidez que trasciende la tradición empírica. La presente lectura recorre los principales grupos funcionales del microbioma edáfico cafetero —hongos, bacterias, micorrizas arbusculares y macrofauna—, examina la dinámica de la materia orgánica y sus fracciones húmicas, y articula las implicaciones de estos conocimientos para la práctica del extensionista que acompaña fincas cafeteras en Colombia.</w:t>
      </w:r>
    </w:p>
    <w:p>
      <w:pPr>
        <w:spacing w:before="240"/>
        <w:jc w:val="center"/>
      </w:pPr>
      <w:r>
        <w:drawing>
          <wp:inline xmlns:a="http://schemas.openxmlformats.org/drawingml/2006/main" xmlns:pic="http://schemas.openxmlformats.org/drawingml/2006/picture">
            <wp:extent cx="5029200" cy="2743200"/>
            <wp:docPr id="1" name="Picture 1"/>
            <wp:cNvGraphicFramePr>
              <a:graphicFrameLocks noChangeAspect="1"/>
            </wp:cNvGraphicFramePr>
            <a:graphic>
              <a:graphicData uri="http://schemas.openxmlformats.org/drawingml/2006/picture">
                <pic:pic>
                  <pic:nvPicPr>
                    <pic:cNvPr id="0" name="S4.2_microbioma_suelo.png"/>
                    <pic:cNvPicPr/>
                  </pic:nvPicPr>
                  <pic:blipFill>
                    <a:blip r:embed="rId12"/>
                    <a:stretch>
                      <a:fillRect/>
                    </a:stretch>
                  </pic:blipFill>
                  <pic:spPr>
                    <a:xfrm>
                      <a:off x="0" y="0"/>
                      <a:ext cx="5029200" cy="2743200"/>
                    </a:xfrm>
                    <a:prstGeom prst="rect"/>
                  </pic:spPr>
                </pic:pic>
              </a:graphicData>
            </a:graphic>
          </wp:inline>
        </w:drawing>
      </w:r>
    </w:p>
    <w:p>
      <w:pPr>
        <w:spacing w:after="280"/>
        <w:jc w:val="center"/>
      </w:pPr>
      <w:r>
        <w:rPr>
          <w:i/>
          <w:sz w:val="20"/>
        </w:rPr>
        <w:t>Figura 1. Microbioma del suelo cafetero: grupos funcionales, interacciones y servicios ecosistémicos.</w:t>
      </w:r>
    </w:p>
    <w:p>
      <w:pPr>
        <w:pStyle w:val="Ttulo2"/>
      </w:pPr>
      <w:r>
        <w:t>2. El microbioma fúngico del cafetal colombiano: diversidad y función</w:t>
      </w:r>
    </w:p>
    <w:p>
      <w:pPr/>
      <w:r>
        <w:t>Los hongos del suelo constituyen el grupo funcional más diverso y probablemente el más importante en la descomposición de la materia orgánica y la formación de agregados estables. La primera encuesta metagenómica completa de hongos del suelo en cafetales colombianos, realizada en seis fincas de tres regiones —Cauca, Risaralda y Magdalena— identificó una comunidad fúngica con alta diversidad taxonómica y funcional, que incluye organismos con roles de descomposición, simbiosis y control de patógenos (Ochoa-Henriquez et al., 2024). La composición de esta comunidad varía significativamente según la altitud y el sistema de manejo del cafetal, lo que sugiere que las prácticas agrícolas ejercen una selección activa sobre el microbioma fúngico local.</w:t>
      </w:r>
    </w:p>
    <w:p>
      <w:pPr/>
      <w:r>
        <w:t>Esta diversidad funcional tiene consecuencias directas sobre los servicios ecosistémicos del suelo cafetero. Los hongos descomponedores degradan la lignina y la celulosa de los residuos orgánicos, convirtiendo materiales estructuralmente complejos en nutrientes asimilables y en humus estable. Los hongos simbiontes —especialmente los ectomicorrícicos presentes en algunas especies de sombra— participan en la movilización de fósforo y nitrógeno orgánico en formas que las bacterias y las plantas no pueden acceder por sí solas. Los hongos antagónicos de patógenos actúan como biocontroladores naturales de Fusarium, Rhizoctonia y otros organismos que afectan el sistema radicular del café. La pérdida de diversidad fúngica por el uso intensivo de fungicidas de suelo o por la eliminación de la materia orgánica superficial no es, por tanto, un evento neutral: es el colapso parcial de un sistema de servicios que el caficultor está recibiendo de manera gratuita.</w:t>
      </w:r>
    </w:p>
    <w:p>
      <w:pPr>
        <w:pStyle w:val="Ttulo2"/>
      </w:pPr>
      <w:r>
        <w:t>3. Micorrizas arbusculares: la simbiosis que regula la nutrición mineral</w:t>
      </w:r>
    </w:p>
    <w:p>
      <w:pPr/>
      <w:r>
        <w:t xml:space="preserve">Las micorrizas arbusculares (AMF, por sus siglas en inglés) representan la simbiosis más extendida y ecológicamente relevante del reino vegetal. El café arábica es una planta micorrícica por naturaleza, y la colonización de sus raíces por hongos del phylum Glomeromycota amplía de manera efectiva su capacidad de exploración del suelo para acceder a fósforo, zinc y agua en zonas de suelo no alcanzables por las raíces directamente. En cafetales de Colombia y México con edades de 9 a 13 años se han identificado 85 especies de Glomeromycota, entre las que destacan </w:t>
      </w:r>
      <w:r>
        <w:rPr>
          <w:i/>
        </w:rPr>
        <w:t>Acaulospora mellea</w:t>
      </w:r>
      <w:r>
        <w:t xml:space="preserve">, </w:t>
      </w:r>
      <w:r>
        <w:rPr>
          <w:i/>
        </w:rPr>
        <w:t>A. spinosa</w:t>
      </w:r>
      <w:r>
        <w:t xml:space="preserve">, </w:t>
      </w:r>
      <w:r>
        <w:rPr>
          <w:i/>
        </w:rPr>
        <w:t>Rhizoglomus clarum</w:t>
      </w:r>
      <w:r>
        <w:t xml:space="preserve"> y </w:t>
      </w:r>
      <w:r>
        <w:rPr>
          <w:i/>
        </w:rPr>
        <w:t>R. intraradices</w:t>
      </w:r>
      <w:r>
        <w:t xml:space="preserve"> como las más frecuentes; la riqueza de especies AMF correlaciona positivamente con la estabilidad de los agregados del suelo, el contenido de materia orgánica y las prácticas de manejo orgánico o agroecológico (Cardoso et al., 2016).</w:t>
      </w:r>
    </w:p>
    <w:p>
      <w:pPr/>
      <w:r>
        <w:t>La regulación de la diversidad AMF por los parámetros edáficos tiene implicaciones prácticas que el extensionista debe conocer. En primer lugar, el pH, el nitrógeno y el fósforo disponibles son los tres determinantes más importantes de la composición de las comunidades AMF en cafetales; en particular, el exceso de fósforo disponible reduce drásticamente la diversidad AMF, porque la planta, al no necesitar la simbiosis para acceder al P, deja de invertir carbono en mantenerla activa (De Beenhouwer et al., 2015). Este mecanismo explica por qué la fertilización fosforada excesiva, lejos de ser inocua, puede erosionar la capacidad simbiótica del suelo cafetero y aumentar la dependencia del cultivo hacia los insumos externos. En segundo lugar, el manejo agroecológico del cafetal preserva una diversidad AMF estadísticamente equivalente a la de los fragmentos de bosque circundantes, mientras que los sistemas convencionales reducen sistemáticamente esa diversidad hacia estados más simples y funcionalmente menos robustos (Prates Júnior et al., 2019). Esta diferencia no es cosmética: una comunidad AMF diversa ofrece mayor resiliencia ante perturbaciones de suelo, mayor capacidad de colonización en diferentes condiciones climáticas estacionales y mayor amplitud de acceso a nutrientes.</w:t>
      </w:r>
    </w:p>
    <w:p>
      <w:pPr>
        <w:pStyle w:val="Ttulo2"/>
      </w:pPr>
      <w:r>
        <w:t>4. Macrofauna del suelo: lombrices como ingenieras del ecosistema</w:t>
      </w:r>
    </w:p>
    <w:p>
      <w:pPr/>
      <w:r>
        <w:t xml:space="preserve">Las lombrices de tierra son quizás los organismos macrofáunicos más influyentes en la biología del suelo cafetero. Su actividad de ingestión, mezcla y excreción de partículas de suelo transforma la arquitectura edáfica de maneras que ninguna herramienta mecánica puede replicar con la misma fineza bioquímica. Experimentos con trazadores de ¹⁵N en sistemas agroforestales tropicales demostraron que la adición de </w:t>
      </w:r>
      <w:r>
        <w:rPr>
          <w:i/>
        </w:rPr>
        <w:t>Pontoscolex corethrurus</w:t>
      </w:r>
      <w:r>
        <w:t xml:space="preserve"> a suelos con aporte de residuos orgánicos produce un incremento del 10% en el diámetro medio ponderado de los agregados y del 17% en el contenido de carbono de los microagregados dentro de los macroagregados; además, la absorción de nitrógeno del fertilizante por el maíz aumenta en un 7% en presencia de lombrices (Fonte et al., 2010). El mecanismo subyacente es la formación de organomineral complejos en el intestino de la lombriz, donde el carbono orgánico se estabiliza físicamente dentro de microagregados de alta persistencia temporal. Es crucial notar que este efecto solo se manifiesta cuando hay aporte suficiente de residuos orgánicos: las lombrices no crean fertilidad de la nada, sino que la amplifican a partir de la materia orgánica disponible.</w:t>
      </w:r>
    </w:p>
    <w:p>
      <w:pPr/>
      <w:r>
        <w:t>En los sistemas agroforestales cafeteros, la abundancia de lombrices es significativamente mayor que en monocultivos de sol, y su actividad contribuye de manera directa a la formación de macroagregados y a la estabilización de carbono en horizontes superficiales (Tiburcio-Argüello et al., 2024). El modelo de ecuaciones estructurales utilizado en este estudio confirmó que tanto la fauna edáfica como el aporte diversificado de residuos orgánicos son variables independientes que contribuyen significativamente a la fracción de carbono en macroagregados, lo que refuerza el argumento de que la diversificación del aporte de materia orgánica —hojas, ramas, pulpa de café, coberturas— tiene efectos multiplicadores sobre la biología del suelo más allá de la simple fertilización nitrogenada.</w:t>
      </w:r>
    </w:p>
    <w:p>
      <w:pPr>
        <w:pStyle w:val="Ttulo2"/>
      </w:pPr>
      <w:r>
        <w:t>5. Indicadores biológicos de salud del suelo: qué medir y por qué</w:t>
      </w:r>
    </w:p>
    <w:p>
      <w:pPr/>
      <w:r>
        <w:t>La salud biológica del suelo cafetero puede evaluarse mediante un conjunto de indicadores que son más sensibles a los cambios de manejo que los atributos físicos y químicos convencionales. En fincas cafeteras del Cerrado brasileño, la biomasa microbiana del carbono (MBC), el cociente metabólico (qCO₂), la actividad de la β-glucosidasa y la de la ureasa discriminan con mayor precisión el potencial productivo de los suelos que los análisis de pH, materia orgánica o fósforo disponible (De Medeiros et al., 2020). Más aún, estos indicadores biológicos correlacionan directamente con el rendimiento del café, lo que les otorga relevancia agronómica directa y no solo ecológica.</w:t>
      </w:r>
    </w:p>
    <w:p>
      <w:pPr/>
      <w:r>
        <w:t>En suelos cafeteros del suroeste de Bahía, Brasil, los indicadores más sensibles al cambio de manejo entre sistemas convencionales, orgánicos y agroforestales resultaron ser la fosfatasa ácida y la hidrólisis de fluoresceína diacetato (FDA), mientras que la respiración basal del suelo y el cociente microbiano (qMic) ofrecen información complementaria sobre la calidad de la materia orgánica y el estado energético del microbioma (Oliveira-Filho et al., 2024). La FDA mide la actividad general de hidrólisis de ésteres por el conjunto de la comunidad microbiana activa, y se correlaciona con la tasa de transformación de materia orgánica: un suelo con FDA alta es un suelo que está procesando activamente sus recursos orgánicos, transformándolos en nutrientes disponibles y en estructuras húmicas estables. El qCO₂, calculado como la razón entre respiración basal y biomasa microbiana, indica la eficiencia metabólica del microbioma: un qCO₂ alto implica que la comunidad microbiana está bajo estrés y consume mucha energía para mantenerse, disipándola como CO₂ en lugar de incorporarla a biomasa.</w:t>
      </w:r>
    </w:p>
    <w:p>
      <w:pPr/>
      <w:r>
        <w:t xml:space="preserve">En los sistemas agroforestales cafeteros, la biomasa microbiana de carbono y la actividad enzimática se mantienen o mejoran respecto a los monocultivos de café bajo sol (Rittl et al., 2023). El experimento realizado en Bahía con cafetales asociados a </w:t>
      </w:r>
      <w:r>
        <w:rPr>
          <w:i/>
        </w:rPr>
        <w:t>Grevillea robusta</w:t>
      </w:r>
      <w:r>
        <w:t xml:space="preserve"> y </w:t>
      </w:r>
      <w:r>
        <w:rPr>
          <w:i/>
        </w:rPr>
        <w:t>Toona ciliata</w:t>
      </w:r>
      <w:r>
        <w:t xml:space="preserve"> demostró que la eficiencia de conversión del carbono orgánico en carbono microbiano es mayor en los sistemas agroforestales, lo que constituye un indicador de calidad de la materia orgánica: en presencia de diversidad arbórea, el microbioma puede sintetizar más biomasa por unidad de carbono consumido, lo que implica mayor almacenamiento de carbono y mayor producción de enzimas que estabilizan el suelo.</w:t>
      </w:r>
    </w:p>
    <w:p>
      <w:pPr>
        <w:pStyle w:val="Ttulo2"/>
      </w:pPr>
      <w:r>
        <w:t>6. Ácidos húmicos y fracciones estables de la materia orgánica</w:t>
      </w:r>
    </w:p>
    <w:p>
      <w:pPr/>
      <w:r>
        <w:t>La materia orgánica del suelo no es un todo homogéneo: se organiza en fracciones con distintos grados de estabilidad y con diferentes funciones en la química y la biología del suelo. Las fracciones húmicas —ácidos húmicos (HA) y ácidos fúlvicos (FA)— representan la fracción más estabilizada de la materia orgánica, con tiempos de residencia que pueden superar los cientos de años. En suelos bajo sistemas agroforestales tropicales, el índice de humificación de los ácidos húmicos es mayor y la concentración de radicales libres tipo semiquinona (SFR) es más alta que en suelos de pradera, lo que indica que los HA del SAF son estructuralmente más complejos, más aromáticos y más resistentes a la mineralización microbiana (Venturini et al., 2022). La evaluación espectroscópica —mediante fluorescencia EEM-CP/PARAFAC y resonancia paramagnética electrónica (EPR)— confirmó que el manejo agroforestal no solo aumenta la cantidad de materia orgánica sino también su calidad estructural, produciendo humus más estable y funcionalmente activo.</w:t>
      </w:r>
    </w:p>
    <w:p>
      <w:pPr/>
      <w:r>
        <w:t>Esta diferencia en la calidad de la materia orgánica tiene implicaciones prácticas concretas: un suelo con ácidos húmicos más humificados retiene más cationes nutrientes por unidad de carbono (mayor CIC efectiva por porcentaje de MO), presenta mayor estabilidad de agregados, y es más resistente a los pulsos de mineralización inducidos por lluvias intensas o por la labranza. Para el extensionista, esto significa que la comparación entre fincas no debe limitarse a la lectura del porcentaje de MO total en el análisis de suelo; debe incluir, cuando sea posible, indicadores de calidad de la MO como el carbono activo (fácilmente mineralizable), la relación C/N y la actividad enzimática, que ofrecen una imagen más completa de la capacidad del suelo para proveer nutrientes de manera sostenida.</w:t>
      </w:r>
    </w:p>
    <w:p>
      <w:pPr>
        <w:pStyle w:val="Ttulo2"/>
      </w:pPr>
      <w:r>
        <w:t>7. Implicaciones prácticas para el extensionista</w:t>
      </w:r>
    </w:p>
    <w:p>
      <w:pPr/>
      <w:r>
        <w:t>El conocimiento de la biología del suelo cafetero transforma la manera en que el extensionista concibe su trabajo de acompañamiento. La primera implicación práctica es que las recomendaciones de manejo deben considerar el impacto sobre los organismos del suelo como un criterio de evaluación tan relevante como el impacto sobre los nutrientes disponibles o el rendimiento de corto plazo. La aplicación de fungicidas de suelo, el uso excesivo de nitrógeno amoniacal, la labranza frecuente y profunda, y la eliminación de la cobertura orgánica superficial son prácticas que degradan el microbioma y que sus efectos negativos tardan años en manifestarse en los análisis convencionales, pero que el extensionista puede detectar anticipadamente mediante indicadores biológicos de alerta temprana.</w:t>
      </w:r>
    </w:p>
    <w:p>
      <w:pPr/>
      <w:r>
        <w:t>La segunda implicación práctica es la importancia del manejo de la sombra y la diversidad arbórea como estrategia de gestión biológica del suelo. Los sistemas agroforestales cafeteros con diversidad de especies arbóreas presentan consistentemente mayores niveles de biomasa microbiana, mayor diversidad AMF, mayor abundancia de lombrices y mayor actividad enzimática que los monocultivos de sol (Rittl et al., 2023; Prates Júnior et al., 2019; Tiburcio-Argüello et al., 2024). Esta convergencia de evidencias procedentes de distintas regiones y metodologías da solidez científica a la recomendación de sistemas agroforestales como estrategia de manejo biológico del suelo.</w:t>
      </w:r>
    </w:p>
    <w:p>
      <w:pPr/>
      <w:r>
        <w:t>La tercera implicación práctica es la gestión activa del fósforo disponible. El extensionista debe alertar a los productores sobre el riesgo de la fertilización fosforada excesiva: más allá de su costo económico, altos niveles de P disponible inhiben las comunidades AMF, reduciendo la capacidad simbiótica del suelo y aumentando la dependencia del cultivo hacia los insumos minerales externos (De Beenhouwer et al., 2015). Un análisis periódico del P Bray o Mehlich-3 permite detectar acumulaciones problemáticas antes de que causen daño ecológico irreversible.</w:t>
      </w:r>
    </w:p>
    <w:p>
      <w:pPr/>
      <w:r>
        <w:t>La cuarta implicación práctica, relacionada con la macrofauna, es el aporte sistemático de residuos orgánicos como precondición para que las lombrices y la macrofauna edáfica puedan prestar sus servicios de estructura y nutrición del suelo. Sin materia orgánica disponible, las lombrices no pueden procesar ni estabilizar el carbono (Fonte et al., 2010). Esto convierte el manejo de los residuos de cosecha —pulpa, mucílago, cáscaras, hojas de sombra— en una decisión de gestión biológica con impacto directo sobre la fertilidad a mediano plazo.</w:t>
      </w:r>
    </w:p>
    <w:p>
      <w:pPr>
        <w:pStyle w:val="Ttulo2"/>
      </w:pPr>
      <w:r>
        <w:t>8. Conclusión</w:t>
      </w:r>
    </w:p>
    <w:p>
      <w:pPr/>
      <w:r>
        <w:t>La biología del suelo cafetero colombiano es un sistema de extraordinaria complejidad funcional que opera como el verdadero motor de la fertilidad y la resiliencia de los cafetales. La metagenómica fúngica, la ecología de las micorrizas arbusculares, la actividad de la macrofauna y las propiedades de los ácidos húmicos confluyen en un mismo mensaje: el manejo biológico del suelo no es una alternativa romántica al enfoque agroquímico, sino la base científica de una caficultura productiva, sostenible y adaptada al cambio climático. El extensionista que comprende estos mecanismos y los incorpora a su práctica de campo está en condiciones de acompañar a los productores en la transición desde una visión del suelo como substrato a su comprensión como ecosistema, y esa transición conceptual es, en última instancia, la que determina la calidad de las recomendaciones técnicas que guiarán la caficultura colombiana en las próximas décadas.</w:t>
      </w:r>
    </w:p>
    <w:p>
      <w:pPr>
        <w:pStyle w:val="Ttulo2"/>
      </w:pPr>
      <w:r>
        <w:t>Referencias</w:t>
      </w:r>
    </w:p>
    <w:p>
      <w:pPr/>
      <w:r>
        <w:rPr>
          <w:sz w:val="20"/>
        </w:rPr>
        <w:t xml:space="preserve">Cardoso, I.M., et al. [Berbara, R.L.L. group] (2016). Effects of soil physical and chemical parameters, and farm management practices on arbuscular mycorrhizal fungi communities and diversities in coffee plantations in Colombia and Mexico. </w:t>
      </w:r>
      <w:r>
        <w:rPr>
          <w:i/>
          <w:sz w:val="20"/>
        </w:rPr>
        <w:t>Agroforestry Systems</w:t>
      </w:r>
      <w:r>
        <w:rPr>
          <w:sz w:val="20"/>
        </w:rPr>
        <w:t>, 91(4), 735–748. https://doi.org/10.1007/s10457-016-0030-0</w:t>
      </w:r>
    </w:p>
    <w:p>
      <w:pPr/>
      <w:r>
        <w:rPr>
          <w:sz w:val="20"/>
        </w:rPr>
        <w:t>De Beenhouwer, M., Van Geel, M., Ceulemans, T., Muleta, D., Lievens, B., &amp; Honnay, O. (2015). Changing soil characteristics alter the arbuscular mycorrhizal fungi communities of Arabica coffee (</w:t>
      </w:r>
      <w:r>
        <w:rPr>
          <w:i/>
          <w:sz w:val="20"/>
        </w:rPr>
        <w:t>Coffea arabica</w:t>
      </w:r>
      <w:r>
        <w:rPr>
          <w:sz w:val="20"/>
        </w:rPr>
        <w:t xml:space="preserve">) in Ethiopia across a management intensity gradient. </w:t>
      </w:r>
      <w:r>
        <w:rPr>
          <w:i/>
          <w:sz w:val="20"/>
        </w:rPr>
        <w:t>Soil Biology and Biochemistry</w:t>
      </w:r>
      <w:r>
        <w:rPr>
          <w:sz w:val="20"/>
        </w:rPr>
        <w:t>, 91, 133–139. https://doi.org/10.1016/j.soilbio.2015.08.037</w:t>
      </w:r>
    </w:p>
    <w:p>
      <w:pPr/>
      <w:r>
        <w:rPr>
          <w:sz w:val="20"/>
        </w:rPr>
        <w:t xml:space="preserve">De Medeiros, E.V., et al. (2020). Microbiological indicators of soil quality are related to greater coffee yield in the Brazilian Cerrado region. </w:t>
      </w:r>
      <w:r>
        <w:rPr>
          <w:i/>
          <w:sz w:val="20"/>
        </w:rPr>
        <w:t>Ecological Indicators</w:t>
      </w:r>
      <w:r>
        <w:rPr>
          <w:sz w:val="20"/>
        </w:rPr>
        <w:t>, 113, 106205. https://doi.org/10.1016/j.ecolind.2020.106205</w:t>
      </w:r>
    </w:p>
    <w:p>
      <w:pPr/>
      <w:r>
        <w:rPr>
          <w:sz w:val="20"/>
        </w:rPr>
        <w:t xml:space="preserve">Fonte, S.J., Barrios, E., &amp; Six, J. (2010). Earthworms and litter management contributions to ecosystem services in a tropical agroforestry system. </w:t>
      </w:r>
      <w:r>
        <w:rPr>
          <w:i/>
          <w:sz w:val="20"/>
        </w:rPr>
        <w:t>Ecological Applications</w:t>
      </w:r>
      <w:r>
        <w:rPr>
          <w:sz w:val="20"/>
        </w:rPr>
        <w:t>, 20(4), 1061–1073. https://doi.org/10.1890/09-0795.1</w:t>
      </w:r>
    </w:p>
    <w:p>
      <w:pPr/>
      <w:r>
        <w:rPr>
          <w:sz w:val="20"/>
        </w:rPr>
        <w:t>Ochoa-Henriquez, V.H., Faggioli, V., Gómez-Godínez, L.J., Rivarola, M., &amp; Cristancho, M. (2024). Colombian coffee (</w:t>
      </w:r>
      <w:r>
        <w:rPr>
          <w:i/>
          <w:sz w:val="20"/>
        </w:rPr>
        <w:t>Coffea arabica</w:t>
      </w:r>
      <w:r>
        <w:rPr>
          <w:sz w:val="20"/>
        </w:rPr>
        <w:t xml:space="preserve"> L.) plantations: a taxonomic and functional survey of soil fungi. </w:t>
      </w:r>
      <w:r>
        <w:rPr>
          <w:i/>
          <w:sz w:val="20"/>
        </w:rPr>
        <w:t>Frontiers in Sustainable Food Systems</w:t>
      </w:r>
      <w:r>
        <w:rPr>
          <w:sz w:val="20"/>
        </w:rPr>
        <w:t>, 8, 1345383. https://doi.org/10.3389/fsufs.2024.1345383</w:t>
      </w:r>
    </w:p>
    <w:p>
      <w:pPr/>
      <w:r>
        <w:rPr>
          <w:sz w:val="20"/>
        </w:rPr>
        <w:t xml:space="preserve">Oliveira-Filho, L.C.I., et al. (2024). Microbiological attributes as indicators of soil quality in coffee growing systems in Southwest Bahia, Brazil. </w:t>
      </w:r>
      <w:r>
        <w:rPr>
          <w:i/>
          <w:sz w:val="20"/>
        </w:rPr>
        <w:t>Brazilian Journal of Microbiology</w:t>
      </w:r>
      <w:r>
        <w:rPr>
          <w:sz w:val="20"/>
        </w:rPr>
        <w:t>, 55, 1157–1167. https://doi.org/10.1007/s42770-024-01279-0</w:t>
      </w:r>
    </w:p>
    <w:p>
      <w:pPr/>
      <w:r>
        <w:rPr>
          <w:sz w:val="20"/>
        </w:rPr>
        <w:t xml:space="preserve">Prates Júnior, P., Moreira, B.C., Soares da Silva, M.C., Veloso, T.G.R., Stürmer, S.L., Fernandes, R.B.A., Mendonça, E.S., &amp; Kasuya, M.C.M. (2019). Agroecological coffee management increases arbuscular mycorrhizal fungi diversity. </w:t>
      </w:r>
      <w:r>
        <w:rPr>
          <w:i/>
          <w:sz w:val="20"/>
        </w:rPr>
        <w:t>PLOS ONE</w:t>
      </w:r>
      <w:r>
        <w:rPr>
          <w:sz w:val="20"/>
        </w:rPr>
        <w:t>, 14(1), e0209093. https://doi.org/10.1371/journal.pone.0209093</w:t>
      </w:r>
    </w:p>
    <w:p>
      <w:pPr/>
      <w:r>
        <w:rPr>
          <w:sz w:val="20"/>
        </w:rPr>
        <w:t xml:space="preserve">Rittl, T.S., et al. (2023). Response of soil microbial biomass and enzyme activity in coffee-based agroforestry systems in a high-altitude tropical climate region of Brazil. </w:t>
      </w:r>
      <w:r>
        <w:rPr>
          <w:i/>
          <w:sz w:val="20"/>
        </w:rPr>
        <w:t>Catena</w:t>
      </w:r>
      <w:r>
        <w:rPr>
          <w:sz w:val="20"/>
        </w:rPr>
        <w:t>, 228, 107270. https://doi.org/10.1016/j.catena.2023.107270</w:t>
      </w:r>
    </w:p>
    <w:p>
      <w:pPr/>
      <w:r>
        <w:rPr>
          <w:sz w:val="20"/>
        </w:rPr>
        <w:t xml:space="preserve">Tiburcio-Argüello, A., et al. (2024). Carbon in soil macroaggregates under coffee agroforestry systems: Modeling the effect of edaphic fauna and residue input. </w:t>
      </w:r>
      <w:r>
        <w:rPr>
          <w:i/>
          <w:sz w:val="20"/>
        </w:rPr>
        <w:t>Applied Soil Ecology</w:t>
      </w:r>
      <w:r>
        <w:rPr>
          <w:sz w:val="20"/>
        </w:rPr>
        <w:t>, 201, 105479. https://doi.org/10.1016/j.apsoil.2024.105479</w:t>
      </w:r>
    </w:p>
    <w:p>
      <w:pPr/>
      <w:r>
        <w:rPr>
          <w:sz w:val="20"/>
        </w:rPr>
        <w:t xml:space="preserve">Venturini, A.M., et al. (2022). Spectroscopic characteristics of humic acids extracted from soils under different integrated agricultural production systems in tropical regions. </w:t>
      </w:r>
      <w:r>
        <w:rPr>
          <w:i/>
          <w:sz w:val="20"/>
        </w:rPr>
        <w:t>Geoderma Regional</w:t>
      </w:r>
      <w:r>
        <w:rPr>
          <w:sz w:val="20"/>
        </w:rPr>
        <w:t>, 28, e00465. https://doi.org/10.1016/j.geodrs.2021.e00465</w:t>
      </w:r>
    </w:p>
    <w:sectPr w:rsidR="002D0DE0" w:rsidRPr="00E5598A">
      <w:headerReference w:type="default"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90CB6" w14:textId="77777777" w:rsidR="0086708B" w:rsidRDefault="0086708B" w:rsidP="0041317C">
      <w:pPr>
        <w:spacing w:after="0" w:line="240" w:lineRule="auto"/>
      </w:pPr>
      <w:r>
        <w:separator/>
      </w:r>
    </w:p>
  </w:endnote>
  <w:endnote w:type="continuationSeparator" w:id="0">
    <w:p w14:paraId="7989FA68" w14:textId="77777777" w:rsidR="0086708B" w:rsidRDefault="0086708B" w:rsidP="00413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000FD" w14:textId="77777777" w:rsidR="00FA26DE" w:rsidRDefault="00FA26DE" w:rsidP="00D30CCE">
    <w:pPr>
      <w:pStyle w:val="Piedepgina"/>
      <w:jc w:val="both"/>
    </w:pPr>
  </w:p>
  <w:p w14:paraId="4CFB54A2" w14:textId="77777777" w:rsidR="00FA26DE" w:rsidRDefault="00FA26DE" w:rsidP="00D30CCE">
    <w:pPr>
      <w:pStyle w:val="Piedepgina"/>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8AC96" w14:textId="77777777" w:rsidR="0086708B" w:rsidRDefault="0086708B" w:rsidP="0041317C">
      <w:pPr>
        <w:spacing w:after="0" w:line="240" w:lineRule="auto"/>
      </w:pPr>
      <w:r>
        <w:separator/>
      </w:r>
    </w:p>
  </w:footnote>
  <w:footnote w:type="continuationSeparator" w:id="0">
    <w:p w14:paraId="6303386A" w14:textId="77777777" w:rsidR="0086708B" w:rsidRDefault="0086708B" w:rsidP="00413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43827" w14:textId="453B43C1" w:rsidR="00402EEA" w:rsidRDefault="00402EEA">
    <w:pPr>
      <w:pStyle w:val="Encabezado"/>
      <w:rPr>
        <w:noProof/>
      </w:rPr>
    </w:pPr>
    <w:r>
      <w:rPr>
        <w:noProof/>
      </w:rPr>
      <w:drawing>
        <wp:anchor distT="0" distB="0" distL="114300" distR="114300" simplePos="0" relativeHeight="251661312" behindDoc="0" locked="0" layoutInCell="1" allowOverlap="1" wp14:anchorId="7FFA32BC" wp14:editId="4CDE92AA">
          <wp:simplePos x="0" y="0"/>
          <wp:positionH relativeFrom="page">
            <wp:align>left</wp:align>
          </wp:positionH>
          <wp:positionV relativeFrom="paragraph">
            <wp:posOffset>-450215</wp:posOffset>
          </wp:positionV>
          <wp:extent cx="8479790" cy="1581150"/>
          <wp:effectExtent l="0" t="0" r="0" b="0"/>
          <wp:wrapNone/>
          <wp:docPr id="653850179" name="Imagen 6"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50179" name="Imagen 6" descr="Imagen que contiene Icon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t="9572" b="9400"/>
                  <a:stretch/>
                </pic:blipFill>
                <pic:spPr bwMode="auto">
                  <a:xfrm>
                    <a:off x="0" y="0"/>
                    <a:ext cx="8479790" cy="1581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B507018" w14:textId="1F1D11A1" w:rsidR="00402EEA" w:rsidRDefault="00402EEA">
    <w:pPr>
      <w:pStyle w:val="Encabezado"/>
      <w:rPr>
        <w:noProof/>
      </w:rPr>
    </w:pPr>
    <w:r w:rsidRPr="00FA26DE">
      <w:rPr>
        <w:noProof/>
      </w:rPr>
      <w:drawing>
        <wp:anchor distT="0" distB="0" distL="114300" distR="114300" simplePos="0" relativeHeight="251665408" behindDoc="0" locked="0" layoutInCell="1" allowOverlap="1" wp14:anchorId="5403509B" wp14:editId="7F953FBE">
          <wp:simplePos x="0" y="0"/>
          <wp:positionH relativeFrom="column">
            <wp:posOffset>-286385</wp:posOffset>
          </wp:positionH>
          <wp:positionV relativeFrom="paragraph">
            <wp:posOffset>138430</wp:posOffset>
          </wp:positionV>
          <wp:extent cx="2806700" cy="579120"/>
          <wp:effectExtent l="0" t="0" r="0" b="0"/>
          <wp:wrapSquare wrapText="bothSides"/>
          <wp:docPr id="2" name="Gráfico 1">
            <a:extLst xmlns:a="http://schemas.openxmlformats.org/drawingml/2006/main">
              <a:ext uri="{FF2B5EF4-FFF2-40B4-BE49-F238E27FC236}">
                <a16:creationId xmlns:a16="http://schemas.microsoft.com/office/drawing/2014/main" id="{A591B23B-BE02-1817-6F9F-A490BA8DA8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1">
                    <a:extLst>
                      <a:ext uri="{FF2B5EF4-FFF2-40B4-BE49-F238E27FC236}">
                        <a16:creationId xmlns:a16="http://schemas.microsoft.com/office/drawing/2014/main" id="{A591B23B-BE02-1817-6F9F-A490BA8DA82D}"/>
                      </a:ext>
                    </a:extLst>
                  </pic:cNvPr>
                  <pic:cNvPicPr>
                    <a:picLocks noChangeAspect="1"/>
                  </pic:cNvPicPr>
                </pic:nvPicPr>
                <pic:blipFill rotWithShape="1">
                  <a:blip r:embed="rId2">
                    <a:extLst>
                      <a:ext uri="{96DAC541-7B7A-43D3-8B79-37D633B846F1}">
                        <asvg:svgBlip xmlns:asvg="http://schemas.microsoft.com/office/drawing/2016/SVG/main" r:embed="rId3"/>
                      </a:ext>
                    </a:extLst>
                  </a:blip>
                  <a:srcRect b="27652"/>
                  <a:stretch/>
                </pic:blipFill>
                <pic:spPr>
                  <a:xfrm>
                    <a:off x="0" y="0"/>
                    <a:ext cx="2806700" cy="57912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4384" behindDoc="0" locked="0" layoutInCell="1" allowOverlap="1" wp14:anchorId="25E91C01" wp14:editId="667EFD72">
              <wp:simplePos x="0" y="0"/>
              <wp:positionH relativeFrom="column">
                <wp:posOffset>43815</wp:posOffset>
              </wp:positionH>
              <wp:positionV relativeFrom="paragraph">
                <wp:posOffset>52070</wp:posOffset>
              </wp:positionV>
              <wp:extent cx="2774950" cy="1066800"/>
              <wp:effectExtent l="0" t="0" r="6350" b="0"/>
              <wp:wrapNone/>
              <wp:docPr id="262655175" name="Rectángulo 1"/>
              <wp:cNvGraphicFramePr/>
              <a:graphic xmlns:a="http://schemas.openxmlformats.org/drawingml/2006/main">
                <a:graphicData uri="http://schemas.microsoft.com/office/word/2010/wordprocessingShape">
                  <wps:wsp>
                    <wps:cNvSpPr/>
                    <wps:spPr>
                      <a:xfrm>
                        <a:off x="0" y="0"/>
                        <a:ext cx="2774950" cy="10668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6D6476" id="Rectángulo 1" o:spid="_x0000_s1026" style="position:absolute;margin-left:3.45pt;margin-top:4.1pt;width:218.5pt;height:84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" fillcolor="white [3212]" stroked="f" strokeweight="1pt"/>
          </w:pict>
        </mc:Fallback>
      </mc:AlternateContent>
    </w:r>
  </w:p>
  <w:p w14:paraId="2ED82A95" w14:textId="40EFD18B" w:rsidR="00402EEA" w:rsidRDefault="00402EEA">
    <w:pPr>
      <w:pStyle w:val="Encabezado"/>
      <w:rPr>
        <w:noProof/>
      </w:rPr>
    </w:pPr>
  </w:p>
  <w:p w14:paraId="5FFB8176" w14:textId="0954D3CA" w:rsidR="00402EEA" w:rsidRDefault="00402EEA">
    <w:pPr>
      <w:pStyle w:val="Encabezado"/>
      <w:rPr>
        <w:noProof/>
      </w:rPr>
    </w:pPr>
  </w:p>
  <w:p w14:paraId="47B45BF6" w14:textId="1249308A" w:rsidR="00402EEA" w:rsidRDefault="00402EEA">
    <w:pPr>
      <w:pStyle w:val="Encabezado"/>
      <w:rPr>
        <w:noProof/>
      </w:rPr>
    </w:pPr>
  </w:p>
  <w:p w14:paraId="33E54A46" w14:textId="26CE79D5" w:rsidR="00402EEA" w:rsidRDefault="00402EEA">
    <w:pPr>
      <w:pStyle w:val="Encabezado"/>
      <w:rPr>
        <w:noProof/>
      </w:rPr>
    </w:pPr>
  </w:p>
  <w:p w14:paraId="270C5F11" w14:textId="00DB1A6B" w:rsidR="00402EEA" w:rsidRDefault="00402EEA">
    <w:pPr>
      <w:pStyle w:val="Encabezado"/>
      <w:rPr>
        <w:noProof/>
      </w:rPr>
    </w:pPr>
  </w:p>
  <w:p w14:paraId="1A0D8163" w14:textId="12EE0276" w:rsidR="004D4661" w:rsidRDefault="004D4661">
    <w:pPr>
      <w:pStyle w:val="Encabezado"/>
      <w:rPr>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371C6"/>
    <w:multiLevelType w:val="multilevel"/>
    <w:tmpl w:val="009E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15D7A"/>
    <w:multiLevelType w:val="hybridMultilevel"/>
    <w:tmpl w:val="CC9274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2D36E8D"/>
    <w:multiLevelType w:val="multilevel"/>
    <w:tmpl w:val="BB92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005DF"/>
    <w:multiLevelType w:val="hybridMultilevel"/>
    <w:tmpl w:val="C70839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57D05DA"/>
    <w:multiLevelType w:val="hybridMultilevel"/>
    <w:tmpl w:val="D6CAAF50"/>
    <w:lvl w:ilvl="0" w:tplc="0C0A0001">
      <w:start w:val="1"/>
      <w:numFmt w:val="bullet"/>
      <w:lvlText w:val=""/>
      <w:lvlJc w:val="left"/>
      <w:pPr>
        <w:ind w:left="1800" w:hanging="360"/>
      </w:pPr>
      <w:rPr>
        <w:rFonts w:ascii="Symbol" w:hAnsi="Symbol" w:hint="default"/>
      </w:rPr>
    </w:lvl>
    <w:lvl w:ilvl="1" w:tplc="0C0A0003">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5" w15:restartNumberingAfterBreak="0">
    <w:nsid w:val="15910741"/>
    <w:multiLevelType w:val="hybridMultilevel"/>
    <w:tmpl w:val="EBEA045C"/>
    <w:lvl w:ilvl="0" w:tplc="B9104536">
      <w:start w:val="1"/>
      <w:numFmt w:val="bullet"/>
      <w:lvlText w:val="•"/>
      <w:lvlJc w:val="left"/>
      <w:pPr>
        <w:ind w:left="720" w:hanging="360"/>
      </w:pPr>
    </w:lvl>
    <w:lvl w:ilvl="1" w:tplc="A4B43D3E">
      <w:start w:val="1"/>
      <w:numFmt w:val="bullet"/>
      <w:lvlText w:val="◦"/>
      <w:lvlJc w:val="left"/>
      <w:pPr>
        <w:ind w:left="1080" w:hanging="360"/>
      </w:pPr>
    </w:lvl>
    <w:lvl w:ilvl="2" w:tplc="E5AE084C">
      <w:numFmt w:val="decimal"/>
      <w:lvlText w:val=""/>
      <w:lvlJc w:val="left"/>
    </w:lvl>
    <w:lvl w:ilvl="3" w:tplc="C0726892">
      <w:numFmt w:val="decimal"/>
      <w:lvlText w:val=""/>
      <w:lvlJc w:val="left"/>
    </w:lvl>
    <w:lvl w:ilvl="4" w:tplc="0794283E">
      <w:numFmt w:val="decimal"/>
      <w:lvlText w:val=""/>
      <w:lvlJc w:val="left"/>
    </w:lvl>
    <w:lvl w:ilvl="5" w:tplc="5ABC6F02">
      <w:numFmt w:val="decimal"/>
      <w:lvlText w:val=""/>
      <w:lvlJc w:val="left"/>
    </w:lvl>
    <w:lvl w:ilvl="6" w:tplc="04EAD4CC">
      <w:numFmt w:val="decimal"/>
      <w:lvlText w:val=""/>
      <w:lvlJc w:val="left"/>
    </w:lvl>
    <w:lvl w:ilvl="7" w:tplc="3C4EE3CE">
      <w:numFmt w:val="decimal"/>
      <w:lvlText w:val=""/>
      <w:lvlJc w:val="left"/>
    </w:lvl>
    <w:lvl w:ilvl="8" w:tplc="130E8394">
      <w:numFmt w:val="decimal"/>
      <w:lvlText w:val=""/>
      <w:lvlJc w:val="left"/>
    </w:lvl>
  </w:abstractNum>
  <w:abstractNum w:abstractNumId="6" w15:restartNumberingAfterBreak="0">
    <w:nsid w:val="16D779CD"/>
    <w:multiLevelType w:val="multilevel"/>
    <w:tmpl w:val="136E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E96D31"/>
    <w:multiLevelType w:val="hybridMultilevel"/>
    <w:tmpl w:val="86ACFC6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84D7273"/>
    <w:multiLevelType w:val="hybridMultilevel"/>
    <w:tmpl w:val="D74029CA"/>
    <w:lvl w:ilvl="0" w:tplc="AE0C7FEC">
      <w:start w:val="1"/>
      <w:numFmt w:val="bullet"/>
      <w:lvlText w:val="•"/>
      <w:lvlJc w:val="left"/>
      <w:pPr>
        <w:ind w:left="720" w:hanging="360"/>
      </w:pPr>
    </w:lvl>
    <w:lvl w:ilvl="1" w:tplc="F606F7E0">
      <w:start w:val="1"/>
      <w:numFmt w:val="bullet"/>
      <w:lvlText w:val="◦"/>
      <w:lvlJc w:val="left"/>
      <w:pPr>
        <w:ind w:left="1080" w:hanging="360"/>
      </w:pPr>
    </w:lvl>
    <w:lvl w:ilvl="2" w:tplc="DD907A10">
      <w:numFmt w:val="decimal"/>
      <w:lvlText w:val=""/>
      <w:lvlJc w:val="left"/>
    </w:lvl>
    <w:lvl w:ilvl="3" w:tplc="34D8AB96">
      <w:numFmt w:val="decimal"/>
      <w:lvlText w:val=""/>
      <w:lvlJc w:val="left"/>
    </w:lvl>
    <w:lvl w:ilvl="4" w:tplc="281AC9B2">
      <w:numFmt w:val="decimal"/>
      <w:lvlText w:val=""/>
      <w:lvlJc w:val="left"/>
    </w:lvl>
    <w:lvl w:ilvl="5" w:tplc="6A76B4A6">
      <w:numFmt w:val="decimal"/>
      <w:lvlText w:val=""/>
      <w:lvlJc w:val="left"/>
    </w:lvl>
    <w:lvl w:ilvl="6" w:tplc="D5ACB2FE">
      <w:numFmt w:val="decimal"/>
      <w:lvlText w:val=""/>
      <w:lvlJc w:val="left"/>
    </w:lvl>
    <w:lvl w:ilvl="7" w:tplc="32AE932E">
      <w:numFmt w:val="decimal"/>
      <w:lvlText w:val=""/>
      <w:lvlJc w:val="left"/>
    </w:lvl>
    <w:lvl w:ilvl="8" w:tplc="EB303C1A">
      <w:numFmt w:val="decimal"/>
      <w:lvlText w:val=""/>
      <w:lvlJc w:val="left"/>
    </w:lvl>
  </w:abstractNum>
  <w:abstractNum w:abstractNumId="9" w15:restartNumberingAfterBreak="0">
    <w:nsid w:val="19742ED4"/>
    <w:multiLevelType w:val="multilevel"/>
    <w:tmpl w:val="5B6E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17226D"/>
    <w:multiLevelType w:val="multilevel"/>
    <w:tmpl w:val="E526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D905CB"/>
    <w:multiLevelType w:val="hybridMultilevel"/>
    <w:tmpl w:val="FCEEF8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0B501F0"/>
    <w:multiLevelType w:val="hybridMultilevel"/>
    <w:tmpl w:val="1EC603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2D32284"/>
    <w:multiLevelType w:val="multilevel"/>
    <w:tmpl w:val="C06E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A27E47"/>
    <w:multiLevelType w:val="multilevel"/>
    <w:tmpl w:val="176AB33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91A0075"/>
    <w:multiLevelType w:val="hybridMultilevel"/>
    <w:tmpl w:val="481E04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30159D2"/>
    <w:multiLevelType w:val="hybridMultilevel"/>
    <w:tmpl w:val="2F9615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7E6295D"/>
    <w:multiLevelType w:val="hybridMultilevel"/>
    <w:tmpl w:val="32BA6B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B70648F"/>
    <w:multiLevelType w:val="hybridMultilevel"/>
    <w:tmpl w:val="0E1EEF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8F06556"/>
    <w:multiLevelType w:val="multilevel"/>
    <w:tmpl w:val="E0C2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DE2A38"/>
    <w:multiLevelType w:val="multilevel"/>
    <w:tmpl w:val="D2F4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667E73"/>
    <w:multiLevelType w:val="hybridMultilevel"/>
    <w:tmpl w:val="8EF003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56DC0165"/>
    <w:multiLevelType w:val="hybridMultilevel"/>
    <w:tmpl w:val="70CEFB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583D6485"/>
    <w:multiLevelType w:val="multilevel"/>
    <w:tmpl w:val="203E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821EAC"/>
    <w:multiLevelType w:val="hybridMultilevel"/>
    <w:tmpl w:val="14F44788"/>
    <w:lvl w:ilvl="0" w:tplc="1DCA13AC">
      <w:start w:val="1"/>
      <w:numFmt w:val="decimal"/>
      <w:lvlText w:val="%1."/>
      <w:lvlJc w:val="left"/>
      <w:pPr>
        <w:ind w:left="345" w:hanging="360"/>
      </w:pPr>
      <w:rPr>
        <w:b/>
      </w:rPr>
    </w:lvl>
    <w:lvl w:ilvl="1" w:tplc="240A0019">
      <w:start w:val="1"/>
      <w:numFmt w:val="lowerLetter"/>
      <w:lvlText w:val="%2."/>
      <w:lvlJc w:val="left"/>
      <w:pPr>
        <w:ind w:left="1065" w:hanging="360"/>
      </w:pPr>
    </w:lvl>
    <w:lvl w:ilvl="2" w:tplc="240A001B">
      <w:start w:val="1"/>
      <w:numFmt w:val="lowerRoman"/>
      <w:lvlText w:val="%3."/>
      <w:lvlJc w:val="right"/>
      <w:pPr>
        <w:ind w:left="1785" w:hanging="180"/>
      </w:pPr>
    </w:lvl>
    <w:lvl w:ilvl="3" w:tplc="240A000F">
      <w:start w:val="1"/>
      <w:numFmt w:val="decimal"/>
      <w:lvlText w:val="%4."/>
      <w:lvlJc w:val="left"/>
      <w:pPr>
        <w:ind w:left="2505" w:hanging="360"/>
      </w:pPr>
    </w:lvl>
    <w:lvl w:ilvl="4" w:tplc="240A0019">
      <w:start w:val="1"/>
      <w:numFmt w:val="lowerLetter"/>
      <w:lvlText w:val="%5."/>
      <w:lvlJc w:val="left"/>
      <w:pPr>
        <w:ind w:left="3225" w:hanging="360"/>
      </w:pPr>
    </w:lvl>
    <w:lvl w:ilvl="5" w:tplc="240A001B">
      <w:start w:val="1"/>
      <w:numFmt w:val="lowerRoman"/>
      <w:lvlText w:val="%6."/>
      <w:lvlJc w:val="right"/>
      <w:pPr>
        <w:ind w:left="3945" w:hanging="180"/>
      </w:pPr>
    </w:lvl>
    <w:lvl w:ilvl="6" w:tplc="240A000F">
      <w:start w:val="1"/>
      <w:numFmt w:val="decimal"/>
      <w:lvlText w:val="%7."/>
      <w:lvlJc w:val="left"/>
      <w:pPr>
        <w:ind w:left="4665" w:hanging="360"/>
      </w:pPr>
    </w:lvl>
    <w:lvl w:ilvl="7" w:tplc="240A0019">
      <w:start w:val="1"/>
      <w:numFmt w:val="lowerLetter"/>
      <w:lvlText w:val="%8."/>
      <w:lvlJc w:val="left"/>
      <w:pPr>
        <w:ind w:left="5385" w:hanging="360"/>
      </w:pPr>
    </w:lvl>
    <w:lvl w:ilvl="8" w:tplc="240A001B">
      <w:start w:val="1"/>
      <w:numFmt w:val="lowerRoman"/>
      <w:lvlText w:val="%9."/>
      <w:lvlJc w:val="right"/>
      <w:pPr>
        <w:ind w:left="6105" w:hanging="180"/>
      </w:pPr>
    </w:lvl>
  </w:abstractNum>
  <w:abstractNum w:abstractNumId="25" w15:restartNumberingAfterBreak="0">
    <w:nsid w:val="5E023988"/>
    <w:multiLevelType w:val="hybridMultilevel"/>
    <w:tmpl w:val="A09E7E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5E9E0E29"/>
    <w:multiLevelType w:val="hybridMultilevel"/>
    <w:tmpl w:val="BCFE03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5FA1692C"/>
    <w:multiLevelType w:val="hybridMultilevel"/>
    <w:tmpl w:val="F25C78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5B221DA"/>
    <w:multiLevelType w:val="hybridMultilevel"/>
    <w:tmpl w:val="DE305E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66E83146"/>
    <w:multiLevelType w:val="hybridMultilevel"/>
    <w:tmpl w:val="4AEC96B2"/>
    <w:lvl w:ilvl="0" w:tplc="565EA76C">
      <w:start w:val="2"/>
      <w:numFmt w:val="bullet"/>
      <w:lvlText w:val=""/>
      <w:lvlJc w:val="left"/>
      <w:pPr>
        <w:ind w:left="720" w:hanging="360"/>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7B44415"/>
    <w:multiLevelType w:val="multilevel"/>
    <w:tmpl w:val="403A54BE"/>
    <w:lvl w:ilvl="0">
      <w:start w:val="1"/>
      <w:numFmt w:val="decimal"/>
      <w:lvlText w:val="%1."/>
      <w:lvlJc w:val="left"/>
      <w:pPr>
        <w:ind w:left="345" w:hanging="360"/>
      </w:pPr>
      <w:rPr>
        <w:b/>
      </w:rPr>
    </w:lvl>
    <w:lvl w:ilvl="1">
      <w:start w:val="1"/>
      <w:numFmt w:val="decimal"/>
      <w:lvlText w:val="%1.%2"/>
      <w:lvlJc w:val="left"/>
      <w:pPr>
        <w:ind w:left="1116" w:hanging="396"/>
      </w:pPr>
    </w:lvl>
    <w:lvl w:ilvl="2">
      <w:start w:val="1"/>
      <w:numFmt w:val="decimal"/>
      <w:lvlText w:val="%1.%2.%3"/>
      <w:lvlJc w:val="left"/>
      <w:pPr>
        <w:ind w:left="2175" w:hanging="720"/>
      </w:pPr>
    </w:lvl>
    <w:lvl w:ilvl="3">
      <w:start w:val="1"/>
      <w:numFmt w:val="decimal"/>
      <w:lvlText w:val="%1.%2.%3.%4"/>
      <w:lvlJc w:val="left"/>
      <w:pPr>
        <w:ind w:left="3270" w:hanging="1080"/>
      </w:pPr>
    </w:lvl>
    <w:lvl w:ilvl="4">
      <w:start w:val="1"/>
      <w:numFmt w:val="decimal"/>
      <w:lvlText w:val="%1.%2.%3.%4.%5"/>
      <w:lvlJc w:val="left"/>
      <w:pPr>
        <w:ind w:left="4005" w:hanging="1080"/>
      </w:pPr>
    </w:lvl>
    <w:lvl w:ilvl="5">
      <w:start w:val="1"/>
      <w:numFmt w:val="decimal"/>
      <w:lvlText w:val="%1.%2.%3.%4.%5.%6"/>
      <w:lvlJc w:val="left"/>
      <w:pPr>
        <w:ind w:left="5100" w:hanging="1440"/>
      </w:pPr>
    </w:lvl>
    <w:lvl w:ilvl="6">
      <w:start w:val="1"/>
      <w:numFmt w:val="decimal"/>
      <w:lvlText w:val="%1.%2.%3.%4.%5.%6.%7"/>
      <w:lvlJc w:val="left"/>
      <w:pPr>
        <w:ind w:left="5835" w:hanging="1440"/>
      </w:pPr>
    </w:lvl>
    <w:lvl w:ilvl="7">
      <w:start w:val="1"/>
      <w:numFmt w:val="decimal"/>
      <w:lvlText w:val="%1.%2.%3.%4.%5.%6.%7.%8"/>
      <w:lvlJc w:val="left"/>
      <w:pPr>
        <w:ind w:left="6930" w:hanging="1800"/>
      </w:pPr>
    </w:lvl>
    <w:lvl w:ilvl="8">
      <w:start w:val="1"/>
      <w:numFmt w:val="decimal"/>
      <w:lvlText w:val="%1.%2.%3.%4.%5.%6.%7.%8.%9"/>
      <w:lvlJc w:val="left"/>
      <w:pPr>
        <w:ind w:left="7665" w:hanging="1800"/>
      </w:pPr>
    </w:lvl>
  </w:abstractNum>
  <w:abstractNum w:abstractNumId="31" w15:restartNumberingAfterBreak="0">
    <w:nsid w:val="6B5F72F7"/>
    <w:multiLevelType w:val="hybridMultilevel"/>
    <w:tmpl w:val="45D424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710F27F3"/>
    <w:multiLevelType w:val="hybridMultilevel"/>
    <w:tmpl w:val="09FECB9C"/>
    <w:lvl w:ilvl="0" w:tplc="15ACDB84">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72DB12C7"/>
    <w:multiLevelType w:val="hybridMultilevel"/>
    <w:tmpl w:val="7166F6FC"/>
    <w:lvl w:ilvl="0" w:tplc="FC666F76">
      <w:start w:val="5"/>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4FA7014"/>
    <w:multiLevelType w:val="hybridMultilevel"/>
    <w:tmpl w:val="12FEF3F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9172F57"/>
    <w:multiLevelType w:val="hybridMultilevel"/>
    <w:tmpl w:val="90601CDC"/>
    <w:lvl w:ilvl="0" w:tplc="0C0A0001">
      <w:start w:val="1"/>
      <w:numFmt w:val="bullet"/>
      <w:lvlText w:val=""/>
      <w:lvlJc w:val="left"/>
      <w:pPr>
        <w:ind w:left="1800" w:hanging="360"/>
      </w:pPr>
      <w:rPr>
        <w:rFonts w:ascii="Symbol" w:hAnsi="Symbol" w:hint="default"/>
      </w:rPr>
    </w:lvl>
    <w:lvl w:ilvl="1" w:tplc="0C0A0003">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36" w15:restartNumberingAfterBreak="0">
    <w:nsid w:val="7940572B"/>
    <w:multiLevelType w:val="hybridMultilevel"/>
    <w:tmpl w:val="9646A8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7C064BEB"/>
    <w:multiLevelType w:val="multilevel"/>
    <w:tmpl w:val="758E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8869EE"/>
    <w:multiLevelType w:val="hybridMultilevel"/>
    <w:tmpl w:val="60EEE9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607614694">
    <w:abstractNumId w:val="33"/>
  </w:num>
  <w:num w:numId="2" w16cid:durableId="775253399">
    <w:abstractNumId w:val="32"/>
  </w:num>
  <w:num w:numId="3" w16cid:durableId="629017148">
    <w:abstractNumId w:val="7"/>
  </w:num>
  <w:num w:numId="4" w16cid:durableId="177499787">
    <w:abstractNumId w:val="29"/>
  </w:num>
  <w:num w:numId="5" w16cid:durableId="117121373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3790902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05424215">
    <w:abstractNumId w:val="14"/>
  </w:num>
  <w:num w:numId="8" w16cid:durableId="429814543">
    <w:abstractNumId w:val="27"/>
  </w:num>
  <w:num w:numId="9" w16cid:durableId="1413549429">
    <w:abstractNumId w:val="35"/>
  </w:num>
  <w:num w:numId="10" w16cid:durableId="806892437">
    <w:abstractNumId w:val="4"/>
  </w:num>
  <w:num w:numId="11" w16cid:durableId="1911648920">
    <w:abstractNumId w:val="34"/>
  </w:num>
  <w:num w:numId="12" w16cid:durableId="227764586">
    <w:abstractNumId w:val="28"/>
  </w:num>
  <w:num w:numId="13" w16cid:durableId="981958313">
    <w:abstractNumId w:val="25"/>
  </w:num>
  <w:num w:numId="14" w16cid:durableId="301233863">
    <w:abstractNumId w:val="1"/>
  </w:num>
  <w:num w:numId="15" w16cid:durableId="1454010568">
    <w:abstractNumId w:val="38"/>
  </w:num>
  <w:num w:numId="16" w16cid:durableId="426999590">
    <w:abstractNumId w:val="17"/>
  </w:num>
  <w:num w:numId="17" w16cid:durableId="966275560">
    <w:abstractNumId w:val="22"/>
  </w:num>
  <w:num w:numId="18" w16cid:durableId="629675810">
    <w:abstractNumId w:val="12"/>
  </w:num>
  <w:num w:numId="19" w16cid:durableId="835611515">
    <w:abstractNumId w:val="3"/>
  </w:num>
  <w:num w:numId="20" w16cid:durableId="1939677144">
    <w:abstractNumId w:val="26"/>
  </w:num>
  <w:num w:numId="21" w16cid:durableId="1870145726">
    <w:abstractNumId w:val="16"/>
  </w:num>
  <w:num w:numId="22" w16cid:durableId="2071613154">
    <w:abstractNumId w:val="31"/>
  </w:num>
  <w:num w:numId="23" w16cid:durableId="279990728">
    <w:abstractNumId w:val="18"/>
  </w:num>
  <w:num w:numId="24" w16cid:durableId="1300300146">
    <w:abstractNumId w:val="11"/>
  </w:num>
  <w:num w:numId="25" w16cid:durableId="1416517992">
    <w:abstractNumId w:val="15"/>
  </w:num>
  <w:num w:numId="26" w16cid:durableId="1742023930">
    <w:abstractNumId w:val="9"/>
  </w:num>
  <w:num w:numId="27" w16cid:durableId="1460369868">
    <w:abstractNumId w:val="21"/>
  </w:num>
  <w:num w:numId="28" w16cid:durableId="1544319981">
    <w:abstractNumId w:val="37"/>
  </w:num>
  <w:num w:numId="29" w16cid:durableId="92363421">
    <w:abstractNumId w:val="20"/>
  </w:num>
  <w:num w:numId="30" w16cid:durableId="346561566">
    <w:abstractNumId w:val="19"/>
  </w:num>
  <w:num w:numId="31" w16cid:durableId="450518300">
    <w:abstractNumId w:val="0"/>
  </w:num>
  <w:num w:numId="32" w16cid:durableId="1747413340">
    <w:abstractNumId w:val="2"/>
  </w:num>
  <w:num w:numId="33" w16cid:durableId="337386380">
    <w:abstractNumId w:val="23"/>
  </w:num>
  <w:num w:numId="34" w16cid:durableId="1289236095">
    <w:abstractNumId w:val="13"/>
  </w:num>
  <w:num w:numId="35" w16cid:durableId="967975396">
    <w:abstractNumId w:val="6"/>
  </w:num>
  <w:num w:numId="36" w16cid:durableId="988554981">
    <w:abstractNumId w:val="10"/>
  </w:num>
  <w:num w:numId="37" w16cid:durableId="2036230087">
    <w:abstractNumId w:val="36"/>
  </w:num>
  <w:num w:numId="38" w16cid:durableId="142624112">
    <w:abstractNumId w:val="8"/>
    <w:lvlOverride w:ilvl="0">
      <w:startOverride w:val="1"/>
    </w:lvlOverride>
  </w:num>
  <w:num w:numId="39" w16cid:durableId="1925339981">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17C"/>
    <w:rsid w:val="00002164"/>
    <w:rsid w:val="00005565"/>
    <w:rsid w:val="00027AD8"/>
    <w:rsid w:val="00030063"/>
    <w:rsid w:val="000317D2"/>
    <w:rsid w:val="0003468C"/>
    <w:rsid w:val="00036704"/>
    <w:rsid w:val="00043986"/>
    <w:rsid w:val="000469D8"/>
    <w:rsid w:val="000634E3"/>
    <w:rsid w:val="00065C1C"/>
    <w:rsid w:val="00066754"/>
    <w:rsid w:val="0007105E"/>
    <w:rsid w:val="000907F9"/>
    <w:rsid w:val="000A1B5C"/>
    <w:rsid w:val="000B0381"/>
    <w:rsid w:val="000B24CE"/>
    <w:rsid w:val="000D072B"/>
    <w:rsid w:val="000D5CB6"/>
    <w:rsid w:val="000E2284"/>
    <w:rsid w:val="000E2EC9"/>
    <w:rsid w:val="000E34DF"/>
    <w:rsid w:val="000E7DF3"/>
    <w:rsid w:val="000F1442"/>
    <w:rsid w:val="000F24E2"/>
    <w:rsid w:val="0010049B"/>
    <w:rsid w:val="001068CB"/>
    <w:rsid w:val="0011189B"/>
    <w:rsid w:val="001208FE"/>
    <w:rsid w:val="00126AD6"/>
    <w:rsid w:val="0013394A"/>
    <w:rsid w:val="00141845"/>
    <w:rsid w:val="00157548"/>
    <w:rsid w:val="001641AE"/>
    <w:rsid w:val="0016684F"/>
    <w:rsid w:val="0017089C"/>
    <w:rsid w:val="001762E5"/>
    <w:rsid w:val="00176978"/>
    <w:rsid w:val="00176A12"/>
    <w:rsid w:val="001939E6"/>
    <w:rsid w:val="001B138D"/>
    <w:rsid w:val="001B315D"/>
    <w:rsid w:val="001B4A72"/>
    <w:rsid w:val="001D2BC7"/>
    <w:rsid w:val="001E5968"/>
    <w:rsid w:val="001F51F5"/>
    <w:rsid w:val="00201C3D"/>
    <w:rsid w:val="00234230"/>
    <w:rsid w:val="00246D4E"/>
    <w:rsid w:val="00255D87"/>
    <w:rsid w:val="002607D3"/>
    <w:rsid w:val="0027726D"/>
    <w:rsid w:val="00277AC4"/>
    <w:rsid w:val="00280341"/>
    <w:rsid w:val="002833DB"/>
    <w:rsid w:val="00294F83"/>
    <w:rsid w:val="00295B4F"/>
    <w:rsid w:val="00296262"/>
    <w:rsid w:val="002A2A27"/>
    <w:rsid w:val="002A6E82"/>
    <w:rsid w:val="002B5592"/>
    <w:rsid w:val="002C6A77"/>
    <w:rsid w:val="002C7C79"/>
    <w:rsid w:val="002D0D4F"/>
    <w:rsid w:val="002D0DE0"/>
    <w:rsid w:val="002D12B8"/>
    <w:rsid w:val="002D5F74"/>
    <w:rsid w:val="002E553E"/>
    <w:rsid w:val="002F27E1"/>
    <w:rsid w:val="003027D1"/>
    <w:rsid w:val="00307582"/>
    <w:rsid w:val="00320BB5"/>
    <w:rsid w:val="0032199D"/>
    <w:rsid w:val="00322483"/>
    <w:rsid w:val="00344812"/>
    <w:rsid w:val="00362E6C"/>
    <w:rsid w:val="00365630"/>
    <w:rsid w:val="00374623"/>
    <w:rsid w:val="0038206C"/>
    <w:rsid w:val="00385455"/>
    <w:rsid w:val="003A017D"/>
    <w:rsid w:val="003A7232"/>
    <w:rsid w:val="003A7CAC"/>
    <w:rsid w:val="003B05B8"/>
    <w:rsid w:val="003C30E3"/>
    <w:rsid w:val="003C3D76"/>
    <w:rsid w:val="003D0536"/>
    <w:rsid w:val="003D5D84"/>
    <w:rsid w:val="003D69B7"/>
    <w:rsid w:val="003D6D26"/>
    <w:rsid w:val="003E3FDF"/>
    <w:rsid w:val="003E625B"/>
    <w:rsid w:val="003F1A71"/>
    <w:rsid w:val="003F3708"/>
    <w:rsid w:val="003F6824"/>
    <w:rsid w:val="00400967"/>
    <w:rsid w:val="00402EEA"/>
    <w:rsid w:val="0041193B"/>
    <w:rsid w:val="0041317C"/>
    <w:rsid w:val="0042004B"/>
    <w:rsid w:val="0042030E"/>
    <w:rsid w:val="00422446"/>
    <w:rsid w:val="0042747B"/>
    <w:rsid w:val="00433575"/>
    <w:rsid w:val="004428BC"/>
    <w:rsid w:val="00442A26"/>
    <w:rsid w:val="00443915"/>
    <w:rsid w:val="00445199"/>
    <w:rsid w:val="00452C69"/>
    <w:rsid w:val="004543C0"/>
    <w:rsid w:val="0045667D"/>
    <w:rsid w:val="00466D6B"/>
    <w:rsid w:val="00471093"/>
    <w:rsid w:val="00474A0C"/>
    <w:rsid w:val="00480394"/>
    <w:rsid w:val="00485D8B"/>
    <w:rsid w:val="004A6DB0"/>
    <w:rsid w:val="004B22DC"/>
    <w:rsid w:val="004C3B4B"/>
    <w:rsid w:val="004C7E1C"/>
    <w:rsid w:val="004D4661"/>
    <w:rsid w:val="004F1C54"/>
    <w:rsid w:val="005009FB"/>
    <w:rsid w:val="00511897"/>
    <w:rsid w:val="00521C6F"/>
    <w:rsid w:val="0054720D"/>
    <w:rsid w:val="0054747B"/>
    <w:rsid w:val="00553434"/>
    <w:rsid w:val="00556A65"/>
    <w:rsid w:val="00560A2B"/>
    <w:rsid w:val="00561614"/>
    <w:rsid w:val="005877DD"/>
    <w:rsid w:val="00593588"/>
    <w:rsid w:val="00597DFD"/>
    <w:rsid w:val="005A5291"/>
    <w:rsid w:val="005A623E"/>
    <w:rsid w:val="005C240E"/>
    <w:rsid w:val="005C4060"/>
    <w:rsid w:val="005C6E58"/>
    <w:rsid w:val="005D1F47"/>
    <w:rsid w:val="005D6A59"/>
    <w:rsid w:val="005E0E44"/>
    <w:rsid w:val="005E4477"/>
    <w:rsid w:val="005E5AB1"/>
    <w:rsid w:val="005E5C68"/>
    <w:rsid w:val="005F0FBC"/>
    <w:rsid w:val="005F3A5D"/>
    <w:rsid w:val="00602411"/>
    <w:rsid w:val="006046AC"/>
    <w:rsid w:val="00611023"/>
    <w:rsid w:val="0063008F"/>
    <w:rsid w:val="0064231E"/>
    <w:rsid w:val="00646098"/>
    <w:rsid w:val="00647D82"/>
    <w:rsid w:val="006508D7"/>
    <w:rsid w:val="00660013"/>
    <w:rsid w:val="006647B7"/>
    <w:rsid w:val="006804B8"/>
    <w:rsid w:val="00680DFA"/>
    <w:rsid w:val="006911E4"/>
    <w:rsid w:val="00692B03"/>
    <w:rsid w:val="00697F25"/>
    <w:rsid w:val="006A1C23"/>
    <w:rsid w:val="006B0C33"/>
    <w:rsid w:val="006B312C"/>
    <w:rsid w:val="006B69E6"/>
    <w:rsid w:val="006C4A3D"/>
    <w:rsid w:val="006E1629"/>
    <w:rsid w:val="006F0980"/>
    <w:rsid w:val="006F1BD6"/>
    <w:rsid w:val="006F2A1F"/>
    <w:rsid w:val="006F6374"/>
    <w:rsid w:val="00701939"/>
    <w:rsid w:val="00707A2D"/>
    <w:rsid w:val="00707D39"/>
    <w:rsid w:val="00711CC7"/>
    <w:rsid w:val="00716689"/>
    <w:rsid w:val="00723A38"/>
    <w:rsid w:val="00726786"/>
    <w:rsid w:val="00727D46"/>
    <w:rsid w:val="0073135A"/>
    <w:rsid w:val="00733DB3"/>
    <w:rsid w:val="00737AAC"/>
    <w:rsid w:val="00742AFF"/>
    <w:rsid w:val="00744527"/>
    <w:rsid w:val="007537C0"/>
    <w:rsid w:val="007604A1"/>
    <w:rsid w:val="00764B9D"/>
    <w:rsid w:val="0077365B"/>
    <w:rsid w:val="00780D5E"/>
    <w:rsid w:val="00782CFA"/>
    <w:rsid w:val="00782E10"/>
    <w:rsid w:val="00790329"/>
    <w:rsid w:val="00792707"/>
    <w:rsid w:val="007B470A"/>
    <w:rsid w:val="007B7798"/>
    <w:rsid w:val="007C6F08"/>
    <w:rsid w:val="007E0C96"/>
    <w:rsid w:val="007E7175"/>
    <w:rsid w:val="00805803"/>
    <w:rsid w:val="00813084"/>
    <w:rsid w:val="00815052"/>
    <w:rsid w:val="00815892"/>
    <w:rsid w:val="00832702"/>
    <w:rsid w:val="00845636"/>
    <w:rsid w:val="00846558"/>
    <w:rsid w:val="00863F03"/>
    <w:rsid w:val="0086708B"/>
    <w:rsid w:val="0087260A"/>
    <w:rsid w:val="00882959"/>
    <w:rsid w:val="00883797"/>
    <w:rsid w:val="00885EB8"/>
    <w:rsid w:val="008C7180"/>
    <w:rsid w:val="008D3E6A"/>
    <w:rsid w:val="008E4405"/>
    <w:rsid w:val="008E711B"/>
    <w:rsid w:val="008F3F5E"/>
    <w:rsid w:val="008F4761"/>
    <w:rsid w:val="008F6236"/>
    <w:rsid w:val="009034F7"/>
    <w:rsid w:val="00906A3D"/>
    <w:rsid w:val="00911950"/>
    <w:rsid w:val="00911B9E"/>
    <w:rsid w:val="00912705"/>
    <w:rsid w:val="0091312D"/>
    <w:rsid w:val="009132C1"/>
    <w:rsid w:val="00920810"/>
    <w:rsid w:val="00926670"/>
    <w:rsid w:val="00927C79"/>
    <w:rsid w:val="00930DC4"/>
    <w:rsid w:val="00932ED9"/>
    <w:rsid w:val="0094183F"/>
    <w:rsid w:val="00951E1F"/>
    <w:rsid w:val="0097714E"/>
    <w:rsid w:val="009830B6"/>
    <w:rsid w:val="009836CA"/>
    <w:rsid w:val="00983C5A"/>
    <w:rsid w:val="009901CA"/>
    <w:rsid w:val="009916E0"/>
    <w:rsid w:val="009A4557"/>
    <w:rsid w:val="009B061C"/>
    <w:rsid w:val="009B0789"/>
    <w:rsid w:val="009B7989"/>
    <w:rsid w:val="009C7F26"/>
    <w:rsid w:val="009E65A8"/>
    <w:rsid w:val="009F2C2D"/>
    <w:rsid w:val="00A23310"/>
    <w:rsid w:val="00A27003"/>
    <w:rsid w:val="00A37DD6"/>
    <w:rsid w:val="00A438BD"/>
    <w:rsid w:val="00A46F3A"/>
    <w:rsid w:val="00A51736"/>
    <w:rsid w:val="00A5465E"/>
    <w:rsid w:val="00A60A28"/>
    <w:rsid w:val="00A633EA"/>
    <w:rsid w:val="00A64BE2"/>
    <w:rsid w:val="00A73289"/>
    <w:rsid w:val="00A8377C"/>
    <w:rsid w:val="00A9303C"/>
    <w:rsid w:val="00AB4EBC"/>
    <w:rsid w:val="00AD05A1"/>
    <w:rsid w:val="00AD4B8A"/>
    <w:rsid w:val="00AD524B"/>
    <w:rsid w:val="00AE5358"/>
    <w:rsid w:val="00AE6570"/>
    <w:rsid w:val="00AE6DA1"/>
    <w:rsid w:val="00AF71A6"/>
    <w:rsid w:val="00AF73FD"/>
    <w:rsid w:val="00AF7C98"/>
    <w:rsid w:val="00B01745"/>
    <w:rsid w:val="00B11688"/>
    <w:rsid w:val="00B16648"/>
    <w:rsid w:val="00B215E3"/>
    <w:rsid w:val="00B24739"/>
    <w:rsid w:val="00B34DD3"/>
    <w:rsid w:val="00B42DF8"/>
    <w:rsid w:val="00B43854"/>
    <w:rsid w:val="00B55640"/>
    <w:rsid w:val="00B616B5"/>
    <w:rsid w:val="00B65CAF"/>
    <w:rsid w:val="00B72ABC"/>
    <w:rsid w:val="00B734E6"/>
    <w:rsid w:val="00B74397"/>
    <w:rsid w:val="00B83FF5"/>
    <w:rsid w:val="00B87D7D"/>
    <w:rsid w:val="00B90411"/>
    <w:rsid w:val="00B919A2"/>
    <w:rsid w:val="00B91BF7"/>
    <w:rsid w:val="00B93DC4"/>
    <w:rsid w:val="00B9548A"/>
    <w:rsid w:val="00BA2BF1"/>
    <w:rsid w:val="00BC50BD"/>
    <w:rsid w:val="00BD0ABB"/>
    <w:rsid w:val="00BD0F33"/>
    <w:rsid w:val="00BD31E0"/>
    <w:rsid w:val="00BD3BFC"/>
    <w:rsid w:val="00BE453A"/>
    <w:rsid w:val="00BE5AEC"/>
    <w:rsid w:val="00BE7067"/>
    <w:rsid w:val="00BF7654"/>
    <w:rsid w:val="00C00628"/>
    <w:rsid w:val="00C01A37"/>
    <w:rsid w:val="00C050E0"/>
    <w:rsid w:val="00C059C6"/>
    <w:rsid w:val="00C0648C"/>
    <w:rsid w:val="00C20070"/>
    <w:rsid w:val="00C22B62"/>
    <w:rsid w:val="00C40E2B"/>
    <w:rsid w:val="00C41B8D"/>
    <w:rsid w:val="00C421E8"/>
    <w:rsid w:val="00C4227A"/>
    <w:rsid w:val="00C44E98"/>
    <w:rsid w:val="00C5544F"/>
    <w:rsid w:val="00C6578E"/>
    <w:rsid w:val="00C72048"/>
    <w:rsid w:val="00C72C6A"/>
    <w:rsid w:val="00C752D7"/>
    <w:rsid w:val="00C80CFB"/>
    <w:rsid w:val="00C8542E"/>
    <w:rsid w:val="00C90491"/>
    <w:rsid w:val="00CA53D7"/>
    <w:rsid w:val="00CA5647"/>
    <w:rsid w:val="00CB0E3E"/>
    <w:rsid w:val="00CB6629"/>
    <w:rsid w:val="00CC0D4C"/>
    <w:rsid w:val="00CC76AC"/>
    <w:rsid w:val="00CC76D7"/>
    <w:rsid w:val="00CD2B1D"/>
    <w:rsid w:val="00CD2C51"/>
    <w:rsid w:val="00CD5E66"/>
    <w:rsid w:val="00CD60B0"/>
    <w:rsid w:val="00CE7278"/>
    <w:rsid w:val="00CE7DDB"/>
    <w:rsid w:val="00CF4016"/>
    <w:rsid w:val="00D00CA0"/>
    <w:rsid w:val="00D01A27"/>
    <w:rsid w:val="00D128BE"/>
    <w:rsid w:val="00D163E8"/>
    <w:rsid w:val="00D166D6"/>
    <w:rsid w:val="00D264E5"/>
    <w:rsid w:val="00D30CCE"/>
    <w:rsid w:val="00D375EB"/>
    <w:rsid w:val="00D45F2C"/>
    <w:rsid w:val="00D660B2"/>
    <w:rsid w:val="00D6656C"/>
    <w:rsid w:val="00D82D99"/>
    <w:rsid w:val="00D914A7"/>
    <w:rsid w:val="00D939D0"/>
    <w:rsid w:val="00D958BA"/>
    <w:rsid w:val="00DA0236"/>
    <w:rsid w:val="00DA1C47"/>
    <w:rsid w:val="00DA4647"/>
    <w:rsid w:val="00DA640B"/>
    <w:rsid w:val="00DB2951"/>
    <w:rsid w:val="00DC1903"/>
    <w:rsid w:val="00DE4BB8"/>
    <w:rsid w:val="00DE7752"/>
    <w:rsid w:val="00DF0082"/>
    <w:rsid w:val="00E02614"/>
    <w:rsid w:val="00E03F42"/>
    <w:rsid w:val="00E05DA3"/>
    <w:rsid w:val="00E11B34"/>
    <w:rsid w:val="00E159F4"/>
    <w:rsid w:val="00E22E3E"/>
    <w:rsid w:val="00E35A1B"/>
    <w:rsid w:val="00E35CB9"/>
    <w:rsid w:val="00E4266B"/>
    <w:rsid w:val="00E5436A"/>
    <w:rsid w:val="00E55647"/>
    <w:rsid w:val="00E5598A"/>
    <w:rsid w:val="00E650A6"/>
    <w:rsid w:val="00E745D8"/>
    <w:rsid w:val="00E77F44"/>
    <w:rsid w:val="00E837BF"/>
    <w:rsid w:val="00E92326"/>
    <w:rsid w:val="00EA1F79"/>
    <w:rsid w:val="00EA2502"/>
    <w:rsid w:val="00EA5725"/>
    <w:rsid w:val="00EA6936"/>
    <w:rsid w:val="00EC0C44"/>
    <w:rsid w:val="00EC2DFC"/>
    <w:rsid w:val="00EC4A6A"/>
    <w:rsid w:val="00EC4E3D"/>
    <w:rsid w:val="00EC68D9"/>
    <w:rsid w:val="00ED7A1B"/>
    <w:rsid w:val="00F02815"/>
    <w:rsid w:val="00F034BF"/>
    <w:rsid w:val="00F07399"/>
    <w:rsid w:val="00F077D2"/>
    <w:rsid w:val="00F10864"/>
    <w:rsid w:val="00F30694"/>
    <w:rsid w:val="00F40BDB"/>
    <w:rsid w:val="00F443F8"/>
    <w:rsid w:val="00F56974"/>
    <w:rsid w:val="00F5738C"/>
    <w:rsid w:val="00F6127A"/>
    <w:rsid w:val="00F926D1"/>
    <w:rsid w:val="00F96048"/>
    <w:rsid w:val="00F97341"/>
    <w:rsid w:val="00FA26DE"/>
    <w:rsid w:val="00FB3BC4"/>
    <w:rsid w:val="00FB7F6F"/>
    <w:rsid w:val="00FC34E8"/>
    <w:rsid w:val="00FD2773"/>
    <w:rsid w:val="00FD2CCF"/>
    <w:rsid w:val="00FD37D7"/>
    <w:rsid w:val="00FE2BBB"/>
    <w:rsid w:val="00FE4447"/>
    <w:rsid w:val="00FF6A3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2A2774"/>
  <w15:chartTrackingRefBased/>
  <w15:docId w15:val="{26A2C808-D189-41EB-B54A-9BED10F2F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F25"/>
  </w:style>
  <w:style w:type="paragraph" w:styleId="Ttulo1">
    <w:name w:val="heading 1"/>
    <w:basedOn w:val="Normal"/>
    <w:next w:val="Normal"/>
    <w:link w:val="Ttulo1Car"/>
    <w:uiPriority w:val="9"/>
    <w:qFormat/>
    <w:rsid w:val="004131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131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1317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1317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1317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1317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1317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1317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1317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1317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1317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1317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1317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1317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1317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1317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1317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1317C"/>
    <w:rPr>
      <w:rFonts w:eastAsiaTheme="majorEastAsia" w:cstheme="majorBidi"/>
      <w:color w:val="272727" w:themeColor="text1" w:themeTint="D8"/>
    </w:rPr>
  </w:style>
  <w:style w:type="paragraph" w:styleId="Ttulo">
    <w:name w:val="Title"/>
    <w:basedOn w:val="Normal"/>
    <w:next w:val="Normal"/>
    <w:link w:val="TtuloCar"/>
    <w:uiPriority w:val="10"/>
    <w:qFormat/>
    <w:rsid w:val="004131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1317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1317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1317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1317C"/>
    <w:pPr>
      <w:spacing w:before="160"/>
      <w:jc w:val="center"/>
    </w:pPr>
    <w:rPr>
      <w:i/>
      <w:iCs/>
      <w:color w:val="404040" w:themeColor="text1" w:themeTint="BF"/>
    </w:rPr>
  </w:style>
  <w:style w:type="character" w:customStyle="1" w:styleId="CitaCar">
    <w:name w:val="Cita Car"/>
    <w:basedOn w:val="Fuentedeprrafopredeter"/>
    <w:link w:val="Cita"/>
    <w:uiPriority w:val="29"/>
    <w:rsid w:val="0041317C"/>
    <w:rPr>
      <w:i/>
      <w:iCs/>
      <w:color w:val="404040" w:themeColor="text1" w:themeTint="BF"/>
    </w:rPr>
  </w:style>
  <w:style w:type="paragraph" w:styleId="Prrafodelista">
    <w:name w:val="List Paragraph"/>
    <w:basedOn w:val="Normal"/>
    <w:qFormat/>
    <w:rsid w:val="0041317C"/>
    <w:pPr>
      <w:ind w:left="720"/>
      <w:contextualSpacing/>
    </w:pPr>
  </w:style>
  <w:style w:type="character" w:styleId="nfasisintenso">
    <w:name w:val="Intense Emphasis"/>
    <w:basedOn w:val="Fuentedeprrafopredeter"/>
    <w:uiPriority w:val="21"/>
    <w:qFormat/>
    <w:rsid w:val="0041317C"/>
    <w:rPr>
      <w:i/>
      <w:iCs/>
      <w:color w:val="0F4761" w:themeColor="accent1" w:themeShade="BF"/>
    </w:rPr>
  </w:style>
  <w:style w:type="paragraph" w:styleId="Citadestacada">
    <w:name w:val="Intense Quote"/>
    <w:basedOn w:val="Normal"/>
    <w:next w:val="Normal"/>
    <w:link w:val="CitadestacadaCar"/>
    <w:uiPriority w:val="30"/>
    <w:qFormat/>
    <w:rsid w:val="004131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1317C"/>
    <w:rPr>
      <w:i/>
      <w:iCs/>
      <w:color w:val="0F4761" w:themeColor="accent1" w:themeShade="BF"/>
    </w:rPr>
  </w:style>
  <w:style w:type="character" w:styleId="Referenciaintensa">
    <w:name w:val="Intense Reference"/>
    <w:basedOn w:val="Fuentedeprrafopredeter"/>
    <w:uiPriority w:val="32"/>
    <w:qFormat/>
    <w:rsid w:val="0041317C"/>
    <w:rPr>
      <w:b/>
      <w:bCs/>
      <w:smallCaps/>
      <w:color w:val="0F4761" w:themeColor="accent1" w:themeShade="BF"/>
      <w:spacing w:val="5"/>
    </w:rPr>
  </w:style>
  <w:style w:type="character" w:styleId="Hipervnculo">
    <w:name w:val="Hyperlink"/>
    <w:basedOn w:val="Fuentedeprrafopredeter"/>
    <w:uiPriority w:val="99"/>
    <w:unhideWhenUsed/>
    <w:rsid w:val="0041317C"/>
    <w:rPr>
      <w:color w:val="467886" w:themeColor="hyperlink"/>
      <w:u w:val="single"/>
    </w:rPr>
  </w:style>
  <w:style w:type="character" w:styleId="Mencinsinresolver">
    <w:name w:val="Unresolved Mention"/>
    <w:basedOn w:val="Fuentedeprrafopredeter"/>
    <w:uiPriority w:val="99"/>
    <w:semiHidden/>
    <w:unhideWhenUsed/>
    <w:rsid w:val="0041317C"/>
    <w:rPr>
      <w:color w:val="605E5C"/>
      <w:shd w:val="clear" w:color="auto" w:fill="E1DFDD"/>
    </w:rPr>
  </w:style>
  <w:style w:type="paragraph" w:styleId="Encabezado">
    <w:name w:val="header"/>
    <w:basedOn w:val="Normal"/>
    <w:link w:val="EncabezadoCar"/>
    <w:uiPriority w:val="99"/>
    <w:unhideWhenUsed/>
    <w:rsid w:val="0041317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1317C"/>
  </w:style>
  <w:style w:type="paragraph" w:styleId="Piedepgina">
    <w:name w:val="footer"/>
    <w:basedOn w:val="Normal"/>
    <w:link w:val="PiedepginaCar"/>
    <w:uiPriority w:val="99"/>
    <w:unhideWhenUsed/>
    <w:rsid w:val="0041317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1317C"/>
  </w:style>
  <w:style w:type="table" w:styleId="Tablaconcuadrcula">
    <w:name w:val="Table Grid"/>
    <w:basedOn w:val="Tablanormal"/>
    <w:uiPriority w:val="39"/>
    <w:rsid w:val="004131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3A7CAC"/>
    <w:pPr>
      <w:spacing w:before="480" w:after="0" w:line="276" w:lineRule="auto"/>
      <w:outlineLvl w:val="9"/>
    </w:pPr>
    <w:rPr>
      <w:b/>
      <w:bCs/>
      <w:kern w:val="0"/>
      <w:sz w:val="28"/>
      <w:szCs w:val="28"/>
      <w:lang w:eastAsia="es-MX"/>
      <w14:ligatures w14:val="none"/>
    </w:rPr>
  </w:style>
  <w:style w:type="paragraph" w:styleId="TDC1">
    <w:name w:val="toc 1"/>
    <w:basedOn w:val="Normal"/>
    <w:next w:val="Normal"/>
    <w:autoRedefine/>
    <w:uiPriority w:val="39"/>
    <w:unhideWhenUsed/>
    <w:rsid w:val="003A7CAC"/>
    <w:pPr>
      <w:spacing w:before="120" w:after="0"/>
    </w:pPr>
    <w:rPr>
      <w:b/>
      <w:bCs/>
      <w:i/>
      <w:iCs/>
      <w:sz w:val="24"/>
      <w:szCs w:val="24"/>
    </w:rPr>
  </w:style>
  <w:style w:type="paragraph" w:styleId="TDC2">
    <w:name w:val="toc 2"/>
    <w:basedOn w:val="Normal"/>
    <w:next w:val="Normal"/>
    <w:autoRedefine/>
    <w:uiPriority w:val="39"/>
    <w:unhideWhenUsed/>
    <w:rsid w:val="003A7CAC"/>
    <w:pPr>
      <w:spacing w:before="120" w:after="0"/>
      <w:ind w:left="220"/>
    </w:pPr>
    <w:rPr>
      <w:b/>
      <w:bCs/>
    </w:rPr>
  </w:style>
  <w:style w:type="paragraph" w:styleId="TDC3">
    <w:name w:val="toc 3"/>
    <w:basedOn w:val="Normal"/>
    <w:next w:val="Normal"/>
    <w:autoRedefine/>
    <w:uiPriority w:val="39"/>
    <w:unhideWhenUsed/>
    <w:rsid w:val="003A7CAC"/>
    <w:pPr>
      <w:spacing w:after="0"/>
      <w:ind w:left="440"/>
    </w:pPr>
    <w:rPr>
      <w:sz w:val="20"/>
      <w:szCs w:val="20"/>
    </w:rPr>
  </w:style>
  <w:style w:type="paragraph" w:styleId="TDC4">
    <w:name w:val="toc 4"/>
    <w:basedOn w:val="Normal"/>
    <w:next w:val="Normal"/>
    <w:autoRedefine/>
    <w:uiPriority w:val="39"/>
    <w:semiHidden/>
    <w:unhideWhenUsed/>
    <w:rsid w:val="003A7CAC"/>
    <w:pPr>
      <w:spacing w:after="0"/>
      <w:ind w:left="660"/>
    </w:pPr>
    <w:rPr>
      <w:sz w:val="20"/>
      <w:szCs w:val="20"/>
    </w:rPr>
  </w:style>
  <w:style w:type="paragraph" w:styleId="TDC5">
    <w:name w:val="toc 5"/>
    <w:basedOn w:val="Normal"/>
    <w:next w:val="Normal"/>
    <w:autoRedefine/>
    <w:uiPriority w:val="39"/>
    <w:semiHidden/>
    <w:unhideWhenUsed/>
    <w:rsid w:val="003A7CAC"/>
    <w:pPr>
      <w:spacing w:after="0"/>
      <w:ind w:left="880"/>
    </w:pPr>
    <w:rPr>
      <w:sz w:val="20"/>
      <w:szCs w:val="20"/>
    </w:rPr>
  </w:style>
  <w:style w:type="paragraph" w:styleId="TDC6">
    <w:name w:val="toc 6"/>
    <w:basedOn w:val="Normal"/>
    <w:next w:val="Normal"/>
    <w:autoRedefine/>
    <w:uiPriority w:val="39"/>
    <w:semiHidden/>
    <w:unhideWhenUsed/>
    <w:rsid w:val="003A7CAC"/>
    <w:pPr>
      <w:spacing w:after="0"/>
      <w:ind w:left="1100"/>
    </w:pPr>
    <w:rPr>
      <w:sz w:val="20"/>
      <w:szCs w:val="20"/>
    </w:rPr>
  </w:style>
  <w:style w:type="paragraph" w:styleId="TDC7">
    <w:name w:val="toc 7"/>
    <w:basedOn w:val="Normal"/>
    <w:next w:val="Normal"/>
    <w:autoRedefine/>
    <w:uiPriority w:val="39"/>
    <w:semiHidden/>
    <w:unhideWhenUsed/>
    <w:rsid w:val="003A7CAC"/>
    <w:pPr>
      <w:spacing w:after="0"/>
      <w:ind w:left="1320"/>
    </w:pPr>
    <w:rPr>
      <w:sz w:val="20"/>
      <w:szCs w:val="20"/>
    </w:rPr>
  </w:style>
  <w:style w:type="paragraph" w:styleId="TDC8">
    <w:name w:val="toc 8"/>
    <w:basedOn w:val="Normal"/>
    <w:next w:val="Normal"/>
    <w:autoRedefine/>
    <w:uiPriority w:val="39"/>
    <w:semiHidden/>
    <w:unhideWhenUsed/>
    <w:rsid w:val="003A7CAC"/>
    <w:pPr>
      <w:spacing w:after="0"/>
      <w:ind w:left="1540"/>
    </w:pPr>
    <w:rPr>
      <w:sz w:val="20"/>
      <w:szCs w:val="20"/>
    </w:rPr>
  </w:style>
  <w:style w:type="paragraph" w:styleId="TDC9">
    <w:name w:val="toc 9"/>
    <w:basedOn w:val="Normal"/>
    <w:next w:val="Normal"/>
    <w:autoRedefine/>
    <w:uiPriority w:val="39"/>
    <w:semiHidden/>
    <w:unhideWhenUsed/>
    <w:rsid w:val="003A7CAC"/>
    <w:pPr>
      <w:spacing w:after="0"/>
      <w:ind w:left="1760"/>
    </w:pPr>
    <w:rPr>
      <w:sz w:val="20"/>
      <w:szCs w:val="20"/>
    </w:rPr>
  </w:style>
  <w:style w:type="paragraph" w:customStyle="1" w:styleId="p1">
    <w:name w:val="p1"/>
    <w:basedOn w:val="Normal"/>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customStyle="1" w:styleId="p2">
    <w:name w:val="p2"/>
    <w:basedOn w:val="Normal"/>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styleId="NormalWeb">
    <w:name w:val="Normal (Web)"/>
    <w:basedOn w:val="Normal"/>
    <w:uiPriority w:val="99"/>
    <w:unhideWhenUsed/>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customStyle="1" w:styleId="apple-converted-space">
    <w:name w:val="apple-converted-space"/>
    <w:basedOn w:val="Fuentedeprrafopredeter"/>
    <w:rsid w:val="00744527"/>
  </w:style>
  <w:style w:type="character" w:styleId="Textoennegrita">
    <w:name w:val="Strong"/>
    <w:basedOn w:val="Fuentedeprrafopredeter"/>
    <w:uiPriority w:val="22"/>
    <w:qFormat/>
    <w:rsid w:val="00744527"/>
    <w:rPr>
      <w:b/>
      <w:bCs/>
    </w:rPr>
  </w:style>
  <w:style w:type="character" w:styleId="nfasis">
    <w:name w:val="Emphasis"/>
    <w:basedOn w:val="Fuentedeprrafopredeter"/>
    <w:uiPriority w:val="20"/>
    <w:qFormat/>
    <w:rsid w:val="00744527"/>
    <w:rPr>
      <w:i/>
      <w:iCs/>
    </w:rPr>
  </w:style>
  <w:style w:type="character" w:customStyle="1" w:styleId="s1">
    <w:name w:val="s1"/>
    <w:basedOn w:val="Fuentedeprrafopredeter"/>
    <w:rsid w:val="00744527"/>
  </w:style>
  <w:style w:type="paragraph" w:customStyle="1" w:styleId="p3">
    <w:name w:val="p3"/>
    <w:basedOn w:val="Normal"/>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customStyle="1" w:styleId="p4">
    <w:name w:val="p4"/>
    <w:basedOn w:val="Normal"/>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Textodelmarcadordeposicin">
    <w:name w:val="Placeholder Text"/>
    <w:basedOn w:val="Fuentedeprrafopredeter"/>
    <w:uiPriority w:val="99"/>
    <w:semiHidden/>
    <w:rsid w:val="00D163E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856008">
      <w:bodyDiv w:val="1"/>
      <w:marLeft w:val="0"/>
      <w:marRight w:val="0"/>
      <w:marTop w:val="0"/>
      <w:marBottom w:val="0"/>
      <w:divBdr>
        <w:top w:val="none" w:sz="0" w:space="0" w:color="auto"/>
        <w:left w:val="none" w:sz="0" w:space="0" w:color="auto"/>
        <w:bottom w:val="none" w:sz="0" w:space="0" w:color="auto"/>
        <w:right w:val="none" w:sz="0" w:space="0" w:color="auto"/>
      </w:divBdr>
      <w:divsChild>
        <w:div w:id="538779964">
          <w:marLeft w:val="0"/>
          <w:marRight w:val="0"/>
          <w:marTop w:val="0"/>
          <w:marBottom w:val="0"/>
          <w:divBdr>
            <w:top w:val="none" w:sz="0" w:space="0" w:color="auto"/>
            <w:left w:val="none" w:sz="0" w:space="0" w:color="auto"/>
            <w:bottom w:val="none" w:sz="0" w:space="0" w:color="auto"/>
            <w:right w:val="none" w:sz="0" w:space="0" w:color="auto"/>
          </w:divBdr>
          <w:divsChild>
            <w:div w:id="2013560211">
              <w:marLeft w:val="0"/>
              <w:marRight w:val="0"/>
              <w:marTop w:val="0"/>
              <w:marBottom w:val="0"/>
              <w:divBdr>
                <w:top w:val="none" w:sz="0" w:space="0" w:color="auto"/>
                <w:left w:val="none" w:sz="0" w:space="0" w:color="auto"/>
                <w:bottom w:val="none" w:sz="0" w:space="0" w:color="auto"/>
                <w:right w:val="none" w:sz="0" w:space="0" w:color="auto"/>
              </w:divBdr>
              <w:divsChild>
                <w:div w:id="1203052145">
                  <w:marLeft w:val="0"/>
                  <w:marRight w:val="0"/>
                  <w:marTop w:val="0"/>
                  <w:marBottom w:val="0"/>
                  <w:divBdr>
                    <w:top w:val="none" w:sz="0" w:space="0" w:color="auto"/>
                    <w:left w:val="none" w:sz="0" w:space="0" w:color="auto"/>
                    <w:bottom w:val="none" w:sz="0" w:space="0" w:color="auto"/>
                    <w:right w:val="none" w:sz="0" w:space="0" w:color="auto"/>
                  </w:divBdr>
                  <w:divsChild>
                    <w:div w:id="1286158425">
                      <w:marLeft w:val="0"/>
                      <w:marRight w:val="0"/>
                      <w:marTop w:val="0"/>
                      <w:marBottom w:val="0"/>
                      <w:divBdr>
                        <w:top w:val="none" w:sz="0" w:space="0" w:color="auto"/>
                        <w:left w:val="none" w:sz="0" w:space="0" w:color="auto"/>
                        <w:bottom w:val="none" w:sz="0" w:space="0" w:color="auto"/>
                        <w:right w:val="none" w:sz="0" w:space="0" w:color="auto"/>
                      </w:divBdr>
                      <w:divsChild>
                        <w:div w:id="1787308490">
                          <w:marLeft w:val="0"/>
                          <w:marRight w:val="0"/>
                          <w:marTop w:val="0"/>
                          <w:marBottom w:val="0"/>
                          <w:divBdr>
                            <w:top w:val="none" w:sz="0" w:space="0" w:color="auto"/>
                            <w:left w:val="none" w:sz="0" w:space="0" w:color="auto"/>
                            <w:bottom w:val="none" w:sz="0" w:space="0" w:color="auto"/>
                            <w:right w:val="none" w:sz="0" w:space="0" w:color="auto"/>
                          </w:divBdr>
                          <w:divsChild>
                            <w:div w:id="49233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5554617">
      <w:bodyDiv w:val="1"/>
      <w:marLeft w:val="0"/>
      <w:marRight w:val="0"/>
      <w:marTop w:val="0"/>
      <w:marBottom w:val="0"/>
      <w:divBdr>
        <w:top w:val="none" w:sz="0" w:space="0" w:color="auto"/>
        <w:left w:val="none" w:sz="0" w:space="0" w:color="auto"/>
        <w:bottom w:val="none" w:sz="0" w:space="0" w:color="auto"/>
        <w:right w:val="none" w:sz="0" w:space="0" w:color="auto"/>
      </w:divBdr>
    </w:div>
    <w:div w:id="288972275">
      <w:bodyDiv w:val="1"/>
      <w:marLeft w:val="0"/>
      <w:marRight w:val="0"/>
      <w:marTop w:val="0"/>
      <w:marBottom w:val="0"/>
      <w:divBdr>
        <w:top w:val="none" w:sz="0" w:space="0" w:color="auto"/>
        <w:left w:val="none" w:sz="0" w:space="0" w:color="auto"/>
        <w:bottom w:val="none" w:sz="0" w:space="0" w:color="auto"/>
        <w:right w:val="none" w:sz="0" w:space="0" w:color="auto"/>
      </w:divBdr>
    </w:div>
    <w:div w:id="291596623">
      <w:bodyDiv w:val="1"/>
      <w:marLeft w:val="0"/>
      <w:marRight w:val="0"/>
      <w:marTop w:val="0"/>
      <w:marBottom w:val="0"/>
      <w:divBdr>
        <w:top w:val="none" w:sz="0" w:space="0" w:color="auto"/>
        <w:left w:val="none" w:sz="0" w:space="0" w:color="auto"/>
        <w:bottom w:val="none" w:sz="0" w:space="0" w:color="auto"/>
        <w:right w:val="none" w:sz="0" w:space="0" w:color="auto"/>
      </w:divBdr>
    </w:div>
    <w:div w:id="332950361">
      <w:bodyDiv w:val="1"/>
      <w:marLeft w:val="0"/>
      <w:marRight w:val="0"/>
      <w:marTop w:val="0"/>
      <w:marBottom w:val="0"/>
      <w:divBdr>
        <w:top w:val="none" w:sz="0" w:space="0" w:color="auto"/>
        <w:left w:val="none" w:sz="0" w:space="0" w:color="auto"/>
        <w:bottom w:val="none" w:sz="0" w:space="0" w:color="auto"/>
        <w:right w:val="none" w:sz="0" w:space="0" w:color="auto"/>
      </w:divBdr>
    </w:div>
    <w:div w:id="392117003">
      <w:bodyDiv w:val="1"/>
      <w:marLeft w:val="0"/>
      <w:marRight w:val="0"/>
      <w:marTop w:val="0"/>
      <w:marBottom w:val="0"/>
      <w:divBdr>
        <w:top w:val="none" w:sz="0" w:space="0" w:color="auto"/>
        <w:left w:val="none" w:sz="0" w:space="0" w:color="auto"/>
        <w:bottom w:val="none" w:sz="0" w:space="0" w:color="auto"/>
        <w:right w:val="none" w:sz="0" w:space="0" w:color="auto"/>
      </w:divBdr>
    </w:div>
    <w:div w:id="421528433">
      <w:bodyDiv w:val="1"/>
      <w:marLeft w:val="0"/>
      <w:marRight w:val="0"/>
      <w:marTop w:val="0"/>
      <w:marBottom w:val="0"/>
      <w:divBdr>
        <w:top w:val="none" w:sz="0" w:space="0" w:color="auto"/>
        <w:left w:val="none" w:sz="0" w:space="0" w:color="auto"/>
        <w:bottom w:val="none" w:sz="0" w:space="0" w:color="auto"/>
        <w:right w:val="none" w:sz="0" w:space="0" w:color="auto"/>
      </w:divBdr>
    </w:div>
    <w:div w:id="701712239">
      <w:bodyDiv w:val="1"/>
      <w:marLeft w:val="0"/>
      <w:marRight w:val="0"/>
      <w:marTop w:val="0"/>
      <w:marBottom w:val="0"/>
      <w:divBdr>
        <w:top w:val="none" w:sz="0" w:space="0" w:color="auto"/>
        <w:left w:val="none" w:sz="0" w:space="0" w:color="auto"/>
        <w:bottom w:val="none" w:sz="0" w:space="0" w:color="auto"/>
        <w:right w:val="none" w:sz="0" w:space="0" w:color="auto"/>
      </w:divBdr>
    </w:div>
    <w:div w:id="765615622">
      <w:bodyDiv w:val="1"/>
      <w:marLeft w:val="0"/>
      <w:marRight w:val="0"/>
      <w:marTop w:val="0"/>
      <w:marBottom w:val="0"/>
      <w:divBdr>
        <w:top w:val="none" w:sz="0" w:space="0" w:color="auto"/>
        <w:left w:val="none" w:sz="0" w:space="0" w:color="auto"/>
        <w:bottom w:val="none" w:sz="0" w:space="0" w:color="auto"/>
        <w:right w:val="none" w:sz="0" w:space="0" w:color="auto"/>
      </w:divBdr>
      <w:divsChild>
        <w:div w:id="1864204168">
          <w:marLeft w:val="0"/>
          <w:marRight w:val="0"/>
          <w:marTop w:val="0"/>
          <w:marBottom w:val="0"/>
          <w:divBdr>
            <w:top w:val="none" w:sz="0" w:space="0" w:color="auto"/>
            <w:left w:val="none" w:sz="0" w:space="0" w:color="auto"/>
            <w:bottom w:val="none" w:sz="0" w:space="0" w:color="auto"/>
            <w:right w:val="none" w:sz="0" w:space="0" w:color="auto"/>
          </w:divBdr>
          <w:divsChild>
            <w:div w:id="482894811">
              <w:marLeft w:val="0"/>
              <w:marRight w:val="0"/>
              <w:marTop w:val="0"/>
              <w:marBottom w:val="0"/>
              <w:divBdr>
                <w:top w:val="none" w:sz="0" w:space="0" w:color="auto"/>
                <w:left w:val="none" w:sz="0" w:space="0" w:color="auto"/>
                <w:bottom w:val="none" w:sz="0" w:space="0" w:color="auto"/>
                <w:right w:val="none" w:sz="0" w:space="0" w:color="auto"/>
              </w:divBdr>
              <w:divsChild>
                <w:div w:id="66921148">
                  <w:marLeft w:val="0"/>
                  <w:marRight w:val="0"/>
                  <w:marTop w:val="0"/>
                  <w:marBottom w:val="0"/>
                  <w:divBdr>
                    <w:top w:val="none" w:sz="0" w:space="0" w:color="auto"/>
                    <w:left w:val="none" w:sz="0" w:space="0" w:color="auto"/>
                    <w:bottom w:val="none" w:sz="0" w:space="0" w:color="auto"/>
                    <w:right w:val="none" w:sz="0" w:space="0" w:color="auto"/>
                  </w:divBdr>
                  <w:divsChild>
                    <w:div w:id="1268196598">
                      <w:marLeft w:val="0"/>
                      <w:marRight w:val="0"/>
                      <w:marTop w:val="0"/>
                      <w:marBottom w:val="0"/>
                      <w:divBdr>
                        <w:top w:val="none" w:sz="0" w:space="0" w:color="auto"/>
                        <w:left w:val="none" w:sz="0" w:space="0" w:color="auto"/>
                        <w:bottom w:val="none" w:sz="0" w:space="0" w:color="auto"/>
                        <w:right w:val="none" w:sz="0" w:space="0" w:color="auto"/>
                      </w:divBdr>
                      <w:divsChild>
                        <w:div w:id="1858958990">
                          <w:marLeft w:val="0"/>
                          <w:marRight w:val="0"/>
                          <w:marTop w:val="0"/>
                          <w:marBottom w:val="0"/>
                          <w:divBdr>
                            <w:top w:val="none" w:sz="0" w:space="0" w:color="auto"/>
                            <w:left w:val="none" w:sz="0" w:space="0" w:color="auto"/>
                            <w:bottom w:val="none" w:sz="0" w:space="0" w:color="auto"/>
                            <w:right w:val="none" w:sz="0" w:space="0" w:color="auto"/>
                          </w:divBdr>
                          <w:divsChild>
                            <w:div w:id="60846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922939">
      <w:bodyDiv w:val="1"/>
      <w:marLeft w:val="0"/>
      <w:marRight w:val="0"/>
      <w:marTop w:val="0"/>
      <w:marBottom w:val="0"/>
      <w:divBdr>
        <w:top w:val="none" w:sz="0" w:space="0" w:color="auto"/>
        <w:left w:val="none" w:sz="0" w:space="0" w:color="auto"/>
        <w:bottom w:val="none" w:sz="0" w:space="0" w:color="auto"/>
        <w:right w:val="none" w:sz="0" w:space="0" w:color="auto"/>
      </w:divBdr>
      <w:divsChild>
        <w:div w:id="1916427649">
          <w:marLeft w:val="0"/>
          <w:marRight w:val="0"/>
          <w:marTop w:val="0"/>
          <w:marBottom w:val="0"/>
          <w:divBdr>
            <w:top w:val="none" w:sz="0" w:space="0" w:color="auto"/>
            <w:left w:val="none" w:sz="0" w:space="0" w:color="auto"/>
            <w:bottom w:val="none" w:sz="0" w:space="0" w:color="auto"/>
            <w:right w:val="none" w:sz="0" w:space="0" w:color="auto"/>
          </w:divBdr>
          <w:divsChild>
            <w:div w:id="1016082258">
              <w:marLeft w:val="0"/>
              <w:marRight w:val="0"/>
              <w:marTop w:val="0"/>
              <w:marBottom w:val="0"/>
              <w:divBdr>
                <w:top w:val="none" w:sz="0" w:space="0" w:color="auto"/>
                <w:left w:val="none" w:sz="0" w:space="0" w:color="auto"/>
                <w:bottom w:val="none" w:sz="0" w:space="0" w:color="auto"/>
                <w:right w:val="none" w:sz="0" w:space="0" w:color="auto"/>
              </w:divBdr>
              <w:divsChild>
                <w:div w:id="1955482818">
                  <w:marLeft w:val="0"/>
                  <w:marRight w:val="0"/>
                  <w:marTop w:val="0"/>
                  <w:marBottom w:val="0"/>
                  <w:divBdr>
                    <w:top w:val="none" w:sz="0" w:space="0" w:color="auto"/>
                    <w:left w:val="none" w:sz="0" w:space="0" w:color="auto"/>
                    <w:bottom w:val="none" w:sz="0" w:space="0" w:color="auto"/>
                    <w:right w:val="none" w:sz="0" w:space="0" w:color="auto"/>
                  </w:divBdr>
                  <w:divsChild>
                    <w:div w:id="137236624">
                      <w:marLeft w:val="0"/>
                      <w:marRight w:val="0"/>
                      <w:marTop w:val="0"/>
                      <w:marBottom w:val="0"/>
                      <w:divBdr>
                        <w:top w:val="none" w:sz="0" w:space="0" w:color="auto"/>
                        <w:left w:val="none" w:sz="0" w:space="0" w:color="auto"/>
                        <w:bottom w:val="none" w:sz="0" w:space="0" w:color="auto"/>
                        <w:right w:val="none" w:sz="0" w:space="0" w:color="auto"/>
                      </w:divBdr>
                      <w:divsChild>
                        <w:div w:id="313338546">
                          <w:marLeft w:val="0"/>
                          <w:marRight w:val="0"/>
                          <w:marTop w:val="0"/>
                          <w:marBottom w:val="0"/>
                          <w:divBdr>
                            <w:top w:val="none" w:sz="0" w:space="0" w:color="auto"/>
                            <w:left w:val="none" w:sz="0" w:space="0" w:color="auto"/>
                            <w:bottom w:val="none" w:sz="0" w:space="0" w:color="auto"/>
                            <w:right w:val="none" w:sz="0" w:space="0" w:color="auto"/>
                          </w:divBdr>
                          <w:divsChild>
                            <w:div w:id="11352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7088142">
      <w:bodyDiv w:val="1"/>
      <w:marLeft w:val="0"/>
      <w:marRight w:val="0"/>
      <w:marTop w:val="0"/>
      <w:marBottom w:val="0"/>
      <w:divBdr>
        <w:top w:val="none" w:sz="0" w:space="0" w:color="auto"/>
        <w:left w:val="none" w:sz="0" w:space="0" w:color="auto"/>
        <w:bottom w:val="none" w:sz="0" w:space="0" w:color="auto"/>
        <w:right w:val="none" w:sz="0" w:space="0" w:color="auto"/>
      </w:divBdr>
      <w:divsChild>
        <w:div w:id="54083930">
          <w:marLeft w:val="0"/>
          <w:marRight w:val="0"/>
          <w:marTop w:val="0"/>
          <w:marBottom w:val="0"/>
          <w:divBdr>
            <w:top w:val="none" w:sz="0" w:space="0" w:color="auto"/>
            <w:left w:val="none" w:sz="0" w:space="0" w:color="auto"/>
            <w:bottom w:val="none" w:sz="0" w:space="0" w:color="auto"/>
            <w:right w:val="none" w:sz="0" w:space="0" w:color="auto"/>
          </w:divBdr>
          <w:divsChild>
            <w:div w:id="414910051">
              <w:marLeft w:val="0"/>
              <w:marRight w:val="0"/>
              <w:marTop w:val="0"/>
              <w:marBottom w:val="0"/>
              <w:divBdr>
                <w:top w:val="none" w:sz="0" w:space="0" w:color="auto"/>
                <w:left w:val="none" w:sz="0" w:space="0" w:color="auto"/>
                <w:bottom w:val="none" w:sz="0" w:space="0" w:color="auto"/>
                <w:right w:val="none" w:sz="0" w:space="0" w:color="auto"/>
              </w:divBdr>
              <w:divsChild>
                <w:div w:id="1421875929">
                  <w:marLeft w:val="0"/>
                  <w:marRight w:val="0"/>
                  <w:marTop w:val="0"/>
                  <w:marBottom w:val="0"/>
                  <w:divBdr>
                    <w:top w:val="none" w:sz="0" w:space="0" w:color="auto"/>
                    <w:left w:val="none" w:sz="0" w:space="0" w:color="auto"/>
                    <w:bottom w:val="none" w:sz="0" w:space="0" w:color="auto"/>
                    <w:right w:val="none" w:sz="0" w:space="0" w:color="auto"/>
                  </w:divBdr>
                  <w:divsChild>
                    <w:div w:id="58212365">
                      <w:marLeft w:val="0"/>
                      <w:marRight w:val="0"/>
                      <w:marTop w:val="0"/>
                      <w:marBottom w:val="0"/>
                      <w:divBdr>
                        <w:top w:val="none" w:sz="0" w:space="0" w:color="auto"/>
                        <w:left w:val="none" w:sz="0" w:space="0" w:color="auto"/>
                        <w:bottom w:val="none" w:sz="0" w:space="0" w:color="auto"/>
                        <w:right w:val="none" w:sz="0" w:space="0" w:color="auto"/>
                      </w:divBdr>
                      <w:divsChild>
                        <w:div w:id="1297417780">
                          <w:marLeft w:val="0"/>
                          <w:marRight w:val="0"/>
                          <w:marTop w:val="0"/>
                          <w:marBottom w:val="0"/>
                          <w:divBdr>
                            <w:top w:val="none" w:sz="0" w:space="0" w:color="auto"/>
                            <w:left w:val="none" w:sz="0" w:space="0" w:color="auto"/>
                            <w:bottom w:val="none" w:sz="0" w:space="0" w:color="auto"/>
                            <w:right w:val="none" w:sz="0" w:space="0" w:color="auto"/>
                          </w:divBdr>
                          <w:divsChild>
                            <w:div w:id="208394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6880588">
      <w:bodyDiv w:val="1"/>
      <w:marLeft w:val="0"/>
      <w:marRight w:val="0"/>
      <w:marTop w:val="0"/>
      <w:marBottom w:val="0"/>
      <w:divBdr>
        <w:top w:val="none" w:sz="0" w:space="0" w:color="auto"/>
        <w:left w:val="none" w:sz="0" w:space="0" w:color="auto"/>
        <w:bottom w:val="none" w:sz="0" w:space="0" w:color="auto"/>
        <w:right w:val="none" w:sz="0" w:space="0" w:color="auto"/>
      </w:divBdr>
    </w:div>
    <w:div w:id="991445198">
      <w:bodyDiv w:val="1"/>
      <w:marLeft w:val="0"/>
      <w:marRight w:val="0"/>
      <w:marTop w:val="0"/>
      <w:marBottom w:val="0"/>
      <w:divBdr>
        <w:top w:val="none" w:sz="0" w:space="0" w:color="auto"/>
        <w:left w:val="none" w:sz="0" w:space="0" w:color="auto"/>
        <w:bottom w:val="none" w:sz="0" w:space="0" w:color="auto"/>
        <w:right w:val="none" w:sz="0" w:space="0" w:color="auto"/>
      </w:divBdr>
    </w:div>
    <w:div w:id="1182279702">
      <w:bodyDiv w:val="1"/>
      <w:marLeft w:val="0"/>
      <w:marRight w:val="0"/>
      <w:marTop w:val="0"/>
      <w:marBottom w:val="0"/>
      <w:divBdr>
        <w:top w:val="none" w:sz="0" w:space="0" w:color="auto"/>
        <w:left w:val="none" w:sz="0" w:space="0" w:color="auto"/>
        <w:bottom w:val="none" w:sz="0" w:space="0" w:color="auto"/>
        <w:right w:val="none" w:sz="0" w:space="0" w:color="auto"/>
      </w:divBdr>
    </w:div>
    <w:div w:id="1216703052">
      <w:bodyDiv w:val="1"/>
      <w:marLeft w:val="0"/>
      <w:marRight w:val="0"/>
      <w:marTop w:val="0"/>
      <w:marBottom w:val="0"/>
      <w:divBdr>
        <w:top w:val="none" w:sz="0" w:space="0" w:color="auto"/>
        <w:left w:val="none" w:sz="0" w:space="0" w:color="auto"/>
        <w:bottom w:val="none" w:sz="0" w:space="0" w:color="auto"/>
        <w:right w:val="none" w:sz="0" w:space="0" w:color="auto"/>
      </w:divBdr>
    </w:div>
    <w:div w:id="1532299586">
      <w:bodyDiv w:val="1"/>
      <w:marLeft w:val="0"/>
      <w:marRight w:val="0"/>
      <w:marTop w:val="0"/>
      <w:marBottom w:val="0"/>
      <w:divBdr>
        <w:top w:val="none" w:sz="0" w:space="0" w:color="auto"/>
        <w:left w:val="none" w:sz="0" w:space="0" w:color="auto"/>
        <w:bottom w:val="none" w:sz="0" w:space="0" w:color="auto"/>
        <w:right w:val="none" w:sz="0" w:space="0" w:color="auto"/>
      </w:divBdr>
    </w:div>
    <w:div w:id="1546331882">
      <w:bodyDiv w:val="1"/>
      <w:marLeft w:val="0"/>
      <w:marRight w:val="0"/>
      <w:marTop w:val="0"/>
      <w:marBottom w:val="0"/>
      <w:divBdr>
        <w:top w:val="none" w:sz="0" w:space="0" w:color="auto"/>
        <w:left w:val="none" w:sz="0" w:space="0" w:color="auto"/>
        <w:bottom w:val="none" w:sz="0" w:space="0" w:color="auto"/>
        <w:right w:val="none" w:sz="0" w:space="0" w:color="auto"/>
      </w:divBdr>
    </w:div>
    <w:div w:id="1710841936">
      <w:bodyDiv w:val="1"/>
      <w:marLeft w:val="0"/>
      <w:marRight w:val="0"/>
      <w:marTop w:val="0"/>
      <w:marBottom w:val="0"/>
      <w:divBdr>
        <w:top w:val="none" w:sz="0" w:space="0" w:color="auto"/>
        <w:left w:val="none" w:sz="0" w:space="0" w:color="auto"/>
        <w:bottom w:val="none" w:sz="0" w:space="0" w:color="auto"/>
        <w:right w:val="none" w:sz="0" w:space="0" w:color="auto"/>
      </w:divBdr>
    </w:div>
    <w:div w:id="1725136114">
      <w:bodyDiv w:val="1"/>
      <w:marLeft w:val="0"/>
      <w:marRight w:val="0"/>
      <w:marTop w:val="0"/>
      <w:marBottom w:val="0"/>
      <w:divBdr>
        <w:top w:val="none" w:sz="0" w:space="0" w:color="auto"/>
        <w:left w:val="none" w:sz="0" w:space="0" w:color="auto"/>
        <w:bottom w:val="none" w:sz="0" w:space="0" w:color="auto"/>
        <w:right w:val="none" w:sz="0" w:space="0" w:color="auto"/>
      </w:divBdr>
      <w:divsChild>
        <w:div w:id="1893224830">
          <w:marLeft w:val="0"/>
          <w:marRight w:val="0"/>
          <w:marTop w:val="0"/>
          <w:marBottom w:val="0"/>
          <w:divBdr>
            <w:top w:val="none" w:sz="0" w:space="0" w:color="auto"/>
            <w:left w:val="none" w:sz="0" w:space="0" w:color="auto"/>
            <w:bottom w:val="none" w:sz="0" w:space="0" w:color="auto"/>
            <w:right w:val="none" w:sz="0" w:space="0" w:color="auto"/>
          </w:divBdr>
          <w:divsChild>
            <w:div w:id="1243022896">
              <w:marLeft w:val="0"/>
              <w:marRight w:val="0"/>
              <w:marTop w:val="0"/>
              <w:marBottom w:val="0"/>
              <w:divBdr>
                <w:top w:val="none" w:sz="0" w:space="0" w:color="auto"/>
                <w:left w:val="none" w:sz="0" w:space="0" w:color="auto"/>
                <w:bottom w:val="none" w:sz="0" w:space="0" w:color="auto"/>
                <w:right w:val="none" w:sz="0" w:space="0" w:color="auto"/>
              </w:divBdr>
              <w:divsChild>
                <w:div w:id="229268845">
                  <w:marLeft w:val="0"/>
                  <w:marRight w:val="0"/>
                  <w:marTop w:val="0"/>
                  <w:marBottom w:val="0"/>
                  <w:divBdr>
                    <w:top w:val="none" w:sz="0" w:space="0" w:color="auto"/>
                    <w:left w:val="none" w:sz="0" w:space="0" w:color="auto"/>
                    <w:bottom w:val="none" w:sz="0" w:space="0" w:color="auto"/>
                    <w:right w:val="none" w:sz="0" w:space="0" w:color="auto"/>
                  </w:divBdr>
                  <w:divsChild>
                    <w:div w:id="1801418000">
                      <w:marLeft w:val="0"/>
                      <w:marRight w:val="0"/>
                      <w:marTop w:val="0"/>
                      <w:marBottom w:val="0"/>
                      <w:divBdr>
                        <w:top w:val="none" w:sz="0" w:space="0" w:color="auto"/>
                        <w:left w:val="none" w:sz="0" w:space="0" w:color="auto"/>
                        <w:bottom w:val="none" w:sz="0" w:space="0" w:color="auto"/>
                        <w:right w:val="none" w:sz="0" w:space="0" w:color="auto"/>
                      </w:divBdr>
                      <w:divsChild>
                        <w:div w:id="2109306477">
                          <w:marLeft w:val="0"/>
                          <w:marRight w:val="0"/>
                          <w:marTop w:val="0"/>
                          <w:marBottom w:val="0"/>
                          <w:divBdr>
                            <w:top w:val="none" w:sz="0" w:space="0" w:color="auto"/>
                            <w:left w:val="none" w:sz="0" w:space="0" w:color="auto"/>
                            <w:bottom w:val="none" w:sz="0" w:space="0" w:color="auto"/>
                            <w:right w:val="none" w:sz="0" w:space="0" w:color="auto"/>
                          </w:divBdr>
                          <w:divsChild>
                            <w:div w:id="28181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6776841">
      <w:bodyDiv w:val="1"/>
      <w:marLeft w:val="0"/>
      <w:marRight w:val="0"/>
      <w:marTop w:val="0"/>
      <w:marBottom w:val="0"/>
      <w:divBdr>
        <w:top w:val="none" w:sz="0" w:space="0" w:color="auto"/>
        <w:left w:val="none" w:sz="0" w:space="0" w:color="auto"/>
        <w:bottom w:val="none" w:sz="0" w:space="0" w:color="auto"/>
        <w:right w:val="none" w:sz="0" w:space="0" w:color="auto"/>
      </w:divBdr>
    </w:div>
    <w:div w:id="1848670653">
      <w:bodyDiv w:val="1"/>
      <w:marLeft w:val="0"/>
      <w:marRight w:val="0"/>
      <w:marTop w:val="0"/>
      <w:marBottom w:val="0"/>
      <w:divBdr>
        <w:top w:val="none" w:sz="0" w:space="0" w:color="auto"/>
        <w:left w:val="none" w:sz="0" w:space="0" w:color="auto"/>
        <w:bottom w:val="none" w:sz="0" w:space="0" w:color="auto"/>
        <w:right w:val="none" w:sz="0" w:space="0" w:color="auto"/>
      </w:divBdr>
      <w:divsChild>
        <w:div w:id="124473506">
          <w:marLeft w:val="0"/>
          <w:marRight w:val="0"/>
          <w:marTop w:val="0"/>
          <w:marBottom w:val="0"/>
          <w:divBdr>
            <w:top w:val="none" w:sz="0" w:space="0" w:color="auto"/>
            <w:left w:val="none" w:sz="0" w:space="0" w:color="auto"/>
            <w:bottom w:val="none" w:sz="0" w:space="0" w:color="auto"/>
            <w:right w:val="none" w:sz="0" w:space="0" w:color="auto"/>
          </w:divBdr>
          <w:divsChild>
            <w:div w:id="1638604632">
              <w:marLeft w:val="0"/>
              <w:marRight w:val="0"/>
              <w:marTop w:val="0"/>
              <w:marBottom w:val="0"/>
              <w:divBdr>
                <w:top w:val="none" w:sz="0" w:space="0" w:color="auto"/>
                <w:left w:val="none" w:sz="0" w:space="0" w:color="auto"/>
                <w:bottom w:val="none" w:sz="0" w:space="0" w:color="auto"/>
                <w:right w:val="none" w:sz="0" w:space="0" w:color="auto"/>
              </w:divBdr>
              <w:divsChild>
                <w:div w:id="243103364">
                  <w:marLeft w:val="0"/>
                  <w:marRight w:val="0"/>
                  <w:marTop w:val="0"/>
                  <w:marBottom w:val="0"/>
                  <w:divBdr>
                    <w:top w:val="none" w:sz="0" w:space="0" w:color="auto"/>
                    <w:left w:val="none" w:sz="0" w:space="0" w:color="auto"/>
                    <w:bottom w:val="none" w:sz="0" w:space="0" w:color="auto"/>
                    <w:right w:val="none" w:sz="0" w:space="0" w:color="auto"/>
                  </w:divBdr>
                  <w:divsChild>
                    <w:div w:id="61145889">
                      <w:marLeft w:val="0"/>
                      <w:marRight w:val="0"/>
                      <w:marTop w:val="0"/>
                      <w:marBottom w:val="0"/>
                      <w:divBdr>
                        <w:top w:val="none" w:sz="0" w:space="0" w:color="auto"/>
                        <w:left w:val="none" w:sz="0" w:space="0" w:color="auto"/>
                        <w:bottom w:val="none" w:sz="0" w:space="0" w:color="auto"/>
                        <w:right w:val="none" w:sz="0" w:space="0" w:color="auto"/>
                      </w:divBdr>
                      <w:divsChild>
                        <w:div w:id="1198006748">
                          <w:marLeft w:val="0"/>
                          <w:marRight w:val="0"/>
                          <w:marTop w:val="0"/>
                          <w:marBottom w:val="0"/>
                          <w:divBdr>
                            <w:top w:val="none" w:sz="0" w:space="0" w:color="auto"/>
                            <w:left w:val="none" w:sz="0" w:space="0" w:color="auto"/>
                            <w:bottom w:val="none" w:sz="0" w:space="0" w:color="auto"/>
                            <w:right w:val="none" w:sz="0" w:space="0" w:color="auto"/>
                          </w:divBdr>
                          <w:divsChild>
                            <w:div w:id="58931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1452983">
      <w:bodyDiv w:val="1"/>
      <w:marLeft w:val="0"/>
      <w:marRight w:val="0"/>
      <w:marTop w:val="0"/>
      <w:marBottom w:val="0"/>
      <w:divBdr>
        <w:top w:val="none" w:sz="0" w:space="0" w:color="auto"/>
        <w:left w:val="none" w:sz="0" w:space="0" w:color="auto"/>
        <w:bottom w:val="none" w:sz="0" w:space="0" w:color="auto"/>
        <w:right w:val="none" w:sz="0" w:space="0" w:color="auto"/>
      </w:divBdr>
    </w:div>
    <w:div w:id="1927301685">
      <w:bodyDiv w:val="1"/>
      <w:marLeft w:val="0"/>
      <w:marRight w:val="0"/>
      <w:marTop w:val="0"/>
      <w:marBottom w:val="0"/>
      <w:divBdr>
        <w:top w:val="none" w:sz="0" w:space="0" w:color="auto"/>
        <w:left w:val="none" w:sz="0" w:space="0" w:color="auto"/>
        <w:bottom w:val="none" w:sz="0" w:space="0" w:color="auto"/>
        <w:right w:val="none" w:sz="0" w:space="0" w:color="auto"/>
      </w:divBdr>
      <w:divsChild>
        <w:div w:id="403183223">
          <w:marLeft w:val="0"/>
          <w:marRight w:val="0"/>
          <w:marTop w:val="0"/>
          <w:marBottom w:val="0"/>
          <w:divBdr>
            <w:top w:val="none" w:sz="0" w:space="0" w:color="auto"/>
            <w:left w:val="none" w:sz="0" w:space="0" w:color="auto"/>
            <w:bottom w:val="none" w:sz="0" w:space="0" w:color="auto"/>
            <w:right w:val="none" w:sz="0" w:space="0" w:color="auto"/>
          </w:divBdr>
          <w:divsChild>
            <w:div w:id="2113044306">
              <w:marLeft w:val="0"/>
              <w:marRight w:val="0"/>
              <w:marTop w:val="0"/>
              <w:marBottom w:val="0"/>
              <w:divBdr>
                <w:top w:val="none" w:sz="0" w:space="0" w:color="auto"/>
                <w:left w:val="none" w:sz="0" w:space="0" w:color="auto"/>
                <w:bottom w:val="none" w:sz="0" w:space="0" w:color="auto"/>
                <w:right w:val="none" w:sz="0" w:space="0" w:color="auto"/>
              </w:divBdr>
              <w:divsChild>
                <w:div w:id="359403167">
                  <w:marLeft w:val="0"/>
                  <w:marRight w:val="0"/>
                  <w:marTop w:val="0"/>
                  <w:marBottom w:val="0"/>
                  <w:divBdr>
                    <w:top w:val="none" w:sz="0" w:space="0" w:color="auto"/>
                    <w:left w:val="none" w:sz="0" w:space="0" w:color="auto"/>
                    <w:bottom w:val="none" w:sz="0" w:space="0" w:color="auto"/>
                    <w:right w:val="none" w:sz="0" w:space="0" w:color="auto"/>
                  </w:divBdr>
                  <w:divsChild>
                    <w:div w:id="545067143">
                      <w:marLeft w:val="0"/>
                      <w:marRight w:val="0"/>
                      <w:marTop w:val="0"/>
                      <w:marBottom w:val="0"/>
                      <w:divBdr>
                        <w:top w:val="none" w:sz="0" w:space="0" w:color="auto"/>
                        <w:left w:val="none" w:sz="0" w:space="0" w:color="auto"/>
                        <w:bottom w:val="none" w:sz="0" w:space="0" w:color="auto"/>
                        <w:right w:val="none" w:sz="0" w:space="0" w:color="auto"/>
                      </w:divBdr>
                      <w:divsChild>
                        <w:div w:id="692342707">
                          <w:marLeft w:val="0"/>
                          <w:marRight w:val="0"/>
                          <w:marTop w:val="0"/>
                          <w:marBottom w:val="0"/>
                          <w:divBdr>
                            <w:top w:val="none" w:sz="0" w:space="0" w:color="auto"/>
                            <w:left w:val="none" w:sz="0" w:space="0" w:color="auto"/>
                            <w:bottom w:val="none" w:sz="0" w:space="0" w:color="auto"/>
                            <w:right w:val="none" w:sz="0" w:space="0" w:color="auto"/>
                          </w:divBdr>
                          <w:divsChild>
                            <w:div w:id="22591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9406175">
      <w:bodyDiv w:val="1"/>
      <w:marLeft w:val="0"/>
      <w:marRight w:val="0"/>
      <w:marTop w:val="0"/>
      <w:marBottom w:val="0"/>
      <w:divBdr>
        <w:top w:val="none" w:sz="0" w:space="0" w:color="auto"/>
        <w:left w:val="none" w:sz="0" w:space="0" w:color="auto"/>
        <w:bottom w:val="none" w:sz="0" w:space="0" w:color="auto"/>
        <w:right w:val="none" w:sz="0" w:space="0" w:color="auto"/>
      </w:divBdr>
    </w:div>
    <w:div w:id="1981616109">
      <w:bodyDiv w:val="1"/>
      <w:marLeft w:val="0"/>
      <w:marRight w:val="0"/>
      <w:marTop w:val="0"/>
      <w:marBottom w:val="0"/>
      <w:divBdr>
        <w:top w:val="none" w:sz="0" w:space="0" w:color="auto"/>
        <w:left w:val="none" w:sz="0" w:space="0" w:color="auto"/>
        <w:bottom w:val="none" w:sz="0" w:space="0" w:color="auto"/>
        <w:right w:val="none" w:sz="0" w:space="0" w:color="auto"/>
      </w:divBdr>
      <w:divsChild>
        <w:div w:id="245463068">
          <w:marLeft w:val="0"/>
          <w:marRight w:val="0"/>
          <w:marTop w:val="0"/>
          <w:marBottom w:val="0"/>
          <w:divBdr>
            <w:top w:val="none" w:sz="0" w:space="0" w:color="auto"/>
            <w:left w:val="none" w:sz="0" w:space="0" w:color="auto"/>
            <w:bottom w:val="none" w:sz="0" w:space="0" w:color="auto"/>
            <w:right w:val="none" w:sz="0" w:space="0" w:color="auto"/>
          </w:divBdr>
          <w:divsChild>
            <w:div w:id="1172061272">
              <w:marLeft w:val="0"/>
              <w:marRight w:val="0"/>
              <w:marTop w:val="0"/>
              <w:marBottom w:val="0"/>
              <w:divBdr>
                <w:top w:val="none" w:sz="0" w:space="0" w:color="auto"/>
                <w:left w:val="none" w:sz="0" w:space="0" w:color="auto"/>
                <w:bottom w:val="none" w:sz="0" w:space="0" w:color="auto"/>
                <w:right w:val="none" w:sz="0" w:space="0" w:color="auto"/>
              </w:divBdr>
              <w:divsChild>
                <w:div w:id="1224295097">
                  <w:marLeft w:val="0"/>
                  <w:marRight w:val="0"/>
                  <w:marTop w:val="0"/>
                  <w:marBottom w:val="0"/>
                  <w:divBdr>
                    <w:top w:val="none" w:sz="0" w:space="0" w:color="auto"/>
                    <w:left w:val="none" w:sz="0" w:space="0" w:color="auto"/>
                    <w:bottom w:val="none" w:sz="0" w:space="0" w:color="auto"/>
                    <w:right w:val="none" w:sz="0" w:space="0" w:color="auto"/>
                  </w:divBdr>
                  <w:divsChild>
                    <w:div w:id="570045809">
                      <w:marLeft w:val="0"/>
                      <w:marRight w:val="0"/>
                      <w:marTop w:val="0"/>
                      <w:marBottom w:val="0"/>
                      <w:divBdr>
                        <w:top w:val="none" w:sz="0" w:space="0" w:color="auto"/>
                        <w:left w:val="none" w:sz="0" w:space="0" w:color="auto"/>
                        <w:bottom w:val="none" w:sz="0" w:space="0" w:color="auto"/>
                        <w:right w:val="none" w:sz="0" w:space="0" w:color="auto"/>
                      </w:divBdr>
                      <w:divsChild>
                        <w:div w:id="338388476">
                          <w:marLeft w:val="0"/>
                          <w:marRight w:val="0"/>
                          <w:marTop w:val="0"/>
                          <w:marBottom w:val="0"/>
                          <w:divBdr>
                            <w:top w:val="none" w:sz="0" w:space="0" w:color="auto"/>
                            <w:left w:val="none" w:sz="0" w:space="0" w:color="auto"/>
                            <w:bottom w:val="none" w:sz="0" w:space="0" w:color="auto"/>
                            <w:right w:val="none" w:sz="0" w:space="0" w:color="auto"/>
                          </w:divBdr>
                          <w:divsChild>
                            <w:div w:id="73243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9285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C7C349-D7C2-4CD1-8F73-AA0979E11B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Fernanda Garces Florez</dc:creator>
  <cp:keywords/>
  <dc:description/>
  <cp:lastModifiedBy>Especialista de Negocios Verdes</cp:lastModifiedBy>
  <cp:revision>2</cp:revision>
  <cp:lastPrinted>2026-03-10T12:18:00Z</cp:lastPrinted>
  <dcterms:created xsi:type="dcterms:W3CDTF">2026-03-18T03:24:00Z</dcterms:created>
  <dcterms:modified xsi:type="dcterms:W3CDTF">2026-03-18T03:24:00Z</dcterms:modified>
</cp:coreProperties>
</file>