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3.svg" ContentType="image/svg+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pPr>
      <w:r>
        <w:t>S5.3 — Carbono orgánico del suelo, metales pesados y salud edáfica: el biochar como agente integrador</w:t>
      </w:r>
    </w:p>
    <w:p>
      <w:pPr>
        <w:jc w:val="center"/>
      </w:pPr>
      <w:r>
        <w:rPr>
          <w:b/>
          <w:sz w:val="22"/>
        </w:rPr>
        <w:t>Módulo 05 | Sesión 5.3</w:t>
      </w:r>
    </w:p>
    <w:p>
      <w:pPr>
        <w:jc w:val="center"/>
      </w:pPr>
      <w:r>
        <w:rPr>
          <w:b/>
          <w:sz w:val="22"/>
        </w:rPr>
        <w:t>Coffee Biochar Academy — Lecturas Científicas Complementarias</w:t>
      </w:r>
    </w:p>
    <w:p>
      <w:pPr>
        <w:pStyle w:val="Ttulo2"/>
      </w:pPr>
      <w:r>
        <w:t>1. Introducción</w:t>
      </w:r>
    </w:p>
    <w:p>
      <w:pPr/>
      <w:r>
        <w:t>Las sesiones 5.1 y 5.2 analizaron los efectos del biochar sobre la disponibilidad de nutrientes y la retención de agua, respectivamente. La presente sesión aborda tres dimensiones que están estrechamente interrelacionadas y que completan la imagen del biochar como enmienda de suelo cafetero: su efecto sobre el stock de carbono orgánico del suelo (SOC) y su permanencia en el tiempo, su capacidad como sorbente de metales pesados y la gestión del riesgo de contaminantes, y su impacto sobre el microbioma edáfico como indicador integral de salud del suelo. Estas tres dimensiones son las que confieren al biochar su relevancia más profunda como estrategia de manejo: no solo mejora la nutrición mineral y la retención de agua de manera transitoria, sino que construye —cuando se aplica correctamente— una mejora duradera y estructural de la calidad del suelo que puede medirse en décadas.</w:t>
      </w:r>
    </w:p>
    <w:p>
      <w:pPr/>
      <w:r>
        <w:t>Para el extensionista cafetero colombiano, esta dimensión de largo plazo es también la más relevante para conectar el manejo de la finca con los mercados de carbono y la certificación. El biochar aplicado al suelo cafetero no es solo un fertilizante o un mejorador de suelos: es un sumidero de carbono verificable cuya permanencia en el tiempo —97% de su carbono en la fracción recalcitrante con tiempo de residencia de siglos— es la base física del valor climático que puede certificarse y monetizarse.</w:t>
      </w:r>
    </w:p>
    <w:p>
      <w:pPr>
        <w:spacing w:before="240"/>
        <w:jc w:val="center"/>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S5.3_SOC_dinamica.png"/>
                    <pic:cNvPicPr/>
                  </pic:nvPicPr>
                  <pic:blipFill>
                    <a:blip r:embed="rId12"/>
                    <a:stretch>
                      <a:fillRect/>
                    </a:stretch>
                  </pic:blipFill>
                  <pic:spPr>
                    <a:xfrm>
                      <a:off x="0" y="0"/>
                      <a:ext cx="5029200" cy="2743200"/>
                    </a:xfrm>
                    <a:prstGeom prst="rect"/>
                  </pic:spPr>
                </pic:pic>
              </a:graphicData>
            </a:graphic>
          </wp:inline>
        </w:drawing>
      </w:r>
    </w:p>
    <w:p>
      <w:pPr>
        <w:spacing w:after="280"/>
        <w:jc w:val="center"/>
      </w:pPr>
      <w:r>
        <w:rPr>
          <w:i/>
          <w:sz w:val="20"/>
        </w:rPr>
        <w:t>Figura 1. Dinámica del carbono orgánico del suelo con biochar: secuestro, priming effect y salud edáfica.</w:t>
      </w:r>
    </w:p>
    <w:p>
      <w:pPr>
        <w:pStyle w:val="Ttulo2"/>
      </w:pPr>
      <w:r>
        <w:t>2. Biochar y secuestración de carbono orgánico del suelo</w:t>
      </w:r>
    </w:p>
    <w:p>
      <w:pPr/>
      <w:r>
        <w:t>La aplicación de biochar al suelo genera un incremento cuantificable del stock de carbono orgánico del suelo (SOC), cuya magnitud depende de la dosis, el tipo de feedstock, la temperatura de pirólisis y las condiciones del suelo receptor. El meta-análisis más comprehensivo disponible sobre este tema, que integra 64 estudios con 736 tratamientos individuales de campo (duración de 1 a 10 años), encontró que la aplicación de biochar produce un incremento promedio de SOC de 13,0 Mg C/ha, equivalente a un +29% respecto al suelo control (Gross et al., 2021). La eficiencia de secuestro de carbono —definida como la fracción del carbono del biochar que permanece como SOC adicional en el suelo— se sitúa entre el 58 y el 66%, lo que significa que por cada tonelada de C contenida en el biochar, 0,58 a 0,66 toneladas permanecen en el suelo como carbono secuestrado. Esta eficiencia es mayor en suelos de baja fertilidad, que son precisamente los suelos cafeteros colombianos con mayor historial de degradación.</w:t>
      </w:r>
    </w:p>
    <w:p>
      <w:pPr/>
      <w:r>
        <w:t>La composición interna del C del biochar explica su excepcional permanencia en el suelo. Un meta-análisis con metodología de isótopos estables (¹³C y ¹⁴C) aplicado a 128 observaciones de 24 estudios determinó que el C del biochar se divide en dos pools claramente diferenciados: un pool lábil de pequeño tamaño (3% del C total) con un tiempo de residencia media de aproximadamente 108 días, y un pool recalcitrante de gran tamaño (97% del C total) con un tiempo de residencia media de aproximadamente 556 años (Wang et al., 2016). Este pool recalcitrante es el que sustenta las reclamaciones de permanencia del carbono en los mercados de créditos de biochar y en los estándares de certificación como el EBC-C-Sink y Puro.earth. La fracción recalcitrante del C del biochar —constituida fundamentalmente por anillos aromáticos policíclicos altamente condensados— es resistente a la degradación microbiana y a la oxidación química en condiciones de suelo normal, lo que la hace prácticamente equivalente, en términos de horizonte de tiempo climático, a un sumidero permanente.</w:t>
      </w:r>
    </w:p>
    <w:p>
      <w:pPr/>
      <w:r>
        <w:t>El mismo meta-análisis identificó un efecto adicional de gran importancia: el biochar produce un leve priming effect negativo sobre el SOC nativo, de −3,8% en promedio (Wang et al., 2016). Esto significa que el biochar no acelera la mineralización del carbono orgánico nativo del suelo —como lo haría, por ejemplo, la incorporación de materia orgánica lábil— sino que ligeramente la retarda. Este priming negativo es especialmente pronunciado en biochars de cultivo (−20,3%) y de baja temperatura de pirólisis (−18,5%), posiblemente porque la adsorción de exoenzimas microbianas en los poros del biochar reduce su actividad sobre la materia orgánica nativa. La excepción notable es la de los suelos arenosos con bajo SOC nativo, donde el biochar puede inducir un priming positivo fuerte (+20,8%) al estimular el metabolismo microbiano en suelos muy pobres en sustratos orgánicos. El extensionista que trabaja en fincas con suelos muy arenosos y degradados debe tener en cuenta este riesgo de estimulación de la mineralización del SOC nativo, y considerar la combinación del biochar con aportes de materia orgánica estabilizada para mitigarlo.</w:t>
      </w:r>
    </w:p>
    <w:p>
      <w:pPr>
        <w:pStyle w:val="Ttulo2"/>
      </w:pPr>
      <w:r>
        <w:t>3. El efecto del feedstock y la temperatura de pirólisis sobre el SOC y la salud edáfica</w:t>
      </w:r>
    </w:p>
    <w:p>
      <w:pPr/>
      <w:r>
        <w:t>Las propiedades del biochar que determinan su comportamiento en el suelo —contenido de C fijo, CIC, pH, área superficial, estabilidad— son función de la interacción entre el material de partida (feedstock) y la temperatura de pirólisis. Una síntesis de datos de 110 estudios confirmó que la temperatura de pirólisis es el predictor más poderoso de las propiedades del biochar: a mayor temperatura, mayor C fijo, mayor área BET, menor H/C, mayor pH del biochar, pero menor CIC, menor N total y menor rendimiento de biochar (Li et al., 2019). Para los feedstocks de subproductos de café —pulpa, cáscara de café pergamino, cascarilla—, el contenido de K es mayor y el H/C es menor que en biochars de madera a la misma temperatura, lo que hace de los biochars de café materiales con un perfil nutricional y un potencial liming superior al del biochar de madera estándar.</w:t>
      </w:r>
    </w:p>
    <w:p>
      <w:pPr/>
      <w:r>
        <w:t>La temperatura de pirólisis de 400–550°C, que caracteriza al horno Kon-Tiki bien operado, produce un balance óptimo entre estabilidad del C (suficiente para la certificación C-Sink, con H/C &lt; 0,7) y beneficios nutricionales y microbiológicos (CIC suficiente, pH moderadamente alcalino, menor destrucción de compuestos organominerales). Los biochars producidos por encima de 600°C tienen mayor estabilidad del C pero menor efecto sobre la disponibilidad de nutrientes y sobre la actividad microbiana del suelo, mientras que los producidos por debajo de 350°C —como los biochars de torrefacción— tienen mayor CIC pero menor permanencia del C y mayor susceptibilidad a la degradación microbiana, lo que compromete su valor para la certificación de secuestro de carbono.</w:t>
      </w:r>
    </w:p>
    <w:p>
      <w:pPr>
        <w:pStyle w:val="Ttulo2"/>
      </w:pPr>
      <w:r>
        <w:t>4. Biochar como sorbente de metales pesados: mecanismos y evidencia</w:t>
      </w:r>
    </w:p>
    <w:p>
      <w:pPr/>
      <w:r>
        <w:t>Los metales pesados —plomo (Pb), cadmio (Cd), cobre (Cu), zinc (Zn) y arsénico (As)— pueden acumularse en suelos agrícolas por deposición atmosférica, uso de plaguicidas (como los fungicidas cúpricos extensamente usados en el control de la roya del café), aguas de riego contaminadas o geoquímica natural. Aunque los suelos cafeteros colombianos no son generalmente áreas de contaminación industrial grave, la acumulación difusa de cobre por décadas de aplicaciones de fungicidas cúpricos es una realidad documentada que merece atención en el diseño de las estrategias de manejo a largo plazo.</w:t>
      </w:r>
    </w:p>
    <w:p>
      <w:pPr/>
      <w:r>
        <w:t>El biochar actúa como sorbente de metales pesados mediante cuatro mecanismos principales: adsorción física en los microporos por fuerzas de van der Waals, intercambio iónico en los grupos funcionales de carga negativa (–COOH, –OH), complejación superficial con los grupos –OH del biochar, y precipitación de metales como carbonatos y fosfatos insolubles favorecida por el pH elevado del biochar y sus cenizas (Beesley et al., 2011). La eficacia de estos mecanismos varía con el tipo de metal: los metales catiónicos como Pb, Cd, Cu y Zn son efectivamente inmovilizados por todos los mecanismos, mientras que el arsénico —que existe como anión AsO₄³⁻ en suelos bien aireados— tiene un comportamiento paradójico que requiere comprensión específica.</w:t>
      </w:r>
    </w:p>
    <w:p>
      <w:pPr/>
      <w:r>
        <w:t>Un meta-análisis de 1.298 observaciones independientes provenientes de 74 publicaciones cuantificó la reducción en la concentración de metales en el tejido vegetal de cultivos crecidos en suelos con biochar: la reducción promedio en la acumulación de Cd en la planta fue del −38%, de Pb del −39%, de Cu del −25% y de Zn del −17% (De Chen et al., 2018). Los biochars de estiércol resultaron más efectivos para reducir Cd y Pb que los biochars de madera o residuos agrícolas, probablemente por su mayor contenido de fosfato y calcio que favorecen la precipitación de los metales. El mayor pH y la mayor dosis de biochar correlacionaron con mayor reducción de la absorción metálica.</w:t>
      </w:r>
    </w:p>
    <w:p>
      <w:pPr/>
      <w:r>
        <w:t>Un meta-análisis posterior que incorporó el factor tiempo encontró que la dinámica de inmovilización cambia con el envejecimiento del biochar: a corto plazo (&lt; 1 año), la biodisponibilidad de metales se reduce en −18,6% en promedio; pero en el largo plazo, la inversión de esta tendencia es posible para algunos metales como Cd y Cu cuya eficacia de inmovilización disminuye con el tiempo (Rong et al., 2021). El riesgo más importante identificado por este estudio es el de suelos alcalinos (pH &gt; 8,0), donde la aplicación de biochar puede aumentar la biodisponibilidad de metales en un +149%, posiblemente por la competencia entre aniones del biochar y los oxianiones de metales por los sitios de adsorción en el suelo. Para los suelos cafeteros colombianos, que tienen pH predominantemente ácido a ligeramente ácido, este riesgo es limitado; sin embargo, en fincas donde el encalado excesivo haya elevado el pH por encima de 7,0, el extensionista debe monitorear la biodisponibilidad de metales antes de recomendar aplicaciones de biochar adicionales.</w:t>
      </w:r>
    </w:p>
    <w:p>
      <w:pPr>
        <w:pStyle w:val="Ttulo2"/>
      </w:pPr>
      <w:r>
        <w:t>5. La paradoja del arsénico: un caso especial de seguridad</w:t>
      </w:r>
    </w:p>
    <w:p>
      <w:pPr/>
      <w:r>
        <w:t>El arsénico merece una discusión separada porque su comportamiento en suelos tratados con biochar es contrario a la lógica de los metales catiónicos. La revisión fundacional de Beesley et al. (2011) identificó que el biochar puede aumentar la concentración de arsénico en el agua intersticial del suelo —el agua que rodea a las partículas del suelo y que está en contacto directo con las raíces— sin que esto se traduzca necesariamente en mayor absorción vegetal del arsénico. El mecanismo propuesto es que el biochar, al aumentar el pH del suelo, puede desorber el As⁵⁺ adsorbido en los óxidos de Fe/Al (que se disuelven parcialmente a pH más alto), liberándolo a la solución del suelo, mientras que simultáneamente puede proporcionar sitios alternativos de adsorción o precipitación que reducen la absorción radicular. Esta paradoja —más As en el agua del suelo pero menos As en la planta— tiene implicaciones para el monitoreo: el análisis de As solo en el suelo total o solo en la planta sin considerar el As en el agua intersticial puede ser engañoso.</w:t>
      </w:r>
    </w:p>
    <w:p>
      <w:pPr/>
      <w:r>
        <w:t>Para los suelos cafeteros colombianos, donde la concentración de As total es generalmente baja (por debajo de los umbrales de preocupación en la gran mayoría de las fincas), la paradoja del arsénico no constituye un riesgo inmediato. Sin embargo, en zonas con historia minera o geología rica en minerales arsenicales, la situación merece evaluación específica antes de recomendar aplicaciones de biochar que eleven el pH.</w:t>
      </w:r>
    </w:p>
    <w:p>
      <w:pPr>
        <w:pStyle w:val="Ttulo2"/>
      </w:pPr>
      <w:r>
        <w:t>6. El microbioma edáfico como indicador de salud: efectos del biochar sobre la biota</w:t>
      </w:r>
    </w:p>
    <w:p>
      <w:pPr/>
      <w:r>
        <w:t>El biochar ejerce efectos profundos sobre la biota del suelo, que actúa como el verdadero motor de la transformación de la materia orgánica, el ciclaje de nutrientes y la supresión de patógenos. El meta-análisis más comprehensivo disponible, que analiza 999 pares de datos de 194 estudios, encontró que el biochar aumenta significativamente la biomasa microbiana total del suelo, con efectos mayores cuando el biochar proviene de feedstocks nutriente-ricos y fue producido a baja temperatura (Li et al., 2020). El efecto sobre la diversidad microbiana es más variable: es mayor en suelos ácidos y arenosos con bajo SOC nativo, condiciones que nuevamente coinciden con las de muchas fincas cafeteras colombianas degradadas.</w:t>
      </w:r>
    </w:p>
    <w:p>
      <w:pPr/>
      <w:r>
        <w:t>Un meta-análisis de tres niveles que incorporó 3.899 observaciones de 24 variables microbianas de 61 estudios globales encontró que el biochar produce incrementos significativos en la actividad de enzimas del suelo que son indicadoras de la salud edáfica: la tasa de nitrificación potencial aumenta en +40,8%, las enzimas deshidrogenasa, celulasa, ureasa e invertasa aumentan en orden decreciente, y las emisiones de N₂O —indicadoras de procesos de desnitrificación indeseada— se reducen en −12,7% (Chen et al., 2023). Estos cambios enzimáticos tienen consecuencias directas sobre el ciclaje de carbono y nitrógeno en el suelo cafetero: una deshidrogenasa más activa indica mayor tasa de respiración aeróbica y mayor procesamiento de materia orgánica; una ureasa más activa indica mayor tasa de mineralización del nitrógeno orgánico; una fosfatasa ácida más activa indica mayor tasa de liberación de P orgánico.</w:t>
      </w:r>
    </w:p>
    <w:p>
      <w:pPr/>
      <w:r>
        <w:t xml:space="preserve">La revisión seminal de Lehmann et al. (2011) sobre los efectos del biochar en la biota del suelo identificó cuatro mecanismos principales de estimulación microbiana: la provisión de hábitat en los microporos (refugio para microorganismos contra la depredación y el dessecamiento), el efecto encalante que reduce la toxicidad de Al y Mn en suelos ácidos, la adsorción de compuestos inhibidores del metabolismo microbiano, y la provisión de carbono lábil inicial (3% del C del biochar) que actúa como sustrato energético en las primeras semanas tras la aplicación. Las micorrizas arbusculares (AMF) son estimuladas por el biochar en suelos ácidos, lo que conecta este efecto con los beneficios nutricionales descritos en la sesión 5.1. Los patógenos del suelo como </w:t>
      </w:r>
      <w:r>
        <w:rPr>
          <w:i/>
        </w:rPr>
        <w:t>Fusarium</w:t>
      </w:r>
      <w:r>
        <w:t xml:space="preserve"> y </w:t>
      </w:r>
      <w:r>
        <w:rPr>
          <w:i/>
        </w:rPr>
        <w:t>Rhizoctonia</w:t>
      </w:r>
      <w:r>
        <w:t xml:space="preserve"> pueden ser suprimidos por el biochar a través de cambios en la composición de la comunidad fúngica que desplazan competitivamente a los hongos patogénicos.</w:t>
      </w:r>
    </w:p>
    <w:p>
      <w:pPr>
        <w:pStyle w:val="Ttulo2"/>
      </w:pPr>
      <w:r>
        <w:t>7. Contaminantes en el biochar: PAH y gestión del riesgo</w:t>
      </w:r>
    </w:p>
    <w:p>
      <w:pPr/>
      <w:r>
        <w:t>Toda aplicación de biochar al suelo cafetero debe considerar la posibilidad de que el biochar contenga contaminantes orgánicos —principalmente hidrocarburos aromáticos policíclicos (PAH)— o metales procedentes del feedstock. En el caso de los PAH, los estándares de certificación EBC e IBI establecen un límite máximo de 12 mg/kg de PAH totales en el biochar. La evidencia disponible sobre biochars de pirólisis lenta bien operada —como la que se produce en el horno Kon-Tiki cuando se controla adecuadamente la temperatura— indica que las concentraciones de PAH totales se sitúan entre 0,07 y 3,27 mg/kg, muy por debajo del límite (Hale et al., 2012). Más aún, la biodisponibilidad de los PAH en el biochar es inferior al 2% del contenido total, porque la estructura carbonosa altamente condensada del biochar retiene a los PAH con fuerzas de sorción tan intensas que prácticamente los inmoviliza en forma no extractable por los organismos del suelo. Los feedstocks de alta lignina —como la madera y los residuos de café— producen biochars con menores concentraciones de PAH que los feedstocks de alta celulosa a la misma temperatura de pirólisis.</w:t>
      </w:r>
    </w:p>
    <w:p>
      <w:pPr/>
      <w:r>
        <w:t>El extensionista debe comunicar este perfil de riesgo con precisión a los productores: el biochar de subproductos de café producido en horno Kon-Tiki a temperaturas controladas de 450–550°C no representa un riesgo de contaminación por PAH bajo condiciones normales de operación. Sin embargo, los biochars producidos en condiciones de combustión incontrolada —quemas abiertas sin restricción de oxígeno— pueden acumular PAH en concentraciones significativamente mayores, por lo que la adherencia al protocolo de producción es una condición de seguridad y no solo de calidad del carbono.</w:t>
      </w:r>
    </w:p>
    <w:p>
      <w:pPr>
        <w:pStyle w:val="Ttulo2"/>
      </w:pPr>
      <w:r>
        <w:t>8. Implicaciones prácticas para el extensionista</w:t>
      </w:r>
    </w:p>
    <w:p>
      <w:pPr/>
      <w:r>
        <w:t>La comprensión integrada de los efectos del biochar sobre el SOC, los metales pesados y el microbioma edáfico permite al extensionista posicionar el biochar no como un insumo agrícola convencional sino como una estrategia de transformación duradera de la calidad del suelo. La primera implicación práctica es que los beneficios del biochar sobre la salud edáfica —incremento de la biomasa microbiana, estimulación de las AMF, activación de enzimas del ciclo del C y N— son evidentes en experimentos desde los primeros meses, pero su plena consolidación requiere un horizonte de varios años. El extensionista debe gestionar las expectativas del productor en función de este horizonte temporal.</w:t>
      </w:r>
    </w:p>
    <w:p>
      <w:pPr/>
      <w:r>
        <w:t>La segunda implicación práctica es la conexión directa entre la aplicación de biochar al suelo y la contabilidad de carbono para los mercados de créditos climáticos. El 97% del carbono del biochar tiene un tiempo de residencia media de 556 años (Wang et al., 2016), lo que satisface el criterio de permanencia de los principales estándares de certificación de biochar. El incremento promedio de SOC de 13,0 Mg C/ha en campo durante 1–10 años (Gross et al., 2021) es cuantificable mediante los protocolos dMRV que se estudian en el Módulo 06, y puede traducirse en créditos de carbono verificables que generan un flujo de ingresos adicional para el caficultor.</w:t>
      </w:r>
    </w:p>
    <w:p>
      <w:pPr/>
      <w:r>
        <w:t>La tercera implicación práctica es la seguridad: el biochar de subproductos de café producido con control de temperatura en horno artesanal tiene un perfil de PAH muy por debajo de los límites de seguridad (0,07–3,27 mg/kg vs. límite de 12 mg/kg, Hale et al., 2012), y su efecto sobre los metales pesados en suelos cafeteros ácidos es principalmente reductor de la absorción vegetal (−38% de Cd, −39% de Pb). Cuando el pH del suelo se mantiene en el rango ácido-neutro (5,5–7,0), no existen evidencias de removilización de metales por el biochar.</w:t>
      </w:r>
    </w:p>
    <w:p>
      <w:pPr/>
      <w:r>
        <w:t>La cuarta implicación práctica es la importancia del monitoreo del microbioma como indicador de salud del suelo. La deshidrogenasa, la FDA y la biomasa microbiana del carbono son los indicadores más sensibles al cambio de manejo y los más directamente influenciados por la aplicación de biochar. Su medición periódica —con una frecuencia bianual coordinada con el análisis convencional de suelos— permite al extensionista documentar la respuesta biológica del suelo a la aplicación de biochar y ajustar las dosis y la frecuencia de re-aplicación para mantener la trayectoria de mejora de la salud edáfica a largo plazo.</w:t>
      </w:r>
    </w:p>
    <w:p>
      <w:pPr>
        <w:pStyle w:val="Ttulo2"/>
      </w:pPr>
      <w:r>
        <w:t>9. Conclusión</w:t>
      </w:r>
    </w:p>
    <w:p>
      <w:pPr/>
      <w:r>
        <w:t>El biochar opera como un agente integrador de la salud edáfica del cafetal: incrementa el stock de carbono orgánico en 13,0 Mg C/ha de media (+29%) con un 97% del C en formas recalcitrantes con tiempo de residencia de siglos; inmoviliza metales catiónicos (Pb, Cd, Cu, Zn) reduciendo su absorción vegetal en un 17–39%; estimula el microbioma edáfico —incrementando la biomasa microbiana, la actividad enzimática y la diversidad de AMF— con beneficios directos sobre el ciclo de nutrientes y la supresión de patógenos; y presenta un perfil de seguridad en cuanto a PAH muy por debajo de los límites de los estándares internacionales de certificación, siempre que el proceso de pirólisis esté debidamente controlado. Estas propiedades, integradas con los efectos sobre la nutrición mineral y la retención de agua documentados en las sesiones anteriores, posicionan al biochar como una de las enmiendas de suelo con mayor relación beneficio-riesgo disponibles para la caficultura colombiana, especialmente en fincas con historial de degradación edáfica y como componente de estrategias de adaptación al cambio climático y de generación de ingresos por créditos de carbono.</w:t>
      </w:r>
    </w:p>
    <w:p>
      <w:pPr>
        <w:pStyle w:val="Ttulo2"/>
      </w:pPr>
      <w:r>
        <w:t>Referencias</w:t>
      </w:r>
    </w:p>
    <w:p>
      <w:pPr/>
      <w:r>
        <w:rPr>
          <w:sz w:val="20"/>
        </w:rPr>
        <w:t xml:space="preserve">Beesley, L., Moreno-Jiménez, E., Gomez-Eyles, J.L., Harris, E., Robinson, B., &amp; Sizmur, T. (2011). A review of biochars' potential role in the remediation, revegetation and restoration of contaminated soils. </w:t>
      </w:r>
      <w:r>
        <w:rPr>
          <w:i/>
          <w:sz w:val="20"/>
        </w:rPr>
        <w:t>Environmental Pollution</w:t>
      </w:r>
      <w:r>
        <w:rPr>
          <w:sz w:val="20"/>
        </w:rPr>
        <w:t>, 159(12), 3269–3282. https://doi.org/10.1016/j.envpol.2011.07.023</w:t>
      </w:r>
    </w:p>
    <w:p>
      <w:pPr/>
      <w:r>
        <w:rPr>
          <w:sz w:val="20"/>
        </w:rPr>
        <w:t xml:space="preserve">Chen, L., Li, F., Li, W., Ning, Q., Li, J., Zhang, J., Ma, D., &amp; Zhang, C. (2023). Microbial responses to biochar soil amendment and influential factors: A three-level meta-analysis. </w:t>
      </w:r>
      <w:r>
        <w:rPr>
          <w:i/>
          <w:sz w:val="20"/>
        </w:rPr>
        <w:t>Environmental Science &amp; Technology</w:t>
      </w:r>
      <w:r>
        <w:rPr>
          <w:sz w:val="20"/>
        </w:rPr>
        <w:t>, 57(48), 19838–19848. https://doi.org/10.1021/acs.est.3c04201</w:t>
      </w:r>
    </w:p>
    <w:p>
      <w:pPr/>
      <w:r>
        <w:rPr>
          <w:sz w:val="20"/>
        </w:rPr>
        <w:t xml:space="preserve">De Chen, D., Liu, X., Bian, R., Cheng, K., Zhang, X., Zheng, J., Joseph, S., Crowley, D., Pan, G., &amp; Li, L. (2018). Effects of biochar on availability and plant uptake of heavy metals — A meta-analysis. </w:t>
      </w:r>
      <w:r>
        <w:rPr>
          <w:i/>
          <w:sz w:val="20"/>
        </w:rPr>
        <w:t>Journal of Environmental Management</w:t>
      </w:r>
      <w:r>
        <w:rPr>
          <w:sz w:val="20"/>
        </w:rPr>
        <w:t>, 222, 76–85. https://doi.org/10.1016/j.jenvman.2018.05.004</w:t>
      </w:r>
    </w:p>
    <w:p>
      <w:pPr/>
      <w:r>
        <w:rPr>
          <w:sz w:val="20"/>
        </w:rPr>
        <w:t xml:space="preserve">Gross, A., Bromm, T., &amp; Glaser, B. (2021). Soil organic carbon sequestration after biochar application: A global meta-analysis. </w:t>
      </w:r>
      <w:r>
        <w:rPr>
          <w:i/>
          <w:sz w:val="20"/>
        </w:rPr>
        <w:t>Agronomy</w:t>
      </w:r>
      <w:r>
        <w:rPr>
          <w:sz w:val="20"/>
        </w:rPr>
        <w:t>, 11(12), 2474. https://doi.org/10.3390/agronomy11122474</w:t>
      </w:r>
    </w:p>
    <w:p>
      <w:pPr/>
      <w:r>
        <w:rPr>
          <w:sz w:val="20"/>
        </w:rPr>
        <w:t xml:space="preserve">Hale, S.E., Lehmann, J., Rutherford, D., Zimmerman, A.R., Bachmann, R.T., Shitumbanuma, V., O'Toole, A., Sundqvist, K.L., Arp, H.P.H., &amp; Cornelissen, G. (2012). Quantifying the total and bioavailable polycyclic aromatic hydrocarbons and dioxins in biochars. </w:t>
      </w:r>
      <w:r>
        <w:rPr>
          <w:i/>
          <w:sz w:val="20"/>
        </w:rPr>
        <w:t>Environmental Science &amp; Technology</w:t>
      </w:r>
      <w:r>
        <w:rPr>
          <w:sz w:val="20"/>
        </w:rPr>
        <w:t>, 46(5), 2830–2838. https://doi.org/10.1021/es203984k</w:t>
      </w:r>
    </w:p>
    <w:p>
      <w:pPr/>
      <w:r>
        <w:rPr>
          <w:sz w:val="20"/>
        </w:rPr>
        <w:t xml:space="preserve">Lehmann, J., Rillig, M.C., Thies, J., Masiello, C.A., Hockaday, W.C., &amp; Crowley, D. (2011). Biochar effects on soil biota — A review. </w:t>
      </w:r>
      <w:r>
        <w:rPr>
          <w:i/>
          <w:sz w:val="20"/>
        </w:rPr>
        <w:t>Soil Biology and Biochemistry</w:t>
      </w:r>
      <w:r>
        <w:rPr>
          <w:sz w:val="20"/>
        </w:rPr>
        <w:t>, 43(9), 1812–1836. https://doi.org/10.1016/j.soilbio.2011.04.022</w:t>
      </w:r>
    </w:p>
    <w:p>
      <w:pPr/>
      <w:r>
        <w:rPr>
          <w:sz w:val="20"/>
        </w:rPr>
        <w:t xml:space="preserve">Li, S., Harris, S., Anandhi, A., &amp; Chen, G. (2019). Predicting biochar properties and functions based on feedstock and pyrolysis temperature: A review and data synthesis. </w:t>
      </w:r>
      <w:r>
        <w:rPr>
          <w:i/>
          <w:sz w:val="20"/>
        </w:rPr>
        <w:t>Journal of Cleaner Production</w:t>
      </w:r>
      <w:r>
        <w:rPr>
          <w:sz w:val="20"/>
        </w:rPr>
        <w:t>, 215, 890–902. https://doi.org/10.1016/j.jclepro.2019.01.106</w:t>
      </w:r>
    </w:p>
    <w:p>
      <w:pPr/>
      <w:r>
        <w:rPr>
          <w:sz w:val="20"/>
        </w:rPr>
        <w:t xml:space="preserve">Li, Y., Hu, S., Chen, J., Müller, K., Li, Y., Fu, W., Lin, Z., &amp; Wang, H. (2020). Biochar increases soil microbial biomass but has variable effects on microbial diversity: A meta-analysis. </w:t>
      </w:r>
      <w:r>
        <w:rPr>
          <w:i/>
          <w:sz w:val="20"/>
        </w:rPr>
        <w:t>Science of The Total Environment</w:t>
      </w:r>
      <w:r>
        <w:rPr>
          <w:sz w:val="20"/>
        </w:rPr>
        <w:t>, 749, 141593. https://doi.org/10.1016/j.scitotenv.2020.141593</w:t>
      </w:r>
    </w:p>
    <w:p>
      <w:pPr/>
      <w:r>
        <w:rPr>
          <w:sz w:val="20"/>
        </w:rPr>
        <w:t xml:space="preserve">Rong, X., Chen, W., Huang, J., Deng, Q., &amp; Li, Y. (2021). Biochar ameliorates heavy metal toxicity by reducing bioavailability and bioaccumulation of heavy metals: A meta-analysis. </w:t>
      </w:r>
      <w:r>
        <w:rPr>
          <w:i/>
          <w:sz w:val="20"/>
        </w:rPr>
        <w:t>Science of The Total Environment</w:t>
      </w:r>
      <w:r>
        <w:rPr>
          <w:sz w:val="20"/>
        </w:rPr>
        <w:t>, 758, 144043. https://doi.org/10.1016/j.scitotenv.2020.144043</w:t>
      </w:r>
    </w:p>
    <w:p>
      <w:pPr/>
      <w:r>
        <w:rPr>
          <w:sz w:val="20"/>
        </w:rPr>
        <w:t xml:space="preserve">Wang, J., Xiong, Z., &amp; Kuzyakov, Y. (2016). Biochar stability in soil: Meta-analysis of decomposition and priming effects. </w:t>
      </w:r>
      <w:r>
        <w:rPr>
          <w:i/>
          <w:sz w:val="20"/>
        </w:rPr>
        <w:t>GCB Bioenergy</w:t>
      </w:r>
      <w:r>
        <w:rPr>
          <w:sz w:val="20"/>
        </w:rPr>
        <w:t>, 8(3), 512–523. https://doi.org/10.1111/gcbb.12266</w:t>
      </w:r>
    </w:p>
    <w:sectPr w:rsidR="002D0DE0" w:rsidRPr="00E5598A">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90CB6" w14:textId="77777777" w:rsidR="0086708B" w:rsidRDefault="0086708B" w:rsidP="0041317C">
      <w:pPr>
        <w:spacing w:after="0" w:line="240" w:lineRule="auto"/>
      </w:pPr>
      <w:r>
        <w:separator/>
      </w:r>
    </w:p>
  </w:endnote>
  <w:endnote w:type="continuationSeparator" w:id="0">
    <w:p w14:paraId="7989FA68" w14:textId="77777777" w:rsidR="0086708B" w:rsidRDefault="0086708B" w:rsidP="00413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00FD" w14:textId="77777777" w:rsidR="00FA26DE" w:rsidRDefault="00FA26DE" w:rsidP="00D30CCE">
    <w:pPr>
      <w:pStyle w:val="Piedepgina"/>
      <w:jc w:val="both"/>
    </w:pPr>
  </w:p>
  <w:p w14:paraId="4CFB54A2" w14:textId="77777777" w:rsidR="00FA26DE" w:rsidRDefault="00FA26DE" w:rsidP="00D30CCE">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8AC96" w14:textId="77777777" w:rsidR="0086708B" w:rsidRDefault="0086708B" w:rsidP="0041317C">
      <w:pPr>
        <w:spacing w:after="0" w:line="240" w:lineRule="auto"/>
      </w:pPr>
      <w:r>
        <w:separator/>
      </w:r>
    </w:p>
  </w:footnote>
  <w:footnote w:type="continuationSeparator" w:id="0">
    <w:p w14:paraId="6303386A" w14:textId="77777777" w:rsidR="0086708B" w:rsidRDefault="0086708B" w:rsidP="00413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3827" w14:textId="453B43C1" w:rsidR="00402EEA" w:rsidRDefault="00402EEA">
    <w:pPr>
      <w:pStyle w:val="Encabezado"/>
      <w:rPr>
        <w:noProof/>
      </w:rPr>
    </w:pPr>
    <w:r>
      <w:rPr>
        <w:noProof/>
      </w:rPr>
      <w:drawing>
        <wp:anchor distT="0" distB="0" distL="114300" distR="114300" simplePos="0" relativeHeight="251661312" behindDoc="0" locked="0" layoutInCell="1" allowOverlap="1" wp14:anchorId="7FFA32BC" wp14:editId="4CDE92AA">
          <wp:simplePos x="0" y="0"/>
          <wp:positionH relativeFrom="page">
            <wp:align>left</wp:align>
          </wp:positionH>
          <wp:positionV relativeFrom="paragraph">
            <wp:posOffset>-450215</wp:posOffset>
          </wp:positionV>
          <wp:extent cx="8479790" cy="1581150"/>
          <wp:effectExtent l="0" t="0" r="0" b="0"/>
          <wp:wrapNone/>
          <wp:docPr id="653850179" name="Imagen 6"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0179" name="Imagen 6" descr="Imagen que contiene Icon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t="9572" b="9400"/>
                  <a:stretch/>
                </pic:blipFill>
                <pic:spPr bwMode="auto">
                  <a:xfrm>
                    <a:off x="0" y="0"/>
                    <a:ext cx="8479790" cy="1581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507018" w14:textId="1F1D11A1" w:rsidR="00402EEA" w:rsidRDefault="00402EEA">
    <w:pPr>
      <w:pStyle w:val="Encabezado"/>
      <w:rPr>
        <w:noProof/>
      </w:rPr>
    </w:pPr>
    <w:r w:rsidRPr="00FA26DE">
      <w:rPr>
        <w:noProof/>
      </w:rPr>
      <w:drawing>
        <wp:anchor distT="0" distB="0" distL="114300" distR="114300" simplePos="0" relativeHeight="251665408" behindDoc="0" locked="0" layoutInCell="1" allowOverlap="1" wp14:anchorId="5403509B" wp14:editId="7F953FBE">
          <wp:simplePos x="0" y="0"/>
          <wp:positionH relativeFrom="column">
            <wp:posOffset>-286385</wp:posOffset>
          </wp:positionH>
          <wp:positionV relativeFrom="paragraph">
            <wp:posOffset>138430</wp:posOffset>
          </wp:positionV>
          <wp:extent cx="2806700" cy="579120"/>
          <wp:effectExtent l="0" t="0" r="0" b="0"/>
          <wp:wrapSquare wrapText="bothSides"/>
          <wp:docPr id="2" name="Gráfico 1">
            <a:extLst xmlns:a="http://schemas.openxmlformats.org/drawingml/2006/main">
              <a:ext uri="{FF2B5EF4-FFF2-40B4-BE49-F238E27FC236}">
                <a16:creationId xmlns:a16="http://schemas.microsoft.com/office/drawing/2014/main" id="{A591B23B-BE02-1817-6F9F-A490BA8DA8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1">
                    <a:extLst>
                      <a:ext uri="{FF2B5EF4-FFF2-40B4-BE49-F238E27FC236}">
                        <a16:creationId xmlns:a16="http://schemas.microsoft.com/office/drawing/2014/main" id="{A591B23B-BE02-1817-6F9F-A490BA8DA82D}"/>
                      </a:ext>
                    </a:extLst>
                  </pic:cNvPr>
                  <pic:cNvPicPr>
                    <a:picLocks noChangeAspect="1"/>
                  </pic:cNvPicPr>
                </pic:nvPicPr>
                <pic:blipFill rotWithShape="1">
                  <a:blip r:embed="rId2">
                    <a:extLst>
                      <a:ext uri="{96DAC541-7B7A-43D3-8B79-37D633B846F1}">
                        <asvg:svgBlip xmlns:asvg="http://schemas.microsoft.com/office/drawing/2016/SVG/main" r:embed="rId3"/>
                      </a:ext>
                    </a:extLst>
                  </a:blip>
                  <a:srcRect b="27652"/>
                  <a:stretch/>
                </pic:blipFill>
                <pic:spPr>
                  <a:xfrm>
                    <a:off x="0" y="0"/>
                    <a:ext cx="2806700" cy="57912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25E91C01" wp14:editId="667EFD72">
              <wp:simplePos x="0" y="0"/>
              <wp:positionH relativeFrom="column">
                <wp:posOffset>43815</wp:posOffset>
              </wp:positionH>
              <wp:positionV relativeFrom="paragraph">
                <wp:posOffset>52070</wp:posOffset>
              </wp:positionV>
              <wp:extent cx="2774950" cy="1066800"/>
              <wp:effectExtent l="0" t="0" r="6350" b="0"/>
              <wp:wrapNone/>
              <wp:docPr id="262655175" name="Rectángulo 1"/>
              <wp:cNvGraphicFramePr/>
              <a:graphic xmlns:a="http://schemas.openxmlformats.org/drawingml/2006/main">
                <a:graphicData uri="http://schemas.microsoft.com/office/word/2010/wordprocessingShape">
                  <wps:wsp>
                    <wps:cNvSpPr/>
                    <wps:spPr>
                      <a:xfrm>
                        <a:off x="0" y="0"/>
                        <a:ext cx="2774950" cy="1066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6D6476" id="Rectángulo 1" o:spid="_x0000_s1026" style="position:absolute;margin-left:3.45pt;margin-top:4.1pt;width:218.5pt;height:8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" fillcolor="white [3212]" stroked="f" strokeweight="1pt"/>
          </w:pict>
        </mc:Fallback>
      </mc:AlternateContent>
    </w:r>
  </w:p>
  <w:p w14:paraId="2ED82A95" w14:textId="40EFD18B" w:rsidR="00402EEA" w:rsidRDefault="00402EEA">
    <w:pPr>
      <w:pStyle w:val="Encabezado"/>
      <w:rPr>
        <w:noProof/>
      </w:rPr>
    </w:pPr>
  </w:p>
  <w:p w14:paraId="5FFB8176" w14:textId="0954D3CA" w:rsidR="00402EEA" w:rsidRDefault="00402EEA">
    <w:pPr>
      <w:pStyle w:val="Encabezado"/>
      <w:rPr>
        <w:noProof/>
      </w:rPr>
    </w:pPr>
  </w:p>
  <w:p w14:paraId="47B45BF6" w14:textId="1249308A" w:rsidR="00402EEA" w:rsidRDefault="00402EEA">
    <w:pPr>
      <w:pStyle w:val="Encabezado"/>
      <w:rPr>
        <w:noProof/>
      </w:rPr>
    </w:pPr>
  </w:p>
  <w:p w14:paraId="33E54A46" w14:textId="26CE79D5" w:rsidR="00402EEA" w:rsidRDefault="00402EEA">
    <w:pPr>
      <w:pStyle w:val="Encabezado"/>
      <w:rPr>
        <w:noProof/>
      </w:rPr>
    </w:pPr>
  </w:p>
  <w:p w14:paraId="270C5F11" w14:textId="00DB1A6B" w:rsidR="00402EEA" w:rsidRDefault="00402EEA">
    <w:pPr>
      <w:pStyle w:val="Encabezado"/>
      <w:rPr>
        <w:noProof/>
      </w:rPr>
    </w:pPr>
  </w:p>
  <w:p w14:paraId="1A0D8163" w14:textId="12EE0276" w:rsidR="004D4661" w:rsidRDefault="004D4661">
    <w:pPr>
      <w:pStyle w:val="Encabezado"/>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71C6"/>
    <w:multiLevelType w:val="multilevel"/>
    <w:tmpl w:val="009E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D7A"/>
    <w:multiLevelType w:val="hybridMultilevel"/>
    <w:tmpl w:val="CC9274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2D36E8D"/>
    <w:multiLevelType w:val="multilevel"/>
    <w:tmpl w:val="BB9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005DF"/>
    <w:multiLevelType w:val="hybridMultilevel"/>
    <w:tmpl w:val="C70839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7D05DA"/>
    <w:multiLevelType w:val="hybridMultilevel"/>
    <w:tmpl w:val="D6CAAF50"/>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5" w15:restartNumberingAfterBreak="0">
    <w:nsid w:val="15910741"/>
    <w:multiLevelType w:val="hybridMultilevel"/>
    <w:tmpl w:val="EBEA045C"/>
    <w:lvl w:ilvl="0" w:tplc="B9104536">
      <w:start w:val="1"/>
      <w:numFmt w:val="bullet"/>
      <w:lvlText w:val="•"/>
      <w:lvlJc w:val="left"/>
      <w:pPr>
        <w:ind w:left="720" w:hanging="360"/>
      </w:pPr>
    </w:lvl>
    <w:lvl w:ilvl="1" w:tplc="A4B43D3E">
      <w:start w:val="1"/>
      <w:numFmt w:val="bullet"/>
      <w:lvlText w:val="◦"/>
      <w:lvlJc w:val="left"/>
      <w:pPr>
        <w:ind w:left="1080" w:hanging="360"/>
      </w:pPr>
    </w:lvl>
    <w:lvl w:ilvl="2" w:tplc="E5AE084C">
      <w:numFmt w:val="decimal"/>
      <w:lvlText w:val=""/>
      <w:lvlJc w:val="left"/>
    </w:lvl>
    <w:lvl w:ilvl="3" w:tplc="C0726892">
      <w:numFmt w:val="decimal"/>
      <w:lvlText w:val=""/>
      <w:lvlJc w:val="left"/>
    </w:lvl>
    <w:lvl w:ilvl="4" w:tplc="0794283E">
      <w:numFmt w:val="decimal"/>
      <w:lvlText w:val=""/>
      <w:lvlJc w:val="left"/>
    </w:lvl>
    <w:lvl w:ilvl="5" w:tplc="5ABC6F02">
      <w:numFmt w:val="decimal"/>
      <w:lvlText w:val=""/>
      <w:lvlJc w:val="left"/>
    </w:lvl>
    <w:lvl w:ilvl="6" w:tplc="04EAD4CC">
      <w:numFmt w:val="decimal"/>
      <w:lvlText w:val=""/>
      <w:lvlJc w:val="left"/>
    </w:lvl>
    <w:lvl w:ilvl="7" w:tplc="3C4EE3CE">
      <w:numFmt w:val="decimal"/>
      <w:lvlText w:val=""/>
      <w:lvlJc w:val="left"/>
    </w:lvl>
    <w:lvl w:ilvl="8" w:tplc="130E8394">
      <w:numFmt w:val="decimal"/>
      <w:lvlText w:val=""/>
      <w:lvlJc w:val="left"/>
    </w:lvl>
  </w:abstractNum>
  <w:abstractNum w:abstractNumId="6" w15:restartNumberingAfterBreak="0">
    <w:nsid w:val="16D779CD"/>
    <w:multiLevelType w:val="multilevel"/>
    <w:tmpl w:val="136E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96D31"/>
    <w:multiLevelType w:val="hybridMultilevel"/>
    <w:tmpl w:val="86ACFC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84D7273"/>
    <w:multiLevelType w:val="hybridMultilevel"/>
    <w:tmpl w:val="D74029CA"/>
    <w:lvl w:ilvl="0" w:tplc="AE0C7FEC">
      <w:start w:val="1"/>
      <w:numFmt w:val="bullet"/>
      <w:lvlText w:val="•"/>
      <w:lvlJc w:val="left"/>
      <w:pPr>
        <w:ind w:left="720" w:hanging="360"/>
      </w:pPr>
    </w:lvl>
    <w:lvl w:ilvl="1" w:tplc="F606F7E0">
      <w:start w:val="1"/>
      <w:numFmt w:val="bullet"/>
      <w:lvlText w:val="◦"/>
      <w:lvlJc w:val="left"/>
      <w:pPr>
        <w:ind w:left="1080" w:hanging="360"/>
      </w:pPr>
    </w:lvl>
    <w:lvl w:ilvl="2" w:tplc="DD907A10">
      <w:numFmt w:val="decimal"/>
      <w:lvlText w:val=""/>
      <w:lvlJc w:val="left"/>
    </w:lvl>
    <w:lvl w:ilvl="3" w:tplc="34D8AB96">
      <w:numFmt w:val="decimal"/>
      <w:lvlText w:val=""/>
      <w:lvlJc w:val="left"/>
    </w:lvl>
    <w:lvl w:ilvl="4" w:tplc="281AC9B2">
      <w:numFmt w:val="decimal"/>
      <w:lvlText w:val=""/>
      <w:lvlJc w:val="left"/>
    </w:lvl>
    <w:lvl w:ilvl="5" w:tplc="6A76B4A6">
      <w:numFmt w:val="decimal"/>
      <w:lvlText w:val=""/>
      <w:lvlJc w:val="left"/>
    </w:lvl>
    <w:lvl w:ilvl="6" w:tplc="D5ACB2FE">
      <w:numFmt w:val="decimal"/>
      <w:lvlText w:val=""/>
      <w:lvlJc w:val="left"/>
    </w:lvl>
    <w:lvl w:ilvl="7" w:tplc="32AE932E">
      <w:numFmt w:val="decimal"/>
      <w:lvlText w:val=""/>
      <w:lvlJc w:val="left"/>
    </w:lvl>
    <w:lvl w:ilvl="8" w:tplc="EB303C1A">
      <w:numFmt w:val="decimal"/>
      <w:lvlText w:val=""/>
      <w:lvlJc w:val="left"/>
    </w:lvl>
  </w:abstractNum>
  <w:abstractNum w:abstractNumId="9" w15:restartNumberingAfterBreak="0">
    <w:nsid w:val="19742ED4"/>
    <w:multiLevelType w:val="multilevel"/>
    <w:tmpl w:val="5B6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7226D"/>
    <w:multiLevelType w:val="multilevel"/>
    <w:tmpl w:val="E52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905CB"/>
    <w:multiLevelType w:val="hybridMultilevel"/>
    <w:tmpl w:val="FCEE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0B501F0"/>
    <w:multiLevelType w:val="hybridMultilevel"/>
    <w:tmpl w:val="1EC603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2D32284"/>
    <w:multiLevelType w:val="multilevel"/>
    <w:tmpl w:val="C06E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27E47"/>
    <w:multiLevelType w:val="multilevel"/>
    <w:tmpl w:val="176AB3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91A0075"/>
    <w:multiLevelType w:val="hybridMultilevel"/>
    <w:tmpl w:val="481E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30159D2"/>
    <w:multiLevelType w:val="hybridMultilevel"/>
    <w:tmpl w:val="2F9615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E6295D"/>
    <w:multiLevelType w:val="hybridMultilevel"/>
    <w:tmpl w:val="32BA6B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B70648F"/>
    <w:multiLevelType w:val="hybridMultilevel"/>
    <w:tmpl w:val="0E1EE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8F06556"/>
    <w:multiLevelType w:val="multilevel"/>
    <w:tmpl w:val="E0C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E2A38"/>
    <w:multiLevelType w:val="multilevel"/>
    <w:tmpl w:val="D2F4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67E73"/>
    <w:multiLevelType w:val="hybridMultilevel"/>
    <w:tmpl w:val="8EF003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56DC0165"/>
    <w:multiLevelType w:val="hybridMultilevel"/>
    <w:tmpl w:val="70CEFB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83D6485"/>
    <w:multiLevelType w:val="multilevel"/>
    <w:tmpl w:val="203E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21EAC"/>
    <w:multiLevelType w:val="hybridMultilevel"/>
    <w:tmpl w:val="14F44788"/>
    <w:lvl w:ilvl="0" w:tplc="1DCA13AC">
      <w:start w:val="1"/>
      <w:numFmt w:val="decimal"/>
      <w:lvlText w:val="%1."/>
      <w:lvlJc w:val="left"/>
      <w:pPr>
        <w:ind w:left="345" w:hanging="360"/>
      </w:pPr>
      <w:rPr>
        <w:b/>
      </w:rPr>
    </w:lvl>
    <w:lvl w:ilvl="1" w:tplc="240A0019">
      <w:start w:val="1"/>
      <w:numFmt w:val="lowerLetter"/>
      <w:lvlText w:val="%2."/>
      <w:lvlJc w:val="left"/>
      <w:pPr>
        <w:ind w:left="1065" w:hanging="360"/>
      </w:pPr>
    </w:lvl>
    <w:lvl w:ilvl="2" w:tplc="240A001B">
      <w:start w:val="1"/>
      <w:numFmt w:val="lowerRoman"/>
      <w:lvlText w:val="%3."/>
      <w:lvlJc w:val="right"/>
      <w:pPr>
        <w:ind w:left="1785" w:hanging="180"/>
      </w:pPr>
    </w:lvl>
    <w:lvl w:ilvl="3" w:tplc="240A000F">
      <w:start w:val="1"/>
      <w:numFmt w:val="decimal"/>
      <w:lvlText w:val="%4."/>
      <w:lvlJc w:val="left"/>
      <w:pPr>
        <w:ind w:left="2505" w:hanging="360"/>
      </w:pPr>
    </w:lvl>
    <w:lvl w:ilvl="4" w:tplc="240A0019">
      <w:start w:val="1"/>
      <w:numFmt w:val="lowerLetter"/>
      <w:lvlText w:val="%5."/>
      <w:lvlJc w:val="left"/>
      <w:pPr>
        <w:ind w:left="3225" w:hanging="360"/>
      </w:pPr>
    </w:lvl>
    <w:lvl w:ilvl="5" w:tplc="240A001B">
      <w:start w:val="1"/>
      <w:numFmt w:val="lowerRoman"/>
      <w:lvlText w:val="%6."/>
      <w:lvlJc w:val="right"/>
      <w:pPr>
        <w:ind w:left="3945" w:hanging="180"/>
      </w:pPr>
    </w:lvl>
    <w:lvl w:ilvl="6" w:tplc="240A000F">
      <w:start w:val="1"/>
      <w:numFmt w:val="decimal"/>
      <w:lvlText w:val="%7."/>
      <w:lvlJc w:val="left"/>
      <w:pPr>
        <w:ind w:left="4665" w:hanging="360"/>
      </w:pPr>
    </w:lvl>
    <w:lvl w:ilvl="7" w:tplc="240A0019">
      <w:start w:val="1"/>
      <w:numFmt w:val="lowerLetter"/>
      <w:lvlText w:val="%8."/>
      <w:lvlJc w:val="left"/>
      <w:pPr>
        <w:ind w:left="5385" w:hanging="360"/>
      </w:pPr>
    </w:lvl>
    <w:lvl w:ilvl="8" w:tplc="240A001B">
      <w:start w:val="1"/>
      <w:numFmt w:val="lowerRoman"/>
      <w:lvlText w:val="%9."/>
      <w:lvlJc w:val="right"/>
      <w:pPr>
        <w:ind w:left="6105" w:hanging="180"/>
      </w:pPr>
    </w:lvl>
  </w:abstractNum>
  <w:abstractNum w:abstractNumId="25" w15:restartNumberingAfterBreak="0">
    <w:nsid w:val="5E023988"/>
    <w:multiLevelType w:val="hybridMultilevel"/>
    <w:tmpl w:val="A09E7E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E9E0E29"/>
    <w:multiLevelType w:val="hybridMultilevel"/>
    <w:tmpl w:val="BCFE03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FA1692C"/>
    <w:multiLevelType w:val="hybridMultilevel"/>
    <w:tmpl w:val="F25C78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5B221DA"/>
    <w:multiLevelType w:val="hybridMultilevel"/>
    <w:tmpl w:val="DE305E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6E83146"/>
    <w:multiLevelType w:val="hybridMultilevel"/>
    <w:tmpl w:val="4AEC96B2"/>
    <w:lvl w:ilvl="0" w:tplc="565EA76C">
      <w:start w:val="2"/>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7B44415"/>
    <w:multiLevelType w:val="multilevel"/>
    <w:tmpl w:val="403A54BE"/>
    <w:lvl w:ilvl="0">
      <w:start w:val="1"/>
      <w:numFmt w:val="decimal"/>
      <w:lvlText w:val="%1."/>
      <w:lvlJc w:val="left"/>
      <w:pPr>
        <w:ind w:left="345" w:hanging="360"/>
      </w:pPr>
      <w:rPr>
        <w:b/>
      </w:rPr>
    </w:lvl>
    <w:lvl w:ilvl="1">
      <w:start w:val="1"/>
      <w:numFmt w:val="decimal"/>
      <w:lvlText w:val="%1.%2"/>
      <w:lvlJc w:val="left"/>
      <w:pPr>
        <w:ind w:left="1116" w:hanging="396"/>
      </w:pPr>
    </w:lvl>
    <w:lvl w:ilvl="2">
      <w:start w:val="1"/>
      <w:numFmt w:val="decimal"/>
      <w:lvlText w:val="%1.%2.%3"/>
      <w:lvlJc w:val="left"/>
      <w:pPr>
        <w:ind w:left="2175" w:hanging="720"/>
      </w:pPr>
    </w:lvl>
    <w:lvl w:ilvl="3">
      <w:start w:val="1"/>
      <w:numFmt w:val="decimal"/>
      <w:lvlText w:val="%1.%2.%3.%4"/>
      <w:lvlJc w:val="left"/>
      <w:pPr>
        <w:ind w:left="3270" w:hanging="1080"/>
      </w:pPr>
    </w:lvl>
    <w:lvl w:ilvl="4">
      <w:start w:val="1"/>
      <w:numFmt w:val="decimal"/>
      <w:lvlText w:val="%1.%2.%3.%4.%5"/>
      <w:lvlJc w:val="left"/>
      <w:pPr>
        <w:ind w:left="4005" w:hanging="1080"/>
      </w:pPr>
    </w:lvl>
    <w:lvl w:ilvl="5">
      <w:start w:val="1"/>
      <w:numFmt w:val="decimal"/>
      <w:lvlText w:val="%1.%2.%3.%4.%5.%6"/>
      <w:lvlJc w:val="left"/>
      <w:pPr>
        <w:ind w:left="5100" w:hanging="1440"/>
      </w:pPr>
    </w:lvl>
    <w:lvl w:ilvl="6">
      <w:start w:val="1"/>
      <w:numFmt w:val="decimal"/>
      <w:lvlText w:val="%1.%2.%3.%4.%5.%6.%7"/>
      <w:lvlJc w:val="left"/>
      <w:pPr>
        <w:ind w:left="5835" w:hanging="1440"/>
      </w:pPr>
    </w:lvl>
    <w:lvl w:ilvl="7">
      <w:start w:val="1"/>
      <w:numFmt w:val="decimal"/>
      <w:lvlText w:val="%1.%2.%3.%4.%5.%6.%7.%8"/>
      <w:lvlJc w:val="left"/>
      <w:pPr>
        <w:ind w:left="6930" w:hanging="1800"/>
      </w:pPr>
    </w:lvl>
    <w:lvl w:ilvl="8">
      <w:start w:val="1"/>
      <w:numFmt w:val="decimal"/>
      <w:lvlText w:val="%1.%2.%3.%4.%5.%6.%7.%8.%9"/>
      <w:lvlJc w:val="left"/>
      <w:pPr>
        <w:ind w:left="7665" w:hanging="1800"/>
      </w:pPr>
    </w:lvl>
  </w:abstractNum>
  <w:abstractNum w:abstractNumId="31" w15:restartNumberingAfterBreak="0">
    <w:nsid w:val="6B5F72F7"/>
    <w:multiLevelType w:val="hybridMultilevel"/>
    <w:tmpl w:val="45D424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10F27F3"/>
    <w:multiLevelType w:val="hybridMultilevel"/>
    <w:tmpl w:val="09FECB9C"/>
    <w:lvl w:ilvl="0" w:tplc="15ACDB8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2DB12C7"/>
    <w:multiLevelType w:val="hybridMultilevel"/>
    <w:tmpl w:val="7166F6FC"/>
    <w:lvl w:ilvl="0" w:tplc="FC666F76">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4FA7014"/>
    <w:multiLevelType w:val="hybridMultilevel"/>
    <w:tmpl w:val="12FEF3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9172F57"/>
    <w:multiLevelType w:val="hybridMultilevel"/>
    <w:tmpl w:val="90601CDC"/>
    <w:lvl w:ilvl="0" w:tplc="0C0A0001">
      <w:start w:val="1"/>
      <w:numFmt w:val="bullet"/>
      <w:lvlText w:val=""/>
      <w:lvlJc w:val="left"/>
      <w:pPr>
        <w:ind w:left="1800" w:hanging="360"/>
      </w:pPr>
      <w:rPr>
        <w:rFonts w:ascii="Symbol" w:hAnsi="Symbol" w:hint="default"/>
      </w:rPr>
    </w:lvl>
    <w:lvl w:ilvl="1" w:tplc="0C0A0003">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6" w15:restartNumberingAfterBreak="0">
    <w:nsid w:val="7940572B"/>
    <w:multiLevelType w:val="hybridMultilevel"/>
    <w:tmpl w:val="9646A8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C064BEB"/>
    <w:multiLevelType w:val="multilevel"/>
    <w:tmpl w:val="758E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869EE"/>
    <w:multiLevelType w:val="hybridMultilevel"/>
    <w:tmpl w:val="60EEE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07614694">
    <w:abstractNumId w:val="33"/>
  </w:num>
  <w:num w:numId="2" w16cid:durableId="775253399">
    <w:abstractNumId w:val="32"/>
  </w:num>
  <w:num w:numId="3" w16cid:durableId="629017148">
    <w:abstractNumId w:val="7"/>
  </w:num>
  <w:num w:numId="4" w16cid:durableId="177499787">
    <w:abstractNumId w:val="29"/>
  </w:num>
  <w:num w:numId="5" w16cid:durableId="11712137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379090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5424215">
    <w:abstractNumId w:val="14"/>
  </w:num>
  <w:num w:numId="8" w16cid:durableId="429814543">
    <w:abstractNumId w:val="27"/>
  </w:num>
  <w:num w:numId="9" w16cid:durableId="1413549429">
    <w:abstractNumId w:val="35"/>
  </w:num>
  <w:num w:numId="10" w16cid:durableId="806892437">
    <w:abstractNumId w:val="4"/>
  </w:num>
  <w:num w:numId="11" w16cid:durableId="1911648920">
    <w:abstractNumId w:val="34"/>
  </w:num>
  <w:num w:numId="12" w16cid:durableId="227764586">
    <w:abstractNumId w:val="28"/>
  </w:num>
  <w:num w:numId="13" w16cid:durableId="981958313">
    <w:abstractNumId w:val="25"/>
  </w:num>
  <w:num w:numId="14" w16cid:durableId="301233863">
    <w:abstractNumId w:val="1"/>
  </w:num>
  <w:num w:numId="15" w16cid:durableId="1454010568">
    <w:abstractNumId w:val="38"/>
  </w:num>
  <w:num w:numId="16" w16cid:durableId="426999590">
    <w:abstractNumId w:val="17"/>
  </w:num>
  <w:num w:numId="17" w16cid:durableId="966275560">
    <w:abstractNumId w:val="22"/>
  </w:num>
  <w:num w:numId="18" w16cid:durableId="629675810">
    <w:abstractNumId w:val="12"/>
  </w:num>
  <w:num w:numId="19" w16cid:durableId="835611515">
    <w:abstractNumId w:val="3"/>
  </w:num>
  <w:num w:numId="20" w16cid:durableId="1939677144">
    <w:abstractNumId w:val="26"/>
  </w:num>
  <w:num w:numId="21" w16cid:durableId="1870145726">
    <w:abstractNumId w:val="16"/>
  </w:num>
  <w:num w:numId="22" w16cid:durableId="2071613154">
    <w:abstractNumId w:val="31"/>
  </w:num>
  <w:num w:numId="23" w16cid:durableId="279990728">
    <w:abstractNumId w:val="18"/>
  </w:num>
  <w:num w:numId="24" w16cid:durableId="1300300146">
    <w:abstractNumId w:val="11"/>
  </w:num>
  <w:num w:numId="25" w16cid:durableId="1416517992">
    <w:abstractNumId w:val="15"/>
  </w:num>
  <w:num w:numId="26" w16cid:durableId="1742023930">
    <w:abstractNumId w:val="9"/>
  </w:num>
  <w:num w:numId="27" w16cid:durableId="1460369868">
    <w:abstractNumId w:val="21"/>
  </w:num>
  <w:num w:numId="28" w16cid:durableId="1544319981">
    <w:abstractNumId w:val="37"/>
  </w:num>
  <w:num w:numId="29" w16cid:durableId="92363421">
    <w:abstractNumId w:val="20"/>
  </w:num>
  <w:num w:numId="30" w16cid:durableId="346561566">
    <w:abstractNumId w:val="19"/>
  </w:num>
  <w:num w:numId="31" w16cid:durableId="450518300">
    <w:abstractNumId w:val="0"/>
  </w:num>
  <w:num w:numId="32" w16cid:durableId="1747413340">
    <w:abstractNumId w:val="2"/>
  </w:num>
  <w:num w:numId="33" w16cid:durableId="337386380">
    <w:abstractNumId w:val="23"/>
  </w:num>
  <w:num w:numId="34" w16cid:durableId="1289236095">
    <w:abstractNumId w:val="13"/>
  </w:num>
  <w:num w:numId="35" w16cid:durableId="967975396">
    <w:abstractNumId w:val="6"/>
  </w:num>
  <w:num w:numId="36" w16cid:durableId="988554981">
    <w:abstractNumId w:val="10"/>
  </w:num>
  <w:num w:numId="37" w16cid:durableId="2036230087">
    <w:abstractNumId w:val="36"/>
  </w:num>
  <w:num w:numId="38" w16cid:durableId="142624112">
    <w:abstractNumId w:val="8"/>
    <w:lvlOverride w:ilvl="0">
      <w:startOverride w:val="1"/>
    </w:lvlOverride>
  </w:num>
  <w:num w:numId="39" w16cid:durableId="192533998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7C"/>
    <w:rsid w:val="00002164"/>
    <w:rsid w:val="00005565"/>
    <w:rsid w:val="00027AD8"/>
    <w:rsid w:val="00030063"/>
    <w:rsid w:val="000317D2"/>
    <w:rsid w:val="0003468C"/>
    <w:rsid w:val="00036704"/>
    <w:rsid w:val="00043986"/>
    <w:rsid w:val="000469D8"/>
    <w:rsid w:val="000634E3"/>
    <w:rsid w:val="00065C1C"/>
    <w:rsid w:val="00066754"/>
    <w:rsid w:val="0007105E"/>
    <w:rsid w:val="000907F9"/>
    <w:rsid w:val="000A1B5C"/>
    <w:rsid w:val="000B0381"/>
    <w:rsid w:val="000B24CE"/>
    <w:rsid w:val="000D072B"/>
    <w:rsid w:val="000D5CB6"/>
    <w:rsid w:val="000E2284"/>
    <w:rsid w:val="000E2EC9"/>
    <w:rsid w:val="000E34DF"/>
    <w:rsid w:val="000E7DF3"/>
    <w:rsid w:val="000F1442"/>
    <w:rsid w:val="000F24E2"/>
    <w:rsid w:val="0010049B"/>
    <w:rsid w:val="001068CB"/>
    <w:rsid w:val="0011189B"/>
    <w:rsid w:val="001208FE"/>
    <w:rsid w:val="00126AD6"/>
    <w:rsid w:val="0013394A"/>
    <w:rsid w:val="00141845"/>
    <w:rsid w:val="00157548"/>
    <w:rsid w:val="001641AE"/>
    <w:rsid w:val="0016684F"/>
    <w:rsid w:val="0017089C"/>
    <w:rsid w:val="001762E5"/>
    <w:rsid w:val="00176978"/>
    <w:rsid w:val="00176A12"/>
    <w:rsid w:val="001939E6"/>
    <w:rsid w:val="001B138D"/>
    <w:rsid w:val="001B315D"/>
    <w:rsid w:val="001B4A72"/>
    <w:rsid w:val="001D2BC7"/>
    <w:rsid w:val="001E5968"/>
    <w:rsid w:val="001F51F5"/>
    <w:rsid w:val="00201C3D"/>
    <w:rsid w:val="00234230"/>
    <w:rsid w:val="00246D4E"/>
    <w:rsid w:val="00255D87"/>
    <w:rsid w:val="002607D3"/>
    <w:rsid w:val="0027726D"/>
    <w:rsid w:val="00277AC4"/>
    <w:rsid w:val="00280341"/>
    <w:rsid w:val="002833DB"/>
    <w:rsid w:val="00294F83"/>
    <w:rsid w:val="00295B4F"/>
    <w:rsid w:val="00296262"/>
    <w:rsid w:val="002A2A27"/>
    <w:rsid w:val="002A6E82"/>
    <w:rsid w:val="002B5592"/>
    <w:rsid w:val="002C6A77"/>
    <w:rsid w:val="002C7C79"/>
    <w:rsid w:val="002D0D4F"/>
    <w:rsid w:val="002D0DE0"/>
    <w:rsid w:val="002D12B8"/>
    <w:rsid w:val="002D5F74"/>
    <w:rsid w:val="002E553E"/>
    <w:rsid w:val="002F27E1"/>
    <w:rsid w:val="003027D1"/>
    <w:rsid w:val="00307582"/>
    <w:rsid w:val="00320BB5"/>
    <w:rsid w:val="0032199D"/>
    <w:rsid w:val="00322483"/>
    <w:rsid w:val="00344812"/>
    <w:rsid w:val="00362E6C"/>
    <w:rsid w:val="00365630"/>
    <w:rsid w:val="00374623"/>
    <w:rsid w:val="0038206C"/>
    <w:rsid w:val="00385455"/>
    <w:rsid w:val="003A017D"/>
    <w:rsid w:val="003A7232"/>
    <w:rsid w:val="003A7CAC"/>
    <w:rsid w:val="003B05B8"/>
    <w:rsid w:val="003C30E3"/>
    <w:rsid w:val="003C3D76"/>
    <w:rsid w:val="003D0536"/>
    <w:rsid w:val="003D5D84"/>
    <w:rsid w:val="003D69B7"/>
    <w:rsid w:val="003D6D26"/>
    <w:rsid w:val="003E3FDF"/>
    <w:rsid w:val="003E625B"/>
    <w:rsid w:val="003F1A71"/>
    <w:rsid w:val="003F3708"/>
    <w:rsid w:val="003F6824"/>
    <w:rsid w:val="00400967"/>
    <w:rsid w:val="00402EEA"/>
    <w:rsid w:val="0041193B"/>
    <w:rsid w:val="0041317C"/>
    <w:rsid w:val="0042004B"/>
    <w:rsid w:val="0042030E"/>
    <w:rsid w:val="00422446"/>
    <w:rsid w:val="0042747B"/>
    <w:rsid w:val="00433575"/>
    <w:rsid w:val="004428BC"/>
    <w:rsid w:val="00442A26"/>
    <w:rsid w:val="00443915"/>
    <w:rsid w:val="00445199"/>
    <w:rsid w:val="00452C69"/>
    <w:rsid w:val="004543C0"/>
    <w:rsid w:val="0045667D"/>
    <w:rsid w:val="00466D6B"/>
    <w:rsid w:val="00471093"/>
    <w:rsid w:val="00474A0C"/>
    <w:rsid w:val="00480394"/>
    <w:rsid w:val="00485D8B"/>
    <w:rsid w:val="004A6DB0"/>
    <w:rsid w:val="004B22DC"/>
    <w:rsid w:val="004C3B4B"/>
    <w:rsid w:val="004C7E1C"/>
    <w:rsid w:val="004D4661"/>
    <w:rsid w:val="004F1C54"/>
    <w:rsid w:val="005009FB"/>
    <w:rsid w:val="00511897"/>
    <w:rsid w:val="00521C6F"/>
    <w:rsid w:val="0054720D"/>
    <w:rsid w:val="0054747B"/>
    <w:rsid w:val="00553434"/>
    <w:rsid w:val="00556A65"/>
    <w:rsid w:val="00560A2B"/>
    <w:rsid w:val="00561614"/>
    <w:rsid w:val="005877DD"/>
    <w:rsid w:val="00593588"/>
    <w:rsid w:val="00597DFD"/>
    <w:rsid w:val="005A5291"/>
    <w:rsid w:val="005A623E"/>
    <w:rsid w:val="005C240E"/>
    <w:rsid w:val="005C4060"/>
    <w:rsid w:val="005C6E58"/>
    <w:rsid w:val="005D1F47"/>
    <w:rsid w:val="005D6A59"/>
    <w:rsid w:val="005E0E44"/>
    <w:rsid w:val="005E4477"/>
    <w:rsid w:val="005E5AB1"/>
    <w:rsid w:val="005E5C68"/>
    <w:rsid w:val="005F0FBC"/>
    <w:rsid w:val="005F3A5D"/>
    <w:rsid w:val="00602411"/>
    <w:rsid w:val="006046AC"/>
    <w:rsid w:val="00611023"/>
    <w:rsid w:val="0063008F"/>
    <w:rsid w:val="0064231E"/>
    <w:rsid w:val="00646098"/>
    <w:rsid w:val="00647D82"/>
    <w:rsid w:val="006508D7"/>
    <w:rsid w:val="00660013"/>
    <w:rsid w:val="006647B7"/>
    <w:rsid w:val="006804B8"/>
    <w:rsid w:val="00680DFA"/>
    <w:rsid w:val="006911E4"/>
    <w:rsid w:val="00692B03"/>
    <w:rsid w:val="00697F25"/>
    <w:rsid w:val="006A1C23"/>
    <w:rsid w:val="006B0C33"/>
    <w:rsid w:val="006B312C"/>
    <w:rsid w:val="006B69E6"/>
    <w:rsid w:val="006C4A3D"/>
    <w:rsid w:val="006E1629"/>
    <w:rsid w:val="006F0980"/>
    <w:rsid w:val="006F1BD6"/>
    <w:rsid w:val="006F2A1F"/>
    <w:rsid w:val="006F6374"/>
    <w:rsid w:val="00701939"/>
    <w:rsid w:val="00707A2D"/>
    <w:rsid w:val="00707D39"/>
    <w:rsid w:val="00711CC7"/>
    <w:rsid w:val="00716689"/>
    <w:rsid w:val="00723A38"/>
    <w:rsid w:val="00726786"/>
    <w:rsid w:val="00727D46"/>
    <w:rsid w:val="0073135A"/>
    <w:rsid w:val="00733DB3"/>
    <w:rsid w:val="00737AAC"/>
    <w:rsid w:val="00742AFF"/>
    <w:rsid w:val="00744527"/>
    <w:rsid w:val="007537C0"/>
    <w:rsid w:val="007604A1"/>
    <w:rsid w:val="00764B9D"/>
    <w:rsid w:val="0077365B"/>
    <w:rsid w:val="00780D5E"/>
    <w:rsid w:val="00782CFA"/>
    <w:rsid w:val="00782E10"/>
    <w:rsid w:val="00790329"/>
    <w:rsid w:val="00792707"/>
    <w:rsid w:val="007B470A"/>
    <w:rsid w:val="007B7798"/>
    <w:rsid w:val="007C6F08"/>
    <w:rsid w:val="007E0C96"/>
    <w:rsid w:val="007E7175"/>
    <w:rsid w:val="00805803"/>
    <w:rsid w:val="00813084"/>
    <w:rsid w:val="00815052"/>
    <w:rsid w:val="00815892"/>
    <w:rsid w:val="00832702"/>
    <w:rsid w:val="00845636"/>
    <w:rsid w:val="00846558"/>
    <w:rsid w:val="00863F03"/>
    <w:rsid w:val="0086708B"/>
    <w:rsid w:val="0087260A"/>
    <w:rsid w:val="00882959"/>
    <w:rsid w:val="00883797"/>
    <w:rsid w:val="00885EB8"/>
    <w:rsid w:val="008C7180"/>
    <w:rsid w:val="008D3E6A"/>
    <w:rsid w:val="008E4405"/>
    <w:rsid w:val="008E711B"/>
    <w:rsid w:val="008F3F5E"/>
    <w:rsid w:val="008F4761"/>
    <w:rsid w:val="008F6236"/>
    <w:rsid w:val="009034F7"/>
    <w:rsid w:val="00906A3D"/>
    <w:rsid w:val="00911950"/>
    <w:rsid w:val="00911B9E"/>
    <w:rsid w:val="00912705"/>
    <w:rsid w:val="0091312D"/>
    <w:rsid w:val="009132C1"/>
    <w:rsid w:val="00920810"/>
    <w:rsid w:val="00926670"/>
    <w:rsid w:val="00927C79"/>
    <w:rsid w:val="00930DC4"/>
    <w:rsid w:val="00932ED9"/>
    <w:rsid w:val="0094183F"/>
    <w:rsid w:val="00951E1F"/>
    <w:rsid w:val="0097714E"/>
    <w:rsid w:val="009830B6"/>
    <w:rsid w:val="009836CA"/>
    <w:rsid w:val="00983C5A"/>
    <w:rsid w:val="009901CA"/>
    <w:rsid w:val="009916E0"/>
    <w:rsid w:val="009A4557"/>
    <w:rsid w:val="009B061C"/>
    <w:rsid w:val="009B0789"/>
    <w:rsid w:val="009B7989"/>
    <w:rsid w:val="009C7F26"/>
    <w:rsid w:val="009E65A8"/>
    <w:rsid w:val="009F2C2D"/>
    <w:rsid w:val="00A23310"/>
    <w:rsid w:val="00A27003"/>
    <w:rsid w:val="00A37DD6"/>
    <w:rsid w:val="00A438BD"/>
    <w:rsid w:val="00A46F3A"/>
    <w:rsid w:val="00A51736"/>
    <w:rsid w:val="00A5465E"/>
    <w:rsid w:val="00A60A28"/>
    <w:rsid w:val="00A633EA"/>
    <w:rsid w:val="00A64BE2"/>
    <w:rsid w:val="00A73289"/>
    <w:rsid w:val="00A8377C"/>
    <w:rsid w:val="00A9303C"/>
    <w:rsid w:val="00AB4EBC"/>
    <w:rsid w:val="00AD05A1"/>
    <w:rsid w:val="00AD4B8A"/>
    <w:rsid w:val="00AD524B"/>
    <w:rsid w:val="00AE5358"/>
    <w:rsid w:val="00AE6570"/>
    <w:rsid w:val="00AE6DA1"/>
    <w:rsid w:val="00AF71A6"/>
    <w:rsid w:val="00AF73FD"/>
    <w:rsid w:val="00AF7C98"/>
    <w:rsid w:val="00B01745"/>
    <w:rsid w:val="00B11688"/>
    <w:rsid w:val="00B16648"/>
    <w:rsid w:val="00B215E3"/>
    <w:rsid w:val="00B24739"/>
    <w:rsid w:val="00B34DD3"/>
    <w:rsid w:val="00B42DF8"/>
    <w:rsid w:val="00B43854"/>
    <w:rsid w:val="00B55640"/>
    <w:rsid w:val="00B616B5"/>
    <w:rsid w:val="00B65CAF"/>
    <w:rsid w:val="00B72ABC"/>
    <w:rsid w:val="00B734E6"/>
    <w:rsid w:val="00B74397"/>
    <w:rsid w:val="00B83FF5"/>
    <w:rsid w:val="00B87D7D"/>
    <w:rsid w:val="00B90411"/>
    <w:rsid w:val="00B919A2"/>
    <w:rsid w:val="00B91BF7"/>
    <w:rsid w:val="00B93DC4"/>
    <w:rsid w:val="00B9548A"/>
    <w:rsid w:val="00BA2BF1"/>
    <w:rsid w:val="00BC50BD"/>
    <w:rsid w:val="00BD0ABB"/>
    <w:rsid w:val="00BD0F33"/>
    <w:rsid w:val="00BD31E0"/>
    <w:rsid w:val="00BD3BFC"/>
    <w:rsid w:val="00BE453A"/>
    <w:rsid w:val="00BE5AEC"/>
    <w:rsid w:val="00BE7067"/>
    <w:rsid w:val="00BF7654"/>
    <w:rsid w:val="00C00628"/>
    <w:rsid w:val="00C01A37"/>
    <w:rsid w:val="00C050E0"/>
    <w:rsid w:val="00C059C6"/>
    <w:rsid w:val="00C0648C"/>
    <w:rsid w:val="00C20070"/>
    <w:rsid w:val="00C22B62"/>
    <w:rsid w:val="00C40E2B"/>
    <w:rsid w:val="00C41B8D"/>
    <w:rsid w:val="00C421E8"/>
    <w:rsid w:val="00C4227A"/>
    <w:rsid w:val="00C44E98"/>
    <w:rsid w:val="00C5544F"/>
    <w:rsid w:val="00C6578E"/>
    <w:rsid w:val="00C72048"/>
    <w:rsid w:val="00C72C6A"/>
    <w:rsid w:val="00C752D7"/>
    <w:rsid w:val="00C80CFB"/>
    <w:rsid w:val="00C8542E"/>
    <w:rsid w:val="00C90491"/>
    <w:rsid w:val="00CA53D7"/>
    <w:rsid w:val="00CA5647"/>
    <w:rsid w:val="00CB0E3E"/>
    <w:rsid w:val="00CB6629"/>
    <w:rsid w:val="00CC0D4C"/>
    <w:rsid w:val="00CC76AC"/>
    <w:rsid w:val="00CC76D7"/>
    <w:rsid w:val="00CD2B1D"/>
    <w:rsid w:val="00CD2C51"/>
    <w:rsid w:val="00CD5E66"/>
    <w:rsid w:val="00CD60B0"/>
    <w:rsid w:val="00CE7278"/>
    <w:rsid w:val="00CE7DDB"/>
    <w:rsid w:val="00CF4016"/>
    <w:rsid w:val="00D00CA0"/>
    <w:rsid w:val="00D01A27"/>
    <w:rsid w:val="00D128BE"/>
    <w:rsid w:val="00D163E8"/>
    <w:rsid w:val="00D166D6"/>
    <w:rsid w:val="00D264E5"/>
    <w:rsid w:val="00D30CCE"/>
    <w:rsid w:val="00D375EB"/>
    <w:rsid w:val="00D45F2C"/>
    <w:rsid w:val="00D660B2"/>
    <w:rsid w:val="00D6656C"/>
    <w:rsid w:val="00D82D99"/>
    <w:rsid w:val="00D914A7"/>
    <w:rsid w:val="00D939D0"/>
    <w:rsid w:val="00D958BA"/>
    <w:rsid w:val="00DA0236"/>
    <w:rsid w:val="00DA1C47"/>
    <w:rsid w:val="00DA4647"/>
    <w:rsid w:val="00DA640B"/>
    <w:rsid w:val="00DB2951"/>
    <w:rsid w:val="00DC1903"/>
    <w:rsid w:val="00DE4BB8"/>
    <w:rsid w:val="00DE7752"/>
    <w:rsid w:val="00DF0082"/>
    <w:rsid w:val="00E02614"/>
    <w:rsid w:val="00E03F42"/>
    <w:rsid w:val="00E05DA3"/>
    <w:rsid w:val="00E11B34"/>
    <w:rsid w:val="00E159F4"/>
    <w:rsid w:val="00E22E3E"/>
    <w:rsid w:val="00E35A1B"/>
    <w:rsid w:val="00E35CB9"/>
    <w:rsid w:val="00E4266B"/>
    <w:rsid w:val="00E5436A"/>
    <w:rsid w:val="00E55647"/>
    <w:rsid w:val="00E5598A"/>
    <w:rsid w:val="00E650A6"/>
    <w:rsid w:val="00E745D8"/>
    <w:rsid w:val="00E77F44"/>
    <w:rsid w:val="00E837BF"/>
    <w:rsid w:val="00E92326"/>
    <w:rsid w:val="00EA1F79"/>
    <w:rsid w:val="00EA2502"/>
    <w:rsid w:val="00EA5725"/>
    <w:rsid w:val="00EA6936"/>
    <w:rsid w:val="00EC0C44"/>
    <w:rsid w:val="00EC2DFC"/>
    <w:rsid w:val="00EC4A6A"/>
    <w:rsid w:val="00EC4E3D"/>
    <w:rsid w:val="00EC68D9"/>
    <w:rsid w:val="00ED7A1B"/>
    <w:rsid w:val="00F02815"/>
    <w:rsid w:val="00F034BF"/>
    <w:rsid w:val="00F07399"/>
    <w:rsid w:val="00F077D2"/>
    <w:rsid w:val="00F10864"/>
    <w:rsid w:val="00F30694"/>
    <w:rsid w:val="00F40BDB"/>
    <w:rsid w:val="00F443F8"/>
    <w:rsid w:val="00F56974"/>
    <w:rsid w:val="00F5738C"/>
    <w:rsid w:val="00F6127A"/>
    <w:rsid w:val="00F926D1"/>
    <w:rsid w:val="00F96048"/>
    <w:rsid w:val="00F97341"/>
    <w:rsid w:val="00FA26DE"/>
    <w:rsid w:val="00FB3BC4"/>
    <w:rsid w:val="00FB7F6F"/>
    <w:rsid w:val="00FC34E8"/>
    <w:rsid w:val="00FD2773"/>
    <w:rsid w:val="00FD2CCF"/>
    <w:rsid w:val="00FD37D7"/>
    <w:rsid w:val="00FE2BBB"/>
    <w:rsid w:val="00FE4447"/>
    <w:rsid w:val="00F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A2774"/>
  <w15:chartTrackingRefBased/>
  <w15:docId w15:val="{26A2C808-D189-41EB-B54A-9BED10F2F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25"/>
  </w:style>
  <w:style w:type="paragraph" w:styleId="Ttulo1">
    <w:name w:val="heading 1"/>
    <w:basedOn w:val="Normal"/>
    <w:next w:val="Normal"/>
    <w:link w:val="Ttulo1Car"/>
    <w:uiPriority w:val="9"/>
    <w:qFormat/>
    <w:rsid w:val="0041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131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1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1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1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1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1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1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1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31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131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1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1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1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1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1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17C"/>
    <w:rPr>
      <w:rFonts w:eastAsiaTheme="majorEastAsia" w:cstheme="majorBidi"/>
      <w:color w:val="272727" w:themeColor="text1" w:themeTint="D8"/>
    </w:rPr>
  </w:style>
  <w:style w:type="paragraph" w:styleId="Ttulo">
    <w:name w:val="Title"/>
    <w:basedOn w:val="Normal"/>
    <w:next w:val="Normal"/>
    <w:link w:val="TtuloCar"/>
    <w:uiPriority w:val="10"/>
    <w:qFormat/>
    <w:rsid w:val="0041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1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1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1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17C"/>
    <w:pPr>
      <w:spacing w:before="160"/>
      <w:jc w:val="center"/>
    </w:pPr>
    <w:rPr>
      <w:i/>
      <w:iCs/>
      <w:color w:val="404040" w:themeColor="text1" w:themeTint="BF"/>
    </w:rPr>
  </w:style>
  <w:style w:type="character" w:customStyle="1" w:styleId="CitaCar">
    <w:name w:val="Cita Car"/>
    <w:basedOn w:val="Fuentedeprrafopredeter"/>
    <w:link w:val="Cita"/>
    <w:uiPriority w:val="29"/>
    <w:rsid w:val="0041317C"/>
    <w:rPr>
      <w:i/>
      <w:iCs/>
      <w:color w:val="404040" w:themeColor="text1" w:themeTint="BF"/>
    </w:rPr>
  </w:style>
  <w:style w:type="paragraph" w:styleId="Prrafodelista">
    <w:name w:val="List Paragraph"/>
    <w:basedOn w:val="Normal"/>
    <w:qFormat/>
    <w:rsid w:val="0041317C"/>
    <w:pPr>
      <w:ind w:left="720"/>
      <w:contextualSpacing/>
    </w:pPr>
  </w:style>
  <w:style w:type="character" w:styleId="nfasisintenso">
    <w:name w:val="Intense Emphasis"/>
    <w:basedOn w:val="Fuentedeprrafopredeter"/>
    <w:uiPriority w:val="21"/>
    <w:qFormat/>
    <w:rsid w:val="0041317C"/>
    <w:rPr>
      <w:i/>
      <w:iCs/>
      <w:color w:val="0F4761" w:themeColor="accent1" w:themeShade="BF"/>
    </w:rPr>
  </w:style>
  <w:style w:type="paragraph" w:styleId="Citadestacada">
    <w:name w:val="Intense Quote"/>
    <w:basedOn w:val="Normal"/>
    <w:next w:val="Normal"/>
    <w:link w:val="CitadestacadaCar"/>
    <w:uiPriority w:val="30"/>
    <w:qFormat/>
    <w:rsid w:val="0041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17C"/>
    <w:rPr>
      <w:i/>
      <w:iCs/>
      <w:color w:val="0F4761" w:themeColor="accent1" w:themeShade="BF"/>
    </w:rPr>
  </w:style>
  <w:style w:type="character" w:styleId="Referenciaintensa">
    <w:name w:val="Intense Reference"/>
    <w:basedOn w:val="Fuentedeprrafopredeter"/>
    <w:uiPriority w:val="32"/>
    <w:qFormat/>
    <w:rsid w:val="0041317C"/>
    <w:rPr>
      <w:b/>
      <w:bCs/>
      <w:smallCaps/>
      <w:color w:val="0F4761" w:themeColor="accent1" w:themeShade="BF"/>
      <w:spacing w:val="5"/>
    </w:rPr>
  </w:style>
  <w:style w:type="character" w:styleId="Hipervnculo">
    <w:name w:val="Hyperlink"/>
    <w:basedOn w:val="Fuentedeprrafopredeter"/>
    <w:uiPriority w:val="99"/>
    <w:unhideWhenUsed/>
    <w:rsid w:val="0041317C"/>
    <w:rPr>
      <w:color w:val="467886" w:themeColor="hyperlink"/>
      <w:u w:val="single"/>
    </w:rPr>
  </w:style>
  <w:style w:type="character" w:styleId="Mencinsinresolver">
    <w:name w:val="Unresolved Mention"/>
    <w:basedOn w:val="Fuentedeprrafopredeter"/>
    <w:uiPriority w:val="99"/>
    <w:semiHidden/>
    <w:unhideWhenUsed/>
    <w:rsid w:val="0041317C"/>
    <w:rPr>
      <w:color w:val="605E5C"/>
      <w:shd w:val="clear" w:color="auto" w:fill="E1DFDD"/>
    </w:rPr>
  </w:style>
  <w:style w:type="paragraph" w:styleId="Encabezado">
    <w:name w:val="header"/>
    <w:basedOn w:val="Normal"/>
    <w:link w:val="EncabezadoCar"/>
    <w:uiPriority w:val="99"/>
    <w:unhideWhenUsed/>
    <w:rsid w:val="004131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317C"/>
  </w:style>
  <w:style w:type="paragraph" w:styleId="Piedepgina">
    <w:name w:val="footer"/>
    <w:basedOn w:val="Normal"/>
    <w:link w:val="PiedepginaCar"/>
    <w:uiPriority w:val="99"/>
    <w:unhideWhenUsed/>
    <w:rsid w:val="004131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317C"/>
  </w:style>
  <w:style w:type="table" w:styleId="Tablaconcuadrcula">
    <w:name w:val="Table Grid"/>
    <w:basedOn w:val="Tablanormal"/>
    <w:uiPriority w:val="39"/>
    <w:rsid w:val="00413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A7CAC"/>
    <w:pPr>
      <w:spacing w:before="480" w:after="0" w:line="276" w:lineRule="auto"/>
      <w:outlineLvl w:val="9"/>
    </w:pPr>
    <w:rPr>
      <w:b/>
      <w:bCs/>
      <w:kern w:val="0"/>
      <w:sz w:val="28"/>
      <w:szCs w:val="28"/>
      <w:lang w:eastAsia="es-MX"/>
      <w14:ligatures w14:val="none"/>
    </w:rPr>
  </w:style>
  <w:style w:type="paragraph" w:styleId="TDC1">
    <w:name w:val="toc 1"/>
    <w:basedOn w:val="Normal"/>
    <w:next w:val="Normal"/>
    <w:autoRedefine/>
    <w:uiPriority w:val="39"/>
    <w:unhideWhenUsed/>
    <w:rsid w:val="003A7CAC"/>
    <w:pPr>
      <w:spacing w:before="120" w:after="0"/>
    </w:pPr>
    <w:rPr>
      <w:b/>
      <w:bCs/>
      <w:i/>
      <w:iCs/>
      <w:sz w:val="24"/>
      <w:szCs w:val="24"/>
    </w:rPr>
  </w:style>
  <w:style w:type="paragraph" w:styleId="TDC2">
    <w:name w:val="toc 2"/>
    <w:basedOn w:val="Normal"/>
    <w:next w:val="Normal"/>
    <w:autoRedefine/>
    <w:uiPriority w:val="39"/>
    <w:unhideWhenUsed/>
    <w:rsid w:val="003A7CAC"/>
    <w:pPr>
      <w:spacing w:before="120" w:after="0"/>
      <w:ind w:left="220"/>
    </w:pPr>
    <w:rPr>
      <w:b/>
      <w:bCs/>
    </w:rPr>
  </w:style>
  <w:style w:type="paragraph" w:styleId="TDC3">
    <w:name w:val="toc 3"/>
    <w:basedOn w:val="Normal"/>
    <w:next w:val="Normal"/>
    <w:autoRedefine/>
    <w:uiPriority w:val="39"/>
    <w:unhideWhenUsed/>
    <w:rsid w:val="003A7CAC"/>
    <w:pPr>
      <w:spacing w:after="0"/>
      <w:ind w:left="440"/>
    </w:pPr>
    <w:rPr>
      <w:sz w:val="20"/>
      <w:szCs w:val="20"/>
    </w:rPr>
  </w:style>
  <w:style w:type="paragraph" w:styleId="TDC4">
    <w:name w:val="toc 4"/>
    <w:basedOn w:val="Normal"/>
    <w:next w:val="Normal"/>
    <w:autoRedefine/>
    <w:uiPriority w:val="39"/>
    <w:semiHidden/>
    <w:unhideWhenUsed/>
    <w:rsid w:val="003A7CAC"/>
    <w:pPr>
      <w:spacing w:after="0"/>
      <w:ind w:left="660"/>
    </w:pPr>
    <w:rPr>
      <w:sz w:val="20"/>
      <w:szCs w:val="20"/>
    </w:rPr>
  </w:style>
  <w:style w:type="paragraph" w:styleId="TDC5">
    <w:name w:val="toc 5"/>
    <w:basedOn w:val="Normal"/>
    <w:next w:val="Normal"/>
    <w:autoRedefine/>
    <w:uiPriority w:val="39"/>
    <w:semiHidden/>
    <w:unhideWhenUsed/>
    <w:rsid w:val="003A7CAC"/>
    <w:pPr>
      <w:spacing w:after="0"/>
      <w:ind w:left="880"/>
    </w:pPr>
    <w:rPr>
      <w:sz w:val="20"/>
      <w:szCs w:val="20"/>
    </w:rPr>
  </w:style>
  <w:style w:type="paragraph" w:styleId="TDC6">
    <w:name w:val="toc 6"/>
    <w:basedOn w:val="Normal"/>
    <w:next w:val="Normal"/>
    <w:autoRedefine/>
    <w:uiPriority w:val="39"/>
    <w:semiHidden/>
    <w:unhideWhenUsed/>
    <w:rsid w:val="003A7CAC"/>
    <w:pPr>
      <w:spacing w:after="0"/>
      <w:ind w:left="1100"/>
    </w:pPr>
    <w:rPr>
      <w:sz w:val="20"/>
      <w:szCs w:val="20"/>
    </w:rPr>
  </w:style>
  <w:style w:type="paragraph" w:styleId="TDC7">
    <w:name w:val="toc 7"/>
    <w:basedOn w:val="Normal"/>
    <w:next w:val="Normal"/>
    <w:autoRedefine/>
    <w:uiPriority w:val="39"/>
    <w:semiHidden/>
    <w:unhideWhenUsed/>
    <w:rsid w:val="003A7CAC"/>
    <w:pPr>
      <w:spacing w:after="0"/>
      <w:ind w:left="1320"/>
    </w:pPr>
    <w:rPr>
      <w:sz w:val="20"/>
      <w:szCs w:val="20"/>
    </w:rPr>
  </w:style>
  <w:style w:type="paragraph" w:styleId="TDC8">
    <w:name w:val="toc 8"/>
    <w:basedOn w:val="Normal"/>
    <w:next w:val="Normal"/>
    <w:autoRedefine/>
    <w:uiPriority w:val="39"/>
    <w:semiHidden/>
    <w:unhideWhenUsed/>
    <w:rsid w:val="003A7CAC"/>
    <w:pPr>
      <w:spacing w:after="0"/>
      <w:ind w:left="1540"/>
    </w:pPr>
    <w:rPr>
      <w:sz w:val="20"/>
      <w:szCs w:val="20"/>
    </w:rPr>
  </w:style>
  <w:style w:type="paragraph" w:styleId="TDC9">
    <w:name w:val="toc 9"/>
    <w:basedOn w:val="Normal"/>
    <w:next w:val="Normal"/>
    <w:autoRedefine/>
    <w:uiPriority w:val="39"/>
    <w:semiHidden/>
    <w:unhideWhenUsed/>
    <w:rsid w:val="003A7CAC"/>
    <w:pPr>
      <w:spacing w:after="0"/>
      <w:ind w:left="1760"/>
    </w:pPr>
    <w:rPr>
      <w:sz w:val="20"/>
      <w:szCs w:val="20"/>
    </w:rPr>
  </w:style>
  <w:style w:type="paragraph" w:customStyle="1" w:styleId="p1">
    <w:name w:val="p1"/>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2">
    <w:name w:val="p2"/>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NormalWeb">
    <w:name w:val="Normal (Web)"/>
    <w:basedOn w:val="Normal"/>
    <w:uiPriority w:val="99"/>
    <w:unhideWhenUsed/>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apple-converted-space">
    <w:name w:val="apple-converted-space"/>
    <w:basedOn w:val="Fuentedeprrafopredeter"/>
    <w:rsid w:val="00744527"/>
  </w:style>
  <w:style w:type="character" w:styleId="Textoennegrita">
    <w:name w:val="Strong"/>
    <w:basedOn w:val="Fuentedeprrafopredeter"/>
    <w:uiPriority w:val="22"/>
    <w:qFormat/>
    <w:rsid w:val="00744527"/>
    <w:rPr>
      <w:b/>
      <w:bCs/>
    </w:rPr>
  </w:style>
  <w:style w:type="character" w:styleId="nfasis">
    <w:name w:val="Emphasis"/>
    <w:basedOn w:val="Fuentedeprrafopredeter"/>
    <w:uiPriority w:val="20"/>
    <w:qFormat/>
    <w:rsid w:val="00744527"/>
    <w:rPr>
      <w:i/>
      <w:iCs/>
    </w:rPr>
  </w:style>
  <w:style w:type="character" w:customStyle="1" w:styleId="s1">
    <w:name w:val="s1"/>
    <w:basedOn w:val="Fuentedeprrafopredeter"/>
    <w:rsid w:val="00744527"/>
  </w:style>
  <w:style w:type="paragraph" w:customStyle="1" w:styleId="p3">
    <w:name w:val="p3"/>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customStyle="1" w:styleId="p4">
    <w:name w:val="p4"/>
    <w:basedOn w:val="Normal"/>
    <w:rsid w:val="0074452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delmarcadordeposicin">
    <w:name w:val="Placeholder Text"/>
    <w:basedOn w:val="Fuentedeprrafopredeter"/>
    <w:uiPriority w:val="99"/>
    <w:semiHidden/>
    <w:rsid w:val="00D163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56008">
      <w:bodyDiv w:val="1"/>
      <w:marLeft w:val="0"/>
      <w:marRight w:val="0"/>
      <w:marTop w:val="0"/>
      <w:marBottom w:val="0"/>
      <w:divBdr>
        <w:top w:val="none" w:sz="0" w:space="0" w:color="auto"/>
        <w:left w:val="none" w:sz="0" w:space="0" w:color="auto"/>
        <w:bottom w:val="none" w:sz="0" w:space="0" w:color="auto"/>
        <w:right w:val="none" w:sz="0" w:space="0" w:color="auto"/>
      </w:divBdr>
      <w:divsChild>
        <w:div w:id="538779964">
          <w:marLeft w:val="0"/>
          <w:marRight w:val="0"/>
          <w:marTop w:val="0"/>
          <w:marBottom w:val="0"/>
          <w:divBdr>
            <w:top w:val="none" w:sz="0" w:space="0" w:color="auto"/>
            <w:left w:val="none" w:sz="0" w:space="0" w:color="auto"/>
            <w:bottom w:val="none" w:sz="0" w:space="0" w:color="auto"/>
            <w:right w:val="none" w:sz="0" w:space="0" w:color="auto"/>
          </w:divBdr>
          <w:divsChild>
            <w:div w:id="2013560211">
              <w:marLeft w:val="0"/>
              <w:marRight w:val="0"/>
              <w:marTop w:val="0"/>
              <w:marBottom w:val="0"/>
              <w:divBdr>
                <w:top w:val="none" w:sz="0" w:space="0" w:color="auto"/>
                <w:left w:val="none" w:sz="0" w:space="0" w:color="auto"/>
                <w:bottom w:val="none" w:sz="0" w:space="0" w:color="auto"/>
                <w:right w:val="none" w:sz="0" w:space="0" w:color="auto"/>
              </w:divBdr>
              <w:divsChild>
                <w:div w:id="1203052145">
                  <w:marLeft w:val="0"/>
                  <w:marRight w:val="0"/>
                  <w:marTop w:val="0"/>
                  <w:marBottom w:val="0"/>
                  <w:divBdr>
                    <w:top w:val="none" w:sz="0" w:space="0" w:color="auto"/>
                    <w:left w:val="none" w:sz="0" w:space="0" w:color="auto"/>
                    <w:bottom w:val="none" w:sz="0" w:space="0" w:color="auto"/>
                    <w:right w:val="none" w:sz="0" w:space="0" w:color="auto"/>
                  </w:divBdr>
                  <w:divsChild>
                    <w:div w:id="1286158425">
                      <w:marLeft w:val="0"/>
                      <w:marRight w:val="0"/>
                      <w:marTop w:val="0"/>
                      <w:marBottom w:val="0"/>
                      <w:divBdr>
                        <w:top w:val="none" w:sz="0" w:space="0" w:color="auto"/>
                        <w:left w:val="none" w:sz="0" w:space="0" w:color="auto"/>
                        <w:bottom w:val="none" w:sz="0" w:space="0" w:color="auto"/>
                        <w:right w:val="none" w:sz="0" w:space="0" w:color="auto"/>
                      </w:divBdr>
                      <w:divsChild>
                        <w:div w:id="1787308490">
                          <w:marLeft w:val="0"/>
                          <w:marRight w:val="0"/>
                          <w:marTop w:val="0"/>
                          <w:marBottom w:val="0"/>
                          <w:divBdr>
                            <w:top w:val="none" w:sz="0" w:space="0" w:color="auto"/>
                            <w:left w:val="none" w:sz="0" w:space="0" w:color="auto"/>
                            <w:bottom w:val="none" w:sz="0" w:space="0" w:color="auto"/>
                            <w:right w:val="none" w:sz="0" w:space="0" w:color="auto"/>
                          </w:divBdr>
                          <w:divsChild>
                            <w:div w:id="49233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554617">
      <w:bodyDiv w:val="1"/>
      <w:marLeft w:val="0"/>
      <w:marRight w:val="0"/>
      <w:marTop w:val="0"/>
      <w:marBottom w:val="0"/>
      <w:divBdr>
        <w:top w:val="none" w:sz="0" w:space="0" w:color="auto"/>
        <w:left w:val="none" w:sz="0" w:space="0" w:color="auto"/>
        <w:bottom w:val="none" w:sz="0" w:space="0" w:color="auto"/>
        <w:right w:val="none" w:sz="0" w:space="0" w:color="auto"/>
      </w:divBdr>
    </w:div>
    <w:div w:id="288972275">
      <w:bodyDiv w:val="1"/>
      <w:marLeft w:val="0"/>
      <w:marRight w:val="0"/>
      <w:marTop w:val="0"/>
      <w:marBottom w:val="0"/>
      <w:divBdr>
        <w:top w:val="none" w:sz="0" w:space="0" w:color="auto"/>
        <w:left w:val="none" w:sz="0" w:space="0" w:color="auto"/>
        <w:bottom w:val="none" w:sz="0" w:space="0" w:color="auto"/>
        <w:right w:val="none" w:sz="0" w:space="0" w:color="auto"/>
      </w:divBdr>
    </w:div>
    <w:div w:id="291596623">
      <w:bodyDiv w:val="1"/>
      <w:marLeft w:val="0"/>
      <w:marRight w:val="0"/>
      <w:marTop w:val="0"/>
      <w:marBottom w:val="0"/>
      <w:divBdr>
        <w:top w:val="none" w:sz="0" w:space="0" w:color="auto"/>
        <w:left w:val="none" w:sz="0" w:space="0" w:color="auto"/>
        <w:bottom w:val="none" w:sz="0" w:space="0" w:color="auto"/>
        <w:right w:val="none" w:sz="0" w:space="0" w:color="auto"/>
      </w:divBdr>
    </w:div>
    <w:div w:id="332950361">
      <w:bodyDiv w:val="1"/>
      <w:marLeft w:val="0"/>
      <w:marRight w:val="0"/>
      <w:marTop w:val="0"/>
      <w:marBottom w:val="0"/>
      <w:divBdr>
        <w:top w:val="none" w:sz="0" w:space="0" w:color="auto"/>
        <w:left w:val="none" w:sz="0" w:space="0" w:color="auto"/>
        <w:bottom w:val="none" w:sz="0" w:space="0" w:color="auto"/>
        <w:right w:val="none" w:sz="0" w:space="0" w:color="auto"/>
      </w:divBdr>
    </w:div>
    <w:div w:id="392117003">
      <w:bodyDiv w:val="1"/>
      <w:marLeft w:val="0"/>
      <w:marRight w:val="0"/>
      <w:marTop w:val="0"/>
      <w:marBottom w:val="0"/>
      <w:divBdr>
        <w:top w:val="none" w:sz="0" w:space="0" w:color="auto"/>
        <w:left w:val="none" w:sz="0" w:space="0" w:color="auto"/>
        <w:bottom w:val="none" w:sz="0" w:space="0" w:color="auto"/>
        <w:right w:val="none" w:sz="0" w:space="0" w:color="auto"/>
      </w:divBdr>
    </w:div>
    <w:div w:id="421528433">
      <w:bodyDiv w:val="1"/>
      <w:marLeft w:val="0"/>
      <w:marRight w:val="0"/>
      <w:marTop w:val="0"/>
      <w:marBottom w:val="0"/>
      <w:divBdr>
        <w:top w:val="none" w:sz="0" w:space="0" w:color="auto"/>
        <w:left w:val="none" w:sz="0" w:space="0" w:color="auto"/>
        <w:bottom w:val="none" w:sz="0" w:space="0" w:color="auto"/>
        <w:right w:val="none" w:sz="0" w:space="0" w:color="auto"/>
      </w:divBdr>
    </w:div>
    <w:div w:id="701712239">
      <w:bodyDiv w:val="1"/>
      <w:marLeft w:val="0"/>
      <w:marRight w:val="0"/>
      <w:marTop w:val="0"/>
      <w:marBottom w:val="0"/>
      <w:divBdr>
        <w:top w:val="none" w:sz="0" w:space="0" w:color="auto"/>
        <w:left w:val="none" w:sz="0" w:space="0" w:color="auto"/>
        <w:bottom w:val="none" w:sz="0" w:space="0" w:color="auto"/>
        <w:right w:val="none" w:sz="0" w:space="0" w:color="auto"/>
      </w:divBdr>
    </w:div>
    <w:div w:id="765615622">
      <w:bodyDiv w:val="1"/>
      <w:marLeft w:val="0"/>
      <w:marRight w:val="0"/>
      <w:marTop w:val="0"/>
      <w:marBottom w:val="0"/>
      <w:divBdr>
        <w:top w:val="none" w:sz="0" w:space="0" w:color="auto"/>
        <w:left w:val="none" w:sz="0" w:space="0" w:color="auto"/>
        <w:bottom w:val="none" w:sz="0" w:space="0" w:color="auto"/>
        <w:right w:val="none" w:sz="0" w:space="0" w:color="auto"/>
      </w:divBdr>
      <w:divsChild>
        <w:div w:id="1864204168">
          <w:marLeft w:val="0"/>
          <w:marRight w:val="0"/>
          <w:marTop w:val="0"/>
          <w:marBottom w:val="0"/>
          <w:divBdr>
            <w:top w:val="none" w:sz="0" w:space="0" w:color="auto"/>
            <w:left w:val="none" w:sz="0" w:space="0" w:color="auto"/>
            <w:bottom w:val="none" w:sz="0" w:space="0" w:color="auto"/>
            <w:right w:val="none" w:sz="0" w:space="0" w:color="auto"/>
          </w:divBdr>
          <w:divsChild>
            <w:div w:id="482894811">
              <w:marLeft w:val="0"/>
              <w:marRight w:val="0"/>
              <w:marTop w:val="0"/>
              <w:marBottom w:val="0"/>
              <w:divBdr>
                <w:top w:val="none" w:sz="0" w:space="0" w:color="auto"/>
                <w:left w:val="none" w:sz="0" w:space="0" w:color="auto"/>
                <w:bottom w:val="none" w:sz="0" w:space="0" w:color="auto"/>
                <w:right w:val="none" w:sz="0" w:space="0" w:color="auto"/>
              </w:divBdr>
              <w:divsChild>
                <w:div w:id="66921148">
                  <w:marLeft w:val="0"/>
                  <w:marRight w:val="0"/>
                  <w:marTop w:val="0"/>
                  <w:marBottom w:val="0"/>
                  <w:divBdr>
                    <w:top w:val="none" w:sz="0" w:space="0" w:color="auto"/>
                    <w:left w:val="none" w:sz="0" w:space="0" w:color="auto"/>
                    <w:bottom w:val="none" w:sz="0" w:space="0" w:color="auto"/>
                    <w:right w:val="none" w:sz="0" w:space="0" w:color="auto"/>
                  </w:divBdr>
                  <w:divsChild>
                    <w:div w:id="1268196598">
                      <w:marLeft w:val="0"/>
                      <w:marRight w:val="0"/>
                      <w:marTop w:val="0"/>
                      <w:marBottom w:val="0"/>
                      <w:divBdr>
                        <w:top w:val="none" w:sz="0" w:space="0" w:color="auto"/>
                        <w:left w:val="none" w:sz="0" w:space="0" w:color="auto"/>
                        <w:bottom w:val="none" w:sz="0" w:space="0" w:color="auto"/>
                        <w:right w:val="none" w:sz="0" w:space="0" w:color="auto"/>
                      </w:divBdr>
                      <w:divsChild>
                        <w:div w:id="1858958990">
                          <w:marLeft w:val="0"/>
                          <w:marRight w:val="0"/>
                          <w:marTop w:val="0"/>
                          <w:marBottom w:val="0"/>
                          <w:divBdr>
                            <w:top w:val="none" w:sz="0" w:space="0" w:color="auto"/>
                            <w:left w:val="none" w:sz="0" w:space="0" w:color="auto"/>
                            <w:bottom w:val="none" w:sz="0" w:space="0" w:color="auto"/>
                            <w:right w:val="none" w:sz="0" w:space="0" w:color="auto"/>
                          </w:divBdr>
                          <w:divsChild>
                            <w:div w:id="6084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2939">
      <w:bodyDiv w:val="1"/>
      <w:marLeft w:val="0"/>
      <w:marRight w:val="0"/>
      <w:marTop w:val="0"/>
      <w:marBottom w:val="0"/>
      <w:divBdr>
        <w:top w:val="none" w:sz="0" w:space="0" w:color="auto"/>
        <w:left w:val="none" w:sz="0" w:space="0" w:color="auto"/>
        <w:bottom w:val="none" w:sz="0" w:space="0" w:color="auto"/>
        <w:right w:val="none" w:sz="0" w:space="0" w:color="auto"/>
      </w:divBdr>
      <w:divsChild>
        <w:div w:id="1916427649">
          <w:marLeft w:val="0"/>
          <w:marRight w:val="0"/>
          <w:marTop w:val="0"/>
          <w:marBottom w:val="0"/>
          <w:divBdr>
            <w:top w:val="none" w:sz="0" w:space="0" w:color="auto"/>
            <w:left w:val="none" w:sz="0" w:space="0" w:color="auto"/>
            <w:bottom w:val="none" w:sz="0" w:space="0" w:color="auto"/>
            <w:right w:val="none" w:sz="0" w:space="0" w:color="auto"/>
          </w:divBdr>
          <w:divsChild>
            <w:div w:id="1016082258">
              <w:marLeft w:val="0"/>
              <w:marRight w:val="0"/>
              <w:marTop w:val="0"/>
              <w:marBottom w:val="0"/>
              <w:divBdr>
                <w:top w:val="none" w:sz="0" w:space="0" w:color="auto"/>
                <w:left w:val="none" w:sz="0" w:space="0" w:color="auto"/>
                <w:bottom w:val="none" w:sz="0" w:space="0" w:color="auto"/>
                <w:right w:val="none" w:sz="0" w:space="0" w:color="auto"/>
              </w:divBdr>
              <w:divsChild>
                <w:div w:id="1955482818">
                  <w:marLeft w:val="0"/>
                  <w:marRight w:val="0"/>
                  <w:marTop w:val="0"/>
                  <w:marBottom w:val="0"/>
                  <w:divBdr>
                    <w:top w:val="none" w:sz="0" w:space="0" w:color="auto"/>
                    <w:left w:val="none" w:sz="0" w:space="0" w:color="auto"/>
                    <w:bottom w:val="none" w:sz="0" w:space="0" w:color="auto"/>
                    <w:right w:val="none" w:sz="0" w:space="0" w:color="auto"/>
                  </w:divBdr>
                  <w:divsChild>
                    <w:div w:id="137236624">
                      <w:marLeft w:val="0"/>
                      <w:marRight w:val="0"/>
                      <w:marTop w:val="0"/>
                      <w:marBottom w:val="0"/>
                      <w:divBdr>
                        <w:top w:val="none" w:sz="0" w:space="0" w:color="auto"/>
                        <w:left w:val="none" w:sz="0" w:space="0" w:color="auto"/>
                        <w:bottom w:val="none" w:sz="0" w:space="0" w:color="auto"/>
                        <w:right w:val="none" w:sz="0" w:space="0" w:color="auto"/>
                      </w:divBdr>
                      <w:divsChild>
                        <w:div w:id="313338546">
                          <w:marLeft w:val="0"/>
                          <w:marRight w:val="0"/>
                          <w:marTop w:val="0"/>
                          <w:marBottom w:val="0"/>
                          <w:divBdr>
                            <w:top w:val="none" w:sz="0" w:space="0" w:color="auto"/>
                            <w:left w:val="none" w:sz="0" w:space="0" w:color="auto"/>
                            <w:bottom w:val="none" w:sz="0" w:space="0" w:color="auto"/>
                            <w:right w:val="none" w:sz="0" w:space="0" w:color="auto"/>
                          </w:divBdr>
                          <w:divsChild>
                            <w:div w:id="11352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088142">
      <w:bodyDiv w:val="1"/>
      <w:marLeft w:val="0"/>
      <w:marRight w:val="0"/>
      <w:marTop w:val="0"/>
      <w:marBottom w:val="0"/>
      <w:divBdr>
        <w:top w:val="none" w:sz="0" w:space="0" w:color="auto"/>
        <w:left w:val="none" w:sz="0" w:space="0" w:color="auto"/>
        <w:bottom w:val="none" w:sz="0" w:space="0" w:color="auto"/>
        <w:right w:val="none" w:sz="0" w:space="0" w:color="auto"/>
      </w:divBdr>
      <w:divsChild>
        <w:div w:id="54083930">
          <w:marLeft w:val="0"/>
          <w:marRight w:val="0"/>
          <w:marTop w:val="0"/>
          <w:marBottom w:val="0"/>
          <w:divBdr>
            <w:top w:val="none" w:sz="0" w:space="0" w:color="auto"/>
            <w:left w:val="none" w:sz="0" w:space="0" w:color="auto"/>
            <w:bottom w:val="none" w:sz="0" w:space="0" w:color="auto"/>
            <w:right w:val="none" w:sz="0" w:space="0" w:color="auto"/>
          </w:divBdr>
          <w:divsChild>
            <w:div w:id="414910051">
              <w:marLeft w:val="0"/>
              <w:marRight w:val="0"/>
              <w:marTop w:val="0"/>
              <w:marBottom w:val="0"/>
              <w:divBdr>
                <w:top w:val="none" w:sz="0" w:space="0" w:color="auto"/>
                <w:left w:val="none" w:sz="0" w:space="0" w:color="auto"/>
                <w:bottom w:val="none" w:sz="0" w:space="0" w:color="auto"/>
                <w:right w:val="none" w:sz="0" w:space="0" w:color="auto"/>
              </w:divBdr>
              <w:divsChild>
                <w:div w:id="1421875929">
                  <w:marLeft w:val="0"/>
                  <w:marRight w:val="0"/>
                  <w:marTop w:val="0"/>
                  <w:marBottom w:val="0"/>
                  <w:divBdr>
                    <w:top w:val="none" w:sz="0" w:space="0" w:color="auto"/>
                    <w:left w:val="none" w:sz="0" w:space="0" w:color="auto"/>
                    <w:bottom w:val="none" w:sz="0" w:space="0" w:color="auto"/>
                    <w:right w:val="none" w:sz="0" w:space="0" w:color="auto"/>
                  </w:divBdr>
                  <w:divsChild>
                    <w:div w:id="58212365">
                      <w:marLeft w:val="0"/>
                      <w:marRight w:val="0"/>
                      <w:marTop w:val="0"/>
                      <w:marBottom w:val="0"/>
                      <w:divBdr>
                        <w:top w:val="none" w:sz="0" w:space="0" w:color="auto"/>
                        <w:left w:val="none" w:sz="0" w:space="0" w:color="auto"/>
                        <w:bottom w:val="none" w:sz="0" w:space="0" w:color="auto"/>
                        <w:right w:val="none" w:sz="0" w:space="0" w:color="auto"/>
                      </w:divBdr>
                      <w:divsChild>
                        <w:div w:id="1297417780">
                          <w:marLeft w:val="0"/>
                          <w:marRight w:val="0"/>
                          <w:marTop w:val="0"/>
                          <w:marBottom w:val="0"/>
                          <w:divBdr>
                            <w:top w:val="none" w:sz="0" w:space="0" w:color="auto"/>
                            <w:left w:val="none" w:sz="0" w:space="0" w:color="auto"/>
                            <w:bottom w:val="none" w:sz="0" w:space="0" w:color="auto"/>
                            <w:right w:val="none" w:sz="0" w:space="0" w:color="auto"/>
                          </w:divBdr>
                          <w:divsChild>
                            <w:div w:id="20839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0588">
      <w:bodyDiv w:val="1"/>
      <w:marLeft w:val="0"/>
      <w:marRight w:val="0"/>
      <w:marTop w:val="0"/>
      <w:marBottom w:val="0"/>
      <w:divBdr>
        <w:top w:val="none" w:sz="0" w:space="0" w:color="auto"/>
        <w:left w:val="none" w:sz="0" w:space="0" w:color="auto"/>
        <w:bottom w:val="none" w:sz="0" w:space="0" w:color="auto"/>
        <w:right w:val="none" w:sz="0" w:space="0" w:color="auto"/>
      </w:divBdr>
    </w:div>
    <w:div w:id="991445198">
      <w:bodyDiv w:val="1"/>
      <w:marLeft w:val="0"/>
      <w:marRight w:val="0"/>
      <w:marTop w:val="0"/>
      <w:marBottom w:val="0"/>
      <w:divBdr>
        <w:top w:val="none" w:sz="0" w:space="0" w:color="auto"/>
        <w:left w:val="none" w:sz="0" w:space="0" w:color="auto"/>
        <w:bottom w:val="none" w:sz="0" w:space="0" w:color="auto"/>
        <w:right w:val="none" w:sz="0" w:space="0" w:color="auto"/>
      </w:divBdr>
    </w:div>
    <w:div w:id="1182279702">
      <w:bodyDiv w:val="1"/>
      <w:marLeft w:val="0"/>
      <w:marRight w:val="0"/>
      <w:marTop w:val="0"/>
      <w:marBottom w:val="0"/>
      <w:divBdr>
        <w:top w:val="none" w:sz="0" w:space="0" w:color="auto"/>
        <w:left w:val="none" w:sz="0" w:space="0" w:color="auto"/>
        <w:bottom w:val="none" w:sz="0" w:space="0" w:color="auto"/>
        <w:right w:val="none" w:sz="0" w:space="0" w:color="auto"/>
      </w:divBdr>
    </w:div>
    <w:div w:id="1216703052">
      <w:bodyDiv w:val="1"/>
      <w:marLeft w:val="0"/>
      <w:marRight w:val="0"/>
      <w:marTop w:val="0"/>
      <w:marBottom w:val="0"/>
      <w:divBdr>
        <w:top w:val="none" w:sz="0" w:space="0" w:color="auto"/>
        <w:left w:val="none" w:sz="0" w:space="0" w:color="auto"/>
        <w:bottom w:val="none" w:sz="0" w:space="0" w:color="auto"/>
        <w:right w:val="none" w:sz="0" w:space="0" w:color="auto"/>
      </w:divBdr>
    </w:div>
    <w:div w:id="1532299586">
      <w:bodyDiv w:val="1"/>
      <w:marLeft w:val="0"/>
      <w:marRight w:val="0"/>
      <w:marTop w:val="0"/>
      <w:marBottom w:val="0"/>
      <w:divBdr>
        <w:top w:val="none" w:sz="0" w:space="0" w:color="auto"/>
        <w:left w:val="none" w:sz="0" w:space="0" w:color="auto"/>
        <w:bottom w:val="none" w:sz="0" w:space="0" w:color="auto"/>
        <w:right w:val="none" w:sz="0" w:space="0" w:color="auto"/>
      </w:divBdr>
    </w:div>
    <w:div w:id="1546331882">
      <w:bodyDiv w:val="1"/>
      <w:marLeft w:val="0"/>
      <w:marRight w:val="0"/>
      <w:marTop w:val="0"/>
      <w:marBottom w:val="0"/>
      <w:divBdr>
        <w:top w:val="none" w:sz="0" w:space="0" w:color="auto"/>
        <w:left w:val="none" w:sz="0" w:space="0" w:color="auto"/>
        <w:bottom w:val="none" w:sz="0" w:space="0" w:color="auto"/>
        <w:right w:val="none" w:sz="0" w:space="0" w:color="auto"/>
      </w:divBdr>
    </w:div>
    <w:div w:id="1710841936">
      <w:bodyDiv w:val="1"/>
      <w:marLeft w:val="0"/>
      <w:marRight w:val="0"/>
      <w:marTop w:val="0"/>
      <w:marBottom w:val="0"/>
      <w:divBdr>
        <w:top w:val="none" w:sz="0" w:space="0" w:color="auto"/>
        <w:left w:val="none" w:sz="0" w:space="0" w:color="auto"/>
        <w:bottom w:val="none" w:sz="0" w:space="0" w:color="auto"/>
        <w:right w:val="none" w:sz="0" w:space="0" w:color="auto"/>
      </w:divBdr>
    </w:div>
    <w:div w:id="1725136114">
      <w:bodyDiv w:val="1"/>
      <w:marLeft w:val="0"/>
      <w:marRight w:val="0"/>
      <w:marTop w:val="0"/>
      <w:marBottom w:val="0"/>
      <w:divBdr>
        <w:top w:val="none" w:sz="0" w:space="0" w:color="auto"/>
        <w:left w:val="none" w:sz="0" w:space="0" w:color="auto"/>
        <w:bottom w:val="none" w:sz="0" w:space="0" w:color="auto"/>
        <w:right w:val="none" w:sz="0" w:space="0" w:color="auto"/>
      </w:divBdr>
      <w:divsChild>
        <w:div w:id="1893224830">
          <w:marLeft w:val="0"/>
          <w:marRight w:val="0"/>
          <w:marTop w:val="0"/>
          <w:marBottom w:val="0"/>
          <w:divBdr>
            <w:top w:val="none" w:sz="0" w:space="0" w:color="auto"/>
            <w:left w:val="none" w:sz="0" w:space="0" w:color="auto"/>
            <w:bottom w:val="none" w:sz="0" w:space="0" w:color="auto"/>
            <w:right w:val="none" w:sz="0" w:space="0" w:color="auto"/>
          </w:divBdr>
          <w:divsChild>
            <w:div w:id="1243022896">
              <w:marLeft w:val="0"/>
              <w:marRight w:val="0"/>
              <w:marTop w:val="0"/>
              <w:marBottom w:val="0"/>
              <w:divBdr>
                <w:top w:val="none" w:sz="0" w:space="0" w:color="auto"/>
                <w:left w:val="none" w:sz="0" w:space="0" w:color="auto"/>
                <w:bottom w:val="none" w:sz="0" w:space="0" w:color="auto"/>
                <w:right w:val="none" w:sz="0" w:space="0" w:color="auto"/>
              </w:divBdr>
              <w:divsChild>
                <w:div w:id="229268845">
                  <w:marLeft w:val="0"/>
                  <w:marRight w:val="0"/>
                  <w:marTop w:val="0"/>
                  <w:marBottom w:val="0"/>
                  <w:divBdr>
                    <w:top w:val="none" w:sz="0" w:space="0" w:color="auto"/>
                    <w:left w:val="none" w:sz="0" w:space="0" w:color="auto"/>
                    <w:bottom w:val="none" w:sz="0" w:space="0" w:color="auto"/>
                    <w:right w:val="none" w:sz="0" w:space="0" w:color="auto"/>
                  </w:divBdr>
                  <w:divsChild>
                    <w:div w:id="1801418000">
                      <w:marLeft w:val="0"/>
                      <w:marRight w:val="0"/>
                      <w:marTop w:val="0"/>
                      <w:marBottom w:val="0"/>
                      <w:divBdr>
                        <w:top w:val="none" w:sz="0" w:space="0" w:color="auto"/>
                        <w:left w:val="none" w:sz="0" w:space="0" w:color="auto"/>
                        <w:bottom w:val="none" w:sz="0" w:space="0" w:color="auto"/>
                        <w:right w:val="none" w:sz="0" w:space="0" w:color="auto"/>
                      </w:divBdr>
                      <w:divsChild>
                        <w:div w:id="2109306477">
                          <w:marLeft w:val="0"/>
                          <w:marRight w:val="0"/>
                          <w:marTop w:val="0"/>
                          <w:marBottom w:val="0"/>
                          <w:divBdr>
                            <w:top w:val="none" w:sz="0" w:space="0" w:color="auto"/>
                            <w:left w:val="none" w:sz="0" w:space="0" w:color="auto"/>
                            <w:bottom w:val="none" w:sz="0" w:space="0" w:color="auto"/>
                            <w:right w:val="none" w:sz="0" w:space="0" w:color="auto"/>
                          </w:divBdr>
                          <w:divsChild>
                            <w:div w:id="281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776841">
      <w:bodyDiv w:val="1"/>
      <w:marLeft w:val="0"/>
      <w:marRight w:val="0"/>
      <w:marTop w:val="0"/>
      <w:marBottom w:val="0"/>
      <w:divBdr>
        <w:top w:val="none" w:sz="0" w:space="0" w:color="auto"/>
        <w:left w:val="none" w:sz="0" w:space="0" w:color="auto"/>
        <w:bottom w:val="none" w:sz="0" w:space="0" w:color="auto"/>
        <w:right w:val="none" w:sz="0" w:space="0" w:color="auto"/>
      </w:divBdr>
    </w:div>
    <w:div w:id="1848670653">
      <w:bodyDiv w:val="1"/>
      <w:marLeft w:val="0"/>
      <w:marRight w:val="0"/>
      <w:marTop w:val="0"/>
      <w:marBottom w:val="0"/>
      <w:divBdr>
        <w:top w:val="none" w:sz="0" w:space="0" w:color="auto"/>
        <w:left w:val="none" w:sz="0" w:space="0" w:color="auto"/>
        <w:bottom w:val="none" w:sz="0" w:space="0" w:color="auto"/>
        <w:right w:val="none" w:sz="0" w:space="0" w:color="auto"/>
      </w:divBdr>
      <w:divsChild>
        <w:div w:id="124473506">
          <w:marLeft w:val="0"/>
          <w:marRight w:val="0"/>
          <w:marTop w:val="0"/>
          <w:marBottom w:val="0"/>
          <w:divBdr>
            <w:top w:val="none" w:sz="0" w:space="0" w:color="auto"/>
            <w:left w:val="none" w:sz="0" w:space="0" w:color="auto"/>
            <w:bottom w:val="none" w:sz="0" w:space="0" w:color="auto"/>
            <w:right w:val="none" w:sz="0" w:space="0" w:color="auto"/>
          </w:divBdr>
          <w:divsChild>
            <w:div w:id="1638604632">
              <w:marLeft w:val="0"/>
              <w:marRight w:val="0"/>
              <w:marTop w:val="0"/>
              <w:marBottom w:val="0"/>
              <w:divBdr>
                <w:top w:val="none" w:sz="0" w:space="0" w:color="auto"/>
                <w:left w:val="none" w:sz="0" w:space="0" w:color="auto"/>
                <w:bottom w:val="none" w:sz="0" w:space="0" w:color="auto"/>
                <w:right w:val="none" w:sz="0" w:space="0" w:color="auto"/>
              </w:divBdr>
              <w:divsChild>
                <w:div w:id="243103364">
                  <w:marLeft w:val="0"/>
                  <w:marRight w:val="0"/>
                  <w:marTop w:val="0"/>
                  <w:marBottom w:val="0"/>
                  <w:divBdr>
                    <w:top w:val="none" w:sz="0" w:space="0" w:color="auto"/>
                    <w:left w:val="none" w:sz="0" w:space="0" w:color="auto"/>
                    <w:bottom w:val="none" w:sz="0" w:space="0" w:color="auto"/>
                    <w:right w:val="none" w:sz="0" w:space="0" w:color="auto"/>
                  </w:divBdr>
                  <w:divsChild>
                    <w:div w:id="61145889">
                      <w:marLeft w:val="0"/>
                      <w:marRight w:val="0"/>
                      <w:marTop w:val="0"/>
                      <w:marBottom w:val="0"/>
                      <w:divBdr>
                        <w:top w:val="none" w:sz="0" w:space="0" w:color="auto"/>
                        <w:left w:val="none" w:sz="0" w:space="0" w:color="auto"/>
                        <w:bottom w:val="none" w:sz="0" w:space="0" w:color="auto"/>
                        <w:right w:val="none" w:sz="0" w:space="0" w:color="auto"/>
                      </w:divBdr>
                      <w:divsChild>
                        <w:div w:id="1198006748">
                          <w:marLeft w:val="0"/>
                          <w:marRight w:val="0"/>
                          <w:marTop w:val="0"/>
                          <w:marBottom w:val="0"/>
                          <w:divBdr>
                            <w:top w:val="none" w:sz="0" w:space="0" w:color="auto"/>
                            <w:left w:val="none" w:sz="0" w:space="0" w:color="auto"/>
                            <w:bottom w:val="none" w:sz="0" w:space="0" w:color="auto"/>
                            <w:right w:val="none" w:sz="0" w:space="0" w:color="auto"/>
                          </w:divBdr>
                          <w:divsChild>
                            <w:div w:id="58931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452983">
      <w:bodyDiv w:val="1"/>
      <w:marLeft w:val="0"/>
      <w:marRight w:val="0"/>
      <w:marTop w:val="0"/>
      <w:marBottom w:val="0"/>
      <w:divBdr>
        <w:top w:val="none" w:sz="0" w:space="0" w:color="auto"/>
        <w:left w:val="none" w:sz="0" w:space="0" w:color="auto"/>
        <w:bottom w:val="none" w:sz="0" w:space="0" w:color="auto"/>
        <w:right w:val="none" w:sz="0" w:space="0" w:color="auto"/>
      </w:divBdr>
    </w:div>
    <w:div w:id="1927301685">
      <w:bodyDiv w:val="1"/>
      <w:marLeft w:val="0"/>
      <w:marRight w:val="0"/>
      <w:marTop w:val="0"/>
      <w:marBottom w:val="0"/>
      <w:divBdr>
        <w:top w:val="none" w:sz="0" w:space="0" w:color="auto"/>
        <w:left w:val="none" w:sz="0" w:space="0" w:color="auto"/>
        <w:bottom w:val="none" w:sz="0" w:space="0" w:color="auto"/>
        <w:right w:val="none" w:sz="0" w:space="0" w:color="auto"/>
      </w:divBdr>
      <w:divsChild>
        <w:div w:id="403183223">
          <w:marLeft w:val="0"/>
          <w:marRight w:val="0"/>
          <w:marTop w:val="0"/>
          <w:marBottom w:val="0"/>
          <w:divBdr>
            <w:top w:val="none" w:sz="0" w:space="0" w:color="auto"/>
            <w:left w:val="none" w:sz="0" w:space="0" w:color="auto"/>
            <w:bottom w:val="none" w:sz="0" w:space="0" w:color="auto"/>
            <w:right w:val="none" w:sz="0" w:space="0" w:color="auto"/>
          </w:divBdr>
          <w:divsChild>
            <w:div w:id="2113044306">
              <w:marLeft w:val="0"/>
              <w:marRight w:val="0"/>
              <w:marTop w:val="0"/>
              <w:marBottom w:val="0"/>
              <w:divBdr>
                <w:top w:val="none" w:sz="0" w:space="0" w:color="auto"/>
                <w:left w:val="none" w:sz="0" w:space="0" w:color="auto"/>
                <w:bottom w:val="none" w:sz="0" w:space="0" w:color="auto"/>
                <w:right w:val="none" w:sz="0" w:space="0" w:color="auto"/>
              </w:divBdr>
              <w:divsChild>
                <w:div w:id="359403167">
                  <w:marLeft w:val="0"/>
                  <w:marRight w:val="0"/>
                  <w:marTop w:val="0"/>
                  <w:marBottom w:val="0"/>
                  <w:divBdr>
                    <w:top w:val="none" w:sz="0" w:space="0" w:color="auto"/>
                    <w:left w:val="none" w:sz="0" w:space="0" w:color="auto"/>
                    <w:bottom w:val="none" w:sz="0" w:space="0" w:color="auto"/>
                    <w:right w:val="none" w:sz="0" w:space="0" w:color="auto"/>
                  </w:divBdr>
                  <w:divsChild>
                    <w:div w:id="545067143">
                      <w:marLeft w:val="0"/>
                      <w:marRight w:val="0"/>
                      <w:marTop w:val="0"/>
                      <w:marBottom w:val="0"/>
                      <w:divBdr>
                        <w:top w:val="none" w:sz="0" w:space="0" w:color="auto"/>
                        <w:left w:val="none" w:sz="0" w:space="0" w:color="auto"/>
                        <w:bottom w:val="none" w:sz="0" w:space="0" w:color="auto"/>
                        <w:right w:val="none" w:sz="0" w:space="0" w:color="auto"/>
                      </w:divBdr>
                      <w:divsChild>
                        <w:div w:id="692342707">
                          <w:marLeft w:val="0"/>
                          <w:marRight w:val="0"/>
                          <w:marTop w:val="0"/>
                          <w:marBottom w:val="0"/>
                          <w:divBdr>
                            <w:top w:val="none" w:sz="0" w:space="0" w:color="auto"/>
                            <w:left w:val="none" w:sz="0" w:space="0" w:color="auto"/>
                            <w:bottom w:val="none" w:sz="0" w:space="0" w:color="auto"/>
                            <w:right w:val="none" w:sz="0" w:space="0" w:color="auto"/>
                          </w:divBdr>
                          <w:divsChild>
                            <w:div w:id="2259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81616109">
      <w:bodyDiv w:val="1"/>
      <w:marLeft w:val="0"/>
      <w:marRight w:val="0"/>
      <w:marTop w:val="0"/>
      <w:marBottom w:val="0"/>
      <w:divBdr>
        <w:top w:val="none" w:sz="0" w:space="0" w:color="auto"/>
        <w:left w:val="none" w:sz="0" w:space="0" w:color="auto"/>
        <w:bottom w:val="none" w:sz="0" w:space="0" w:color="auto"/>
        <w:right w:val="none" w:sz="0" w:space="0" w:color="auto"/>
      </w:divBdr>
      <w:divsChild>
        <w:div w:id="245463068">
          <w:marLeft w:val="0"/>
          <w:marRight w:val="0"/>
          <w:marTop w:val="0"/>
          <w:marBottom w:val="0"/>
          <w:divBdr>
            <w:top w:val="none" w:sz="0" w:space="0" w:color="auto"/>
            <w:left w:val="none" w:sz="0" w:space="0" w:color="auto"/>
            <w:bottom w:val="none" w:sz="0" w:space="0" w:color="auto"/>
            <w:right w:val="none" w:sz="0" w:space="0" w:color="auto"/>
          </w:divBdr>
          <w:divsChild>
            <w:div w:id="1172061272">
              <w:marLeft w:val="0"/>
              <w:marRight w:val="0"/>
              <w:marTop w:val="0"/>
              <w:marBottom w:val="0"/>
              <w:divBdr>
                <w:top w:val="none" w:sz="0" w:space="0" w:color="auto"/>
                <w:left w:val="none" w:sz="0" w:space="0" w:color="auto"/>
                <w:bottom w:val="none" w:sz="0" w:space="0" w:color="auto"/>
                <w:right w:val="none" w:sz="0" w:space="0" w:color="auto"/>
              </w:divBdr>
              <w:divsChild>
                <w:div w:id="1224295097">
                  <w:marLeft w:val="0"/>
                  <w:marRight w:val="0"/>
                  <w:marTop w:val="0"/>
                  <w:marBottom w:val="0"/>
                  <w:divBdr>
                    <w:top w:val="none" w:sz="0" w:space="0" w:color="auto"/>
                    <w:left w:val="none" w:sz="0" w:space="0" w:color="auto"/>
                    <w:bottom w:val="none" w:sz="0" w:space="0" w:color="auto"/>
                    <w:right w:val="none" w:sz="0" w:space="0" w:color="auto"/>
                  </w:divBdr>
                  <w:divsChild>
                    <w:div w:id="570045809">
                      <w:marLeft w:val="0"/>
                      <w:marRight w:val="0"/>
                      <w:marTop w:val="0"/>
                      <w:marBottom w:val="0"/>
                      <w:divBdr>
                        <w:top w:val="none" w:sz="0" w:space="0" w:color="auto"/>
                        <w:left w:val="none" w:sz="0" w:space="0" w:color="auto"/>
                        <w:bottom w:val="none" w:sz="0" w:space="0" w:color="auto"/>
                        <w:right w:val="none" w:sz="0" w:space="0" w:color="auto"/>
                      </w:divBdr>
                      <w:divsChild>
                        <w:div w:id="338388476">
                          <w:marLeft w:val="0"/>
                          <w:marRight w:val="0"/>
                          <w:marTop w:val="0"/>
                          <w:marBottom w:val="0"/>
                          <w:divBdr>
                            <w:top w:val="none" w:sz="0" w:space="0" w:color="auto"/>
                            <w:left w:val="none" w:sz="0" w:space="0" w:color="auto"/>
                            <w:bottom w:val="none" w:sz="0" w:space="0" w:color="auto"/>
                            <w:right w:val="none" w:sz="0" w:space="0" w:color="auto"/>
                          </w:divBdr>
                          <w:divsChild>
                            <w:div w:id="7324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928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7C349-D7C2-4CD1-8F73-AA0979E11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Fernanda Garces Florez</dc:creator>
  <cp:keywords/>
  <dc:description/>
  <cp:lastModifiedBy>Especialista de Negocios Verdes</cp:lastModifiedBy>
  <cp:revision>2</cp:revision>
  <cp:lastPrinted>2026-03-10T12:18:00Z</cp:lastPrinted>
  <dcterms:created xsi:type="dcterms:W3CDTF">2026-03-18T03:24:00Z</dcterms:created>
  <dcterms:modified xsi:type="dcterms:W3CDTF">2026-03-18T03:24:00Z</dcterms:modified>
</cp:coreProperties>
</file>