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r>
        <w:t>S6.1 — Monitoreo digital de carbono (dMRV): tecnología, protocolos y aplicación en biochar</w:t>
      </w:r>
    </w:p>
    <w:p>
      <w:pPr>
        <w:jc w:val="center"/>
      </w:pPr>
      <w:r>
        <w:rPr>
          <w:b/>
          <w:sz w:val="22"/>
        </w:rPr>
        <w:t>Módulo 06 | Sesión 6.1</w:t>
      </w:r>
    </w:p>
    <w:p>
      <w:pPr>
        <w:jc w:val="center"/>
      </w:pPr>
      <w:r>
        <w:rPr>
          <w:b/>
          <w:sz w:val="22"/>
        </w:rPr>
        <w:t>Coffee Biochar Academy — Lecturas Científicas Complementarias</w:t>
      </w:r>
    </w:p>
    <w:p>
      <w:pPr>
        <w:pStyle w:val="Ttulo2"/>
      </w:pPr>
      <w:r>
        <w:t>1. Introducción</w:t>
      </w:r>
    </w:p>
    <w:p>
      <w:pPr/>
      <w:r>
        <w:t>El valor de un crédito de carbono en los mercados voluntarios o regulados depende, en última instancia, de la confianza en que la reducción de emisiones o el secuestro de carbono que lo respalda es real, medible y verificable. En el campo del biochar y la captura de carbono en suelos agrícolas, esta confianza no puede construirse sobre estimaciones genéricas o factores promedio globales: depende de sistemas de monitoreo que sean capaces de cuantificar con precisión el cambio real en el stock de carbono orgánico del suelo (SOC) en cada parcela, bajo condiciones específicas de clima, textura y manejo. Esta necesidad de precisión localizada es el motor del desarrollo de los sistemas de Monitoreo, Reporte y Verificación Digital (dMRV), que integran sensores de campo, teledetección satelital y modelos estadísticos de aprendizaje automático en arquitecturas capaces de generar estimaciones de SOC con incertidumbre cuantificada y a escala operativa.</w:t>
      </w:r>
    </w:p>
    <w:p>
      <w:pPr/>
      <w:r>
        <w:t>Para el extensionista rural que trabaja con caficultores colombianos en el desarrollo de proyectos de biochar y secuestro de carbono, comprender los fundamentos del dMRV no es un ejercicio de tecnología abstracta: es la diferencia entre poder ofrecer a sus fincas acompañadas la posibilidad real de generar créditos de carbono certificados, y limitarse a la descripción cualitativa de los beneficios climáticos del biochar sin poder monetizarlos. La presente lectura recorre el estado del arte del dMRV —sus componentes tecnológicos, su arquitectura de sistemas, sus capacidades y sus limitaciones—, con especial atención a los requerimientos específicos de los estándares de biochar y a las fuentes de incertidumbre que los extensionistas deben gestionar en el diseño de proyectos.</w:t>
      </w:r>
    </w:p>
    <w:p>
      <w:pPr>
        <w:spacing w:before="240"/>
        <w:jc w:val="center"/>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S6.1_dMRV_arquitectura.png"/>
                    <pic:cNvPicPr/>
                  </pic:nvPicPr>
                  <pic:blipFill>
                    <a:blip r:embed="rId12"/>
                    <a:stretch>
                      <a:fillRect/>
                    </a:stretch>
                  </pic:blipFill>
                  <pic:spPr>
                    <a:xfrm>
                      <a:off x="0" y="0"/>
                      <a:ext cx="5029200" cy="2743200"/>
                    </a:xfrm>
                    <a:prstGeom prst="rect"/>
                  </pic:spPr>
                </pic:pic>
              </a:graphicData>
            </a:graphic>
          </wp:inline>
        </w:drawing>
      </w:r>
    </w:p>
    <w:p>
      <w:pPr>
        <w:spacing w:after="280"/>
        <w:jc w:val="center"/>
      </w:pPr>
      <w:r>
        <w:rPr>
          <w:i/>
          <w:sz w:val="20"/>
        </w:rPr>
        <w:t>Figura 1. Arquitectura dMRV: sensores IoT, espectroscopía Vis-NIR, teledetección satelital y modelos de estimación de SOC.</w:t>
      </w:r>
    </w:p>
    <w:p>
      <w:pPr>
        <w:pStyle w:val="Ttulo2"/>
      </w:pPr>
      <w:r>
        <w:t>2. Estado del arte del dMRV: definición y componentes tecnológicos</w:t>
      </w:r>
    </w:p>
    <w:p>
      <w:pPr/>
      <w:r>
        <w:t>El término dMRV (digital MRV) designa el conjunto de tecnologías y protocolos que permiten monitorear, reportar y verificar el carbono almacenado en sistemas terrestres —suelos agrícolas, forestales o de pastizales— mediante métodos digitales que complementan o reducen la necesidad de muestreo físico de campo. La revisión más comprensiva disponible sobre el estado del arte del dMRV, realizada en 2025, documentó un ecosistema tecnológico que incluye sensores de suelo de tiempo de dominio reflectometría (TDR), sensores inalámbricos IoT para humedad y temperatura, espectrómetros de reflectancia visible-infrarrojo cercano (Vis-NIR) tanto de laboratorio como portátiles de campo, plataformas de teledetección satelital (Sentinel-2, Landsat, SAR de Sentinel-1A) y sistemas de vehículos aéreos no tripulados (drones) con sensores multiespectrales e hiperespectrales (Diaz-Chavez et al., 2025). El hallazgo más importante de este análisis tecnológico es que las metodologías actuales de dMRV no están estandarizadas: los implementadores de proyectos seleccionan enfoques de medición de manera independiente, lo que compromete la comparabilidad entre proyectos y la confianza de los compradores de créditos. La recomendación de este trabajo es que los desarrolladores de metodologías de registro colaboren activamente con los organismos de estándares para validar las tecnologías sensoras contra benchmarks de desempeño MRV comparables.</w:t>
      </w:r>
    </w:p>
    <w:p>
      <w:pPr/>
      <w:r>
        <w:t>La tecnología más madura para el dMRV de SOC en suelos agrícolas es la combinación de sensores de suelo TDR más teledetección multiespectral integrada, que permite estimar el contenido de agua y temperatura del suelo in situ mientras las imágenes satelitales proveen información sobre el estado de la cobertura vegetal y las variaciones espectrales asociadas al contenido de MO superficial. Para aplicaciones de biochar, donde el C del biochar es físicamente diferente del C orgánico nativo y requiere distinción metodológica, los sistemas dMRV deben incorporar análisis de suelo físico en parcelas de monitoreo permanente como ancla de calibración de los modelos digitales.</w:t>
      </w:r>
    </w:p>
    <w:p>
      <w:pPr>
        <w:pStyle w:val="Ttulo2"/>
      </w:pPr>
      <w:r>
        <w:t>3. Espectroscopía Vis-NIR y sensores de suelo: la base analítica del monitoreo de bajo costo</w:t>
      </w:r>
    </w:p>
    <w:p>
      <w:pPr/>
      <w:r>
        <w:t>La espectroscopía de reflectancia en el rango visible e infrarrojo cercano (Vis-NIR, 350–2500 nm) es la tecnología que más ha democratizado el análisis de carbono orgánico del suelo porque permite obtener predicciones de SOC a partir de la medición de la luz reflejada por el suelo —una medición que dura segundos y no requiere reactivos químicos— con precisiones que se aproximan a las del análisis por oxidación húmeda convencional. La base científica de esta tecnología fue establecida por Viscarra Rossel &amp; Behrens (2010), quienes compararon siete algoritmos de aprendizaje automático para predecir SOC desde espectros Vis-NIR: Random Forest y Boosted Trees superaron significativamente a la regresión de mínimos cuadrados parciales (PLSR) tradicional, alcanzando R² &gt; 0,85 en validación independiente. Las bandas espectrales con mayor correlación con el carbono orgánico se sitúan en el visible (500–900 nm) y en el infrarrojo cercano (1.300–1.950 nm), rangos en los que el carbono orgánico produce absorciones y reflexiones características que los modelos de aprendizaje automático pueden aprender a interpretar.</w:t>
      </w:r>
    </w:p>
    <w:p>
      <w:pPr/>
      <w:r>
        <w:t>El desafío práctico de la espectroscopía Vis-NIR es que los modelos de predicción entrenados en un conjunto de suelos pierden precisión cuando se aplican a suelos con composiciones mineralógicas muy diferentes. En los Andisoles cafeteros colombianos, con alta proporción de alofano y altos contenidos de hierro, los modelos entrenados en suelos de otras regiones pueden necesitar recalibración local antes de producir estimaciones de SOC confiables para certificación. Un avance metodológico importante es la fusión de datos espectrales Vis-NIR de laboratorio con imágenes de satélite Sentinel-2: esta combinación híbrida eleva el R² de predicción de SOC de 0,57 (solo Sentinel-2) a 0,78 (fusión Sentinel-2 + Vis-NIR de laboratorio), reduciendo el RMSE de 2,1 a 1,5 g/kg (Zayani et al., 2023). El enfoque híbrido sensor-satélite reduce significativamente los costos de muestreo físico de suelo mientras mantiene una precisión cercana al umbral de los estándares MRV de mayor exigencia.</w:t>
      </w:r>
    </w:p>
    <w:p>
      <w:pPr>
        <w:pStyle w:val="Ttulo2"/>
      </w:pPr>
      <w:r>
        <w:t>4. Teledetección satelital: Sentinel-2, Landsat y SAR</w:t>
      </w:r>
    </w:p>
    <w:p>
      <w:pPr/>
      <w:r>
        <w:t>La teledetección satelital complementa el monitoreo de campo proporcionando cobertura espacial continua a costos marginales muy bajos para proyectos de gran extensión. Las plataformas más utilizadas en el dMRV de carbono son Sentinel-2 (resolución espacial 10 m, revisita 5 días en el ecuador, bandas ópticas y multiespectrales) y Landsat 8/9 (resolución 30 m, revisita 16 días, mayor archivo histórico). Para la estimación de biomasa forestal y de carbono aéreo —relevante en los proyectos de biochar bajo sistemas agroforestales cafeteros—, la fusión de datos ópticos de Landsat con datos SAR (radar de apertura sintética) de Sentinel-1A supera la saturación espectral que limita los modelos solo ópticos para bosques densos: la combinación Landsat 8 + Sentinel-1A SAR alcanza R² = 0,87 y RMSE = 18,3 Mg/ha para la estimación de biomasa aérea en bosques subtropicales, con XGBoost y Random Forest superando significativamente a la regresión lineal (Ou et al., 2020). La información SAR de Sentinel-1A es especialmente valiosa para zonas cafeteras colombianas donde la cobertura nubosa frecuente limita la disponibilidad de imágenes ópticas de alta calidad.</w:t>
      </w:r>
    </w:p>
    <w:p>
      <w:pPr/>
      <w:r>
        <w:t>Para el SOC del suelo agrícola —que es el parámetro central en los proyectos de biochar—, la teledetección satelital tiene limitaciones inherentes: las imágenes de satélite capturan información de los primeros milímetros de suelo desnudo o de la cobertura vegetal, y no pueden penetrar directamente el suelo para cuantificar el C en profundidad. Por esta razón, los sistemas dMRV más robustos para SOC combinan datos satelitales (como índice de vegetación NDVI, índice de suelo desnudo NDSI, temperatura superficial de la tierra) con datos de campo tomados en parcelas de monitoreo permanente y con mapas globales de SOC derivados de modelos geoestadísticos.</w:t>
      </w:r>
    </w:p>
    <w:p>
      <w:pPr>
        <w:pStyle w:val="Ttulo2"/>
      </w:pPr>
      <w:r>
        <w:t>5. SoilGrids 2.0 y la línea base global de SOC</w:t>
      </w:r>
    </w:p>
    <w:p>
      <w:pPr/>
      <w:r>
        <w:t>Cualquier proyecto de biochar que aspire a generar créditos de carbono verificables necesita establecer una línea base de SOC —el stock de carbono en el suelo antes de la intervención— que sea creíble y defendible ante los verificadores del registro. SoilGrids 2.0, la plataforma de mapas globales de suelo del Instituto ISRIC de Información de Suelos del Mundo, ofrece la referencia estándar más ampliamente utilizada por los sistemas dMRV y los registros de créditos de carbono (Poggio et al., 2021). SoilGrids 2.0 produce mapas de SOC a 250 m de resolución utilizando aprendizaje automático entrenado con aproximadamente 240.000 perfiles de suelo de todo el mundo y más de 400 covariables ambientales; proporciona intervalos de predicción al 90% como medida cuantificada de la incertidumbre espacial en seis profundidades estándar (0–200 cm). Los stocks de SOC en los primeros 30 cm varían entre menos de 10 t C/ha en regiones áridas y más de 200 t C/ha en turberas tropicales.</w:t>
      </w:r>
    </w:p>
    <w:p>
      <w:pPr/>
      <w:r>
        <w:t>Para los suelos cafeteros colombianos del Huila y el Cauca, los mapas SoilGrids 2.0 proporcionan una estimación de la línea base de SOC que puede utilizarse como punto de partida del cálculo de créditos de carbono en el marco de proyectos dMRV de nivel Tier 2. Sin embargo, la resolución de 250 m y los intervalos de incertidumbre son frecuentemente demasiado amplios para proyectos de pequeña escala (&lt; 100 ha), donde la variabilidad espacial del SOC dentro de esa resolución puede ser del orden del 30–50% del valor medio. La superación de esta limitación requiere la combinación de SoilGrids como línea base global con muestreo físico estratificado en campo —denominado enfoque Tier 3 en la jerarquía del IPCC— para calibrar y refinar los modelos localmente.</w:t>
      </w:r>
    </w:p>
    <w:p>
      <w:pPr/>
      <w:r>
        <w:t>La razón por la que la variabilidad espacial del SOC justifica el monitoreo Tier 3 es cuantificada por Amelung et al. (2020): las tasas de secuestro de SOC bajo manejo mejorado varían entre 3 y 10 veces dependiendo de la textura del suelo, la zona climática y el historial de manejo. Esta variabilidad de factor 10 hace que las estimaciones basadas en factores promedio globales —el Tier 1 del IPCC— sean inadecuadas para proyectos donde el pago por crédito depende de una cuantificación precisa del incremento real de SOC en cada parcela.</w:t>
      </w:r>
    </w:p>
    <w:p>
      <w:pPr>
        <w:pStyle w:val="Ttulo2"/>
      </w:pPr>
      <w:r>
        <w:t>6. Arquitecturas dMRV escalables: del Tier 1 al Tier 3</w:t>
      </w:r>
    </w:p>
    <w:p>
      <w:pPr/>
      <w:r>
        <w:t>El marco conceptual más útil para diseñar sistemas dMRV es la arquitectura modular y escalable propuesta por Batjes et al. (2024), que parte de los niveles de la jerarquía IPCC (Tier 1 a Tier 3) y construye módulos de monitoreo que pueden combinarse según los recursos disponibles del proyecto y los requerimientos de los registros de créditos. En el Tier 1, el proyecto utiliza factores de emisión predeterminados y valores de SOC de mapas globales —como SoilGrids 2.0— sin mediciones adicionales en campo; este nivel es el de menor costo pero también el de mayor incertidumbre y el que produce créditos con mayor conservatismo (se aplican descuentos de incertidumbre que pueden consumir el 30–50% de los créditos calculados). En el Tier 2, el proyecto calibra los factores globales con datos de campo regionales o nacionales y con análisis de suelo en parcelas de referencia, reduciendo la incertidumbre y aumentando los créditos verificables. En el Tier 3, el proyecto despliega sistemas de monitoreo continuos con sensores IoT, imágenes satelitales de alta frecuencia y modelos estadísticos localmente calibrados, con validación independiente de las estimaciones de SOC mediante análisis de laboratorio en parcelas de monitoreo permanente.</w:t>
      </w:r>
    </w:p>
    <w:p>
      <w:pPr/>
      <w:r>
        <w:t>Para los proyectos de biochar en fincas cafeteras colombianas de pequeña y mediana escala, el Tier 2 con elementos de Tier 3 es la arquitectura más realista en términos de la relación costo-precisión. Esto implica: establecer parcelas de monitoreo permanente con muestreo de suelo inicial (para la línea base) y bianual (para el seguimiento del incremento de SOC), combinar datos de SoilGrids y mapas nacionales de suelos para la estratificación espacial, y utilizar imágenes Sentinel-2 para el monitoreo de la cobertura vegetal y de los índices de suelo desnudo como proxy de cambios en el SOC superficial. Este diseño es precisamente el que los programas de dMRV a escala comercial han adoptado con éxito: la plataforma Indigo Ag escaló de 40.000 ha en su primera emisión de créditos (junio 2022) a 550.000 ha en su tercera emisión (febrero 2024), utilizando un pipeline dMRV basado en datos de manejo agronómico más modelos de regresión calibrados localmente, reduciendo significativamente los costos de muestreo físico de suelo (Johnson &amp; Theissen, 2024).</w:t>
      </w:r>
    </w:p>
    <w:p>
      <w:pPr>
        <w:pStyle w:val="Ttulo2"/>
      </w:pPr>
      <w:r>
        <w:t>7. Requerimientos específicos del dMRV para biochar</w:t>
      </w:r>
    </w:p>
    <w:p>
      <w:pPr/>
      <w:r>
        <w:t>Los protocolos de certificación de biochar —Puro.earth, EBC-C-Sink, Verra VM0042— tienen requerimientos dMRV específicos que difieren de los aplicables a otros mecanismos de secuestro de carbono en suelo. Un análisis comparativo de los protocolos MRV de los principales registros para cuatro métodos de CDR terrestre, incluyendo biochar, identificó brechas sistemáticas en la integración LCA-MRV: los protocolos actuales no capturan adecuadamente la temporalidad de las emisiones en el ciclo de vida del biochar —desde la producción hasta la aplicación— y no incorporan modelos dinámicos de carbono que reflejen la fracción de C lábil que se mineraliza en los primeros meses (Yao &amp; Zhang, 2025). Este estudio propone que el análisis de ciclo de vida (LCA) sea incorporado como complemento obligatorio al MRV para capturar las emisiones upstream del feedstock (recolección, transporte, secado) y las emisiones del proceso de pirólisis, que no son capturadas por los sistemas MRV convencionales que solo cuantifican el C almacenado en el suelo.</w:t>
      </w:r>
    </w:p>
    <w:p>
      <w:pPr/>
      <w:r>
        <w:t>Para el extensionista que trabaja en el diseño de proyectos de biochar certificables, estos requerimientos tienen implicaciones prácticas concretas: la cadena de documentación debe incluir registros de la cantidad y tipo de feedstock pirolizado, la temperatura y duración del proceso de pirólisis, las características del biochar producido (H/C, PAH), la dosis y profundidad de aplicación al suelo, y los análisis de suelo iniciales y de seguimiento. Esta cadena de documentación es la que los verificadores del registro utilizan para validar que el carbono cuantificado por los modelos dMRV corresponde a una intervención real y documentada.</w:t>
      </w:r>
    </w:p>
    <w:p>
      <w:pPr>
        <w:pStyle w:val="Ttulo2"/>
      </w:pPr>
      <w:r>
        <w:t>8. Fuentes de incertidumbre: el control de calidad analítico como factor crítico</w:t>
      </w:r>
    </w:p>
    <w:p>
      <w:pPr/>
      <w:r>
        <w:t>Una dimensión del dMRV que frecuentemente se subestima en la discusión tecnológica es el papel de los errores de procesamiento de muestras de suelo como fuente de incertidumbre que puede superar la señal real de cambio de SOC que el proyecto pretende detectar. Un estudio empírico publicado en 2025 identificó que los protocolos inconsistentes de secado, molienda y almacenamiento de muestras introducen errores del 10 al 40% en las concentraciones de SOC medidas (Even et al., 2025). La variabilidad inter-laboratorio en mediciones de SOC puede superar la magnitud real del cambio de SOC inducido por el manejo, que típicamente es de 0,5 a 2 t C/ha/año en sistemas bajo mejora. Los tres pasos críticos que el estudio identifica como fuentes principales de error y que deben estandarizarse son: la temperatura de secado de las muestras (el secado a temperatura excesiva destruye parcialmente la materia orgánica lábil), la intensidad de molienda (la molienda excesiva aumenta la reactividad de la muestra y puede alterar las mediciones), y el almacenamiento de muestras antes del análisis (el almacenamiento a temperatura ambiente puede inducir mineralización microbiana o condensación de humedad que altera las lecturas).</w:t>
      </w:r>
    </w:p>
    <w:p>
      <w:pPr/>
      <w:r>
        <w:t>Para los proyectos de biochar en Colombia, esta evidencia implica que la selección del laboratorio de análisis de suelos y la estandarización del protocolo de toma y manejo de muestras son componentes críticos del diseño del sistema dMRV, no simples detalles logísticos. El extensionista debe asegurarse de que el laboratorio utilizado dispone de protocolos validados y de que la cadena de custodia de las muestras —desde el campo hasta el laboratorio— está documentada y controlada, para que los datos de SOC obtenidos sean defensibles ante los verificadores del registro de créditos.</w:t>
      </w:r>
    </w:p>
    <w:p>
      <w:pPr>
        <w:pStyle w:val="Ttulo2"/>
      </w:pPr>
      <w:r>
        <w:t>9. Implicaciones prácticas para el extensionista</w:t>
      </w:r>
    </w:p>
    <w:p>
      <w:pPr/>
      <w:r>
        <w:t>El conocimiento del dMRV permite al extensionista actuar como diseñador de sistemas de monitoreo en las fincas cafeteras que acompaña, contribuyendo a que los productores puedan acceder a los mercados de carbono con proyectos técnicamente sólidos. La primera implicación práctica es la planificación del muestreo inicial de suelos antes de la primera aplicación de biochar: este muestreo —estratificado por pendiente, textura y historial de uso— establece la línea base del proyecto y su calidad determina la credibilidad de todos los créditos futuros.</w:t>
      </w:r>
    </w:p>
    <w:p>
      <w:pPr/>
      <w:r>
        <w:t>La segunda implicación práctica es la integración de datos de manejo agronómico en el sistema de documentación del proyecto. Los registros de las dosis de biochar aplicadas, las fechas de aplicación, la profundidad de incorporación y los análisis de caracterización del biochar —especialmente H/C, pH y contenido de metales— son los datos que permiten al sistema dMRV calcular el C estabilizado en el suelo con mayor precisión y menor incertidumbre.</w:t>
      </w:r>
    </w:p>
    <w:p>
      <w:pPr/>
      <w:r>
        <w:t>La tercera implicación práctica es la comprensión de que la tecnología digital —sensores IoT, imágenes Sentinel-2, modelos de aprendizaje automático— reduce pero no elimina la necesidad de muestreo físico de suelo. Los sistemas más precisos y confiables son los que combinan datos digitales continuos con muestreos físicos de calibración en parcelas permanentes de referencia, siguiendo la arquitectura Tier 2/3 que ha demostrado viabilidad comercial a escala de cientos de miles de hectáreas.</w:t>
      </w:r>
    </w:p>
    <w:p>
      <w:pPr>
        <w:pStyle w:val="Ttulo2"/>
      </w:pPr>
      <w:r>
        <w:t>10. Conclusión</w:t>
      </w:r>
    </w:p>
    <w:p>
      <w:pPr/>
      <w:r>
        <w:t>El dMRV representa la convergencia entre la ciencia del suelo, la teledetección, el aprendizaje automático y los mercados de carbono en un sistema integrado capaz de cuantificar con precisión creciente los cambios en el stock de carbono orgánico del suelo a escala de finca y de paisaje. La evidencia disponible muestra que la fusión de sensores Vis-NIR con imágenes Sentinel-2 puede alcanzar precisiones de R² = 0,78 en la predicción de SOC; que plataformas operativas como Indigo Ag han demostrado la viabilidad de este enfoque a 550.000 ha en condiciones comerciales reales; y que el principal cuello de botella de la cadena de verificación no es la tecnología de monitoreo sino el control de calidad analítico en el procesamiento de muestras, cuyos errores pueden superar la señal de cambio de SOC si no se estandariza rigurosamente. El extensionista que domina estos fundamentos está en condiciones de contribuir activamente al diseño de proyectos de biochar verificables y comercializables, transformando la práctica agronómica del manejo del suelo cafetero en una fuente adicional de ingresos para las fincas colombianas.</w:t>
      </w:r>
    </w:p>
    <w:p>
      <w:pPr>
        <w:pStyle w:val="Ttulo2"/>
      </w:pPr>
      <w:r>
        <w:t>Referencias</w:t>
      </w:r>
    </w:p>
    <w:p>
      <w:pPr/>
      <w:r>
        <w:rPr>
          <w:sz w:val="20"/>
        </w:rPr>
        <w:t xml:space="preserve">Amelung, W., Bossio, D., de Vries, W., Kögel-Knabner, I., Lehmann, J., Amundson, R., Bol, R., Collins, C., Lal, R., Leifeld, J., Minasny, B., Pan, G., Paustian, K., Rumpel, C., Sanderman, J., van Groenigen, J.W., Mooney, S., van Wesemael, B., Wander, M., &amp; Chabbi, A. (2020). Towards a global-scale soil climate mitigation strategy. </w:t>
      </w:r>
      <w:r>
        <w:rPr>
          <w:i/>
          <w:sz w:val="20"/>
        </w:rPr>
        <w:t>Nature Communications</w:t>
      </w:r>
      <w:r>
        <w:rPr>
          <w:sz w:val="20"/>
        </w:rPr>
        <w:t>, 11, 5427. https://doi.org/10.1038/s41467-020-18887-7</w:t>
      </w:r>
    </w:p>
    <w:p>
      <w:pPr/>
      <w:r>
        <w:rPr>
          <w:sz w:val="20"/>
        </w:rPr>
        <w:t xml:space="preserve">Batjes, N.H., Ceschia, E., Heuvelink, G.B.M., Demenois, J., le Maire, G., Cardinael, R., Arias-Navarro, C., &amp; van Egmond, F. (2024). Towards a modular, multi-ecosystem monitoring, reporting and verification (MRV) framework for soil organic carbon stock change assessment. </w:t>
      </w:r>
      <w:r>
        <w:rPr>
          <w:i/>
          <w:sz w:val="20"/>
        </w:rPr>
        <w:t>Carbon Management</w:t>
      </w:r>
      <w:r>
        <w:rPr>
          <w:sz w:val="20"/>
        </w:rPr>
        <w:t>, 15(1). https://doi.org/10.1080/17583004.2024.2410812</w:t>
      </w:r>
    </w:p>
    <w:p>
      <w:pPr/>
      <w:r>
        <w:rPr>
          <w:sz w:val="20"/>
        </w:rPr>
        <w:t xml:space="preserve">Diaz-Chavez, R., et al. (2025). Digital Monitoring, Reporting, and Verification Technologies Supporting Carbon Credit-Generating Water Security Programs: State of the Art and Technology Roadmap. </w:t>
      </w:r>
      <w:r>
        <w:rPr>
          <w:i/>
          <w:sz w:val="20"/>
        </w:rPr>
        <w:t>Environmental Science &amp; Technology Letters</w:t>
      </w:r>
      <w:r>
        <w:rPr>
          <w:sz w:val="20"/>
        </w:rPr>
        <w:t>. https://doi.org/10.1021/acs.estlett.4c01048</w:t>
      </w:r>
    </w:p>
    <w:p>
      <w:pPr/>
      <w:r>
        <w:rPr>
          <w:sz w:val="20"/>
        </w:rPr>
        <w:t xml:space="preserve">Even, R., Leifeld, J., Müller-Stöver, D., &amp; Sørensen, P. (2025). Large errors in soil carbon measurements attributed to inconsistent sample processing. </w:t>
      </w:r>
      <w:r>
        <w:rPr>
          <w:i/>
          <w:sz w:val="20"/>
        </w:rPr>
        <w:t>SOIL</w:t>
      </w:r>
      <w:r>
        <w:rPr>
          <w:sz w:val="20"/>
        </w:rPr>
        <w:t>, 11, 17–34. https://doi.org/10.5194/soil-11-17-2025</w:t>
      </w:r>
    </w:p>
    <w:p>
      <w:pPr/>
      <w:r>
        <w:rPr>
          <w:sz w:val="20"/>
        </w:rPr>
        <w:t xml:space="preserve">Johnson, J.M.F., &amp; Theissen, M. (2024). Solutions and insights for agricultural monitoring, reporting, and verification (MRV) from three consecutive issuances of soil carbon credits. </w:t>
      </w:r>
      <w:r>
        <w:rPr>
          <w:i/>
          <w:sz w:val="20"/>
        </w:rPr>
        <w:t>Journal of Environmental Management</w:t>
      </w:r>
      <w:r>
        <w:rPr>
          <w:sz w:val="20"/>
        </w:rPr>
        <w:t>, 369, 122284. https://doi.org/10.1016/j.jenvman.2024.122284</w:t>
      </w:r>
    </w:p>
    <w:p>
      <w:pPr/>
      <w:r>
        <w:rPr>
          <w:sz w:val="20"/>
        </w:rPr>
        <w:t xml:space="preserve">Ou, G., Li, C., Lv, Y., Wei, A., Xiong, H., Xu, H., &amp; Wang, G. (2020). Forest aboveground biomass estimation using Landsat 8 and Sentinel-1A data with machine learning algorithms. </w:t>
      </w:r>
      <w:r>
        <w:rPr>
          <w:i/>
          <w:sz w:val="20"/>
        </w:rPr>
        <w:t>Scientific Reports</w:t>
      </w:r>
      <w:r>
        <w:rPr>
          <w:sz w:val="20"/>
        </w:rPr>
        <w:t>, 10, 9952. https://doi.org/10.1038/s41598-020-67024-3</w:t>
      </w:r>
    </w:p>
    <w:p>
      <w:pPr/>
      <w:r>
        <w:rPr>
          <w:sz w:val="20"/>
        </w:rPr>
        <w:t xml:space="preserve">Poggio, L., de Sousa, L.M., Batjes, N.H., Heuvelink, G.B.M., Kempen, B., Ribeiro, E., &amp; Rossiter, D. (2021). SoilGrids 2.0: producing soil information for the globe with quantified spatial uncertainty. </w:t>
      </w:r>
      <w:r>
        <w:rPr>
          <w:i/>
          <w:sz w:val="20"/>
        </w:rPr>
        <w:t>SOIL</w:t>
      </w:r>
      <w:r>
        <w:rPr>
          <w:sz w:val="20"/>
        </w:rPr>
        <w:t>, 7(1), 217–240. https://doi.org/10.5194/soil-7-217-2021</w:t>
      </w:r>
    </w:p>
    <w:p>
      <w:pPr/>
      <w:r>
        <w:rPr>
          <w:sz w:val="20"/>
        </w:rPr>
        <w:t xml:space="preserve">Viscarra Rossel, R.A., &amp; Behrens, T. (2010). Using data mining to model and interpret soil diffuse reflectance spectra. </w:t>
      </w:r>
      <w:r>
        <w:rPr>
          <w:i/>
          <w:sz w:val="20"/>
        </w:rPr>
        <w:t>Geoderma</w:t>
      </w:r>
      <w:r>
        <w:rPr>
          <w:sz w:val="20"/>
        </w:rPr>
        <w:t>, 158(1–2), 46–54. https://doi.org/10.1016/j.geoderma.2009.12.025</w:t>
      </w:r>
    </w:p>
    <w:p>
      <w:pPr/>
      <w:r>
        <w:rPr>
          <w:sz w:val="20"/>
        </w:rPr>
        <w:t xml:space="preserve">Yao, Y., &amp; Zhang, B. (2025). Life Cycle Assessment in the Monitoring, Reporting, and Verification of Land-Based Carbon Dioxide Removal: Gaps and Opportunities. </w:t>
      </w:r>
      <w:r>
        <w:rPr>
          <w:i/>
          <w:sz w:val="20"/>
        </w:rPr>
        <w:t>Environmental Science &amp; Technology</w:t>
      </w:r>
      <w:r>
        <w:rPr>
          <w:sz w:val="20"/>
        </w:rPr>
        <w:t>, 59(24), 11950–11963. https://doi.org/10.1021/acs.est.4c09510</w:t>
      </w:r>
    </w:p>
    <w:p>
      <w:pPr/>
      <w:r>
        <w:rPr>
          <w:sz w:val="20"/>
        </w:rPr>
        <w:t xml:space="preserve">Zayani, H., Fouad, Y., Michot, D., Kassouk, Z., Walter, C., Gontier, L., Tremblay, N., &amp; Mouazen, A.M. (2023). Using Machine-Learning Algorithms to Predict Soil Organic Carbon Content from Combined Remote Sensing Imagery and Laboratory Vis-NIR Spectral Datasets. </w:t>
      </w:r>
      <w:r>
        <w:rPr>
          <w:i/>
          <w:sz w:val="20"/>
        </w:rPr>
        <w:t>Remote Sensing</w:t>
      </w:r>
      <w:r>
        <w:rPr>
          <w:sz w:val="20"/>
        </w:rPr>
        <w:t>, 15(17), 4264. https://doi.org/10.3390/rs15174264</w:t>
      </w:r>
    </w:p>
    <w:sectPr w:rsidR="002D0DE0" w:rsidRPr="00E5598A">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0CB6" w14:textId="77777777" w:rsidR="0086708B" w:rsidRDefault="0086708B" w:rsidP="0041317C">
      <w:pPr>
        <w:spacing w:after="0" w:line="240" w:lineRule="auto"/>
      </w:pPr>
      <w:r>
        <w:separator/>
      </w:r>
    </w:p>
  </w:endnote>
  <w:endnote w:type="continuationSeparator" w:id="0">
    <w:p w14:paraId="7989FA68" w14:textId="77777777" w:rsidR="0086708B" w:rsidRDefault="0086708B" w:rsidP="00413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00FD" w14:textId="77777777" w:rsidR="00FA26DE" w:rsidRDefault="00FA26DE" w:rsidP="00D30CCE">
    <w:pPr>
      <w:pStyle w:val="Piedepgina"/>
      <w:jc w:val="both"/>
    </w:pPr>
  </w:p>
  <w:p w14:paraId="4CFB54A2" w14:textId="77777777" w:rsidR="00FA26DE" w:rsidRDefault="00FA26DE" w:rsidP="00D30CCE">
    <w:pPr>
      <w:pStyle w:val="Piedep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8AC96" w14:textId="77777777" w:rsidR="0086708B" w:rsidRDefault="0086708B" w:rsidP="0041317C">
      <w:pPr>
        <w:spacing w:after="0" w:line="240" w:lineRule="auto"/>
      </w:pPr>
      <w:r>
        <w:separator/>
      </w:r>
    </w:p>
  </w:footnote>
  <w:footnote w:type="continuationSeparator" w:id="0">
    <w:p w14:paraId="6303386A" w14:textId="77777777" w:rsidR="0086708B" w:rsidRDefault="0086708B" w:rsidP="00413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3827" w14:textId="453B43C1" w:rsidR="00402EEA" w:rsidRDefault="00402EEA">
    <w:pPr>
      <w:pStyle w:val="Encabezado"/>
      <w:rPr>
        <w:noProof/>
      </w:rPr>
    </w:pPr>
    <w:r>
      <w:rPr>
        <w:noProof/>
      </w:rPr>
      <w:drawing>
        <wp:anchor distT="0" distB="0" distL="114300" distR="114300" simplePos="0" relativeHeight="251661312" behindDoc="0" locked="0" layoutInCell="1" allowOverlap="1" wp14:anchorId="7FFA32BC" wp14:editId="4CDE92AA">
          <wp:simplePos x="0" y="0"/>
          <wp:positionH relativeFrom="page">
            <wp:align>left</wp:align>
          </wp:positionH>
          <wp:positionV relativeFrom="paragraph">
            <wp:posOffset>-450215</wp:posOffset>
          </wp:positionV>
          <wp:extent cx="8479790" cy="1581150"/>
          <wp:effectExtent l="0" t="0" r="0" b="0"/>
          <wp:wrapNone/>
          <wp:docPr id="653850179" name="Imagen 6"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0179" name="Imagen 6" descr="Imagen que contiene Icon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9572" b="9400"/>
                  <a:stretch/>
                </pic:blipFill>
                <pic:spPr bwMode="auto">
                  <a:xfrm>
                    <a:off x="0" y="0"/>
                    <a:ext cx="8479790"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507018" w14:textId="1F1D11A1" w:rsidR="00402EEA" w:rsidRDefault="00402EEA">
    <w:pPr>
      <w:pStyle w:val="Encabezado"/>
      <w:rPr>
        <w:noProof/>
      </w:rPr>
    </w:pPr>
    <w:r w:rsidRPr="00FA26DE">
      <w:rPr>
        <w:noProof/>
      </w:rPr>
      <w:drawing>
        <wp:anchor distT="0" distB="0" distL="114300" distR="114300" simplePos="0" relativeHeight="251665408" behindDoc="0" locked="0" layoutInCell="1" allowOverlap="1" wp14:anchorId="5403509B" wp14:editId="7F953FBE">
          <wp:simplePos x="0" y="0"/>
          <wp:positionH relativeFrom="column">
            <wp:posOffset>-286385</wp:posOffset>
          </wp:positionH>
          <wp:positionV relativeFrom="paragraph">
            <wp:posOffset>138430</wp:posOffset>
          </wp:positionV>
          <wp:extent cx="2806700" cy="579120"/>
          <wp:effectExtent l="0" t="0" r="0" b="0"/>
          <wp:wrapSquare wrapText="bothSides"/>
          <wp:docPr id="2" name="Gráfico 1">
            <a:extLst xmlns:a="http://schemas.openxmlformats.org/drawingml/2006/main">
              <a:ext uri="{FF2B5EF4-FFF2-40B4-BE49-F238E27FC236}">
                <a16:creationId xmlns:a16="http://schemas.microsoft.com/office/drawing/2014/main" id="{A591B23B-BE02-1817-6F9F-A490BA8DA8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1">
                    <a:extLst>
                      <a:ext uri="{FF2B5EF4-FFF2-40B4-BE49-F238E27FC236}">
                        <a16:creationId xmlns:a16="http://schemas.microsoft.com/office/drawing/2014/main" id="{A591B23B-BE02-1817-6F9F-A490BA8DA82D}"/>
                      </a:ext>
                    </a:extLst>
                  </pic:cNvPr>
                  <pic:cNvPicPr>
                    <a:picLocks noChangeAspect="1"/>
                  </pic:cNvPicPr>
                </pic:nvPicPr>
                <pic:blipFill rotWithShape="1">
                  <a:blip r:embed="rId2">
                    <a:extLst>
                      <a:ext uri="{96DAC541-7B7A-43D3-8B79-37D633B846F1}">
                        <asvg:svgBlip xmlns:asvg="http://schemas.microsoft.com/office/drawing/2016/SVG/main" r:embed="rId3"/>
                      </a:ext>
                    </a:extLst>
                  </a:blip>
                  <a:srcRect b="27652"/>
                  <a:stretch/>
                </pic:blipFill>
                <pic:spPr>
                  <a:xfrm>
                    <a:off x="0" y="0"/>
                    <a:ext cx="2806700" cy="5791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25E91C01" wp14:editId="667EFD72">
              <wp:simplePos x="0" y="0"/>
              <wp:positionH relativeFrom="column">
                <wp:posOffset>43815</wp:posOffset>
              </wp:positionH>
              <wp:positionV relativeFrom="paragraph">
                <wp:posOffset>52070</wp:posOffset>
              </wp:positionV>
              <wp:extent cx="2774950" cy="1066800"/>
              <wp:effectExtent l="0" t="0" r="6350" b="0"/>
              <wp:wrapNone/>
              <wp:docPr id="262655175" name="Rectángulo 1"/>
              <wp:cNvGraphicFramePr/>
              <a:graphic xmlns:a="http://schemas.openxmlformats.org/drawingml/2006/main">
                <a:graphicData uri="http://schemas.microsoft.com/office/word/2010/wordprocessingShape">
                  <wps:wsp>
                    <wps:cNvSpPr/>
                    <wps:spPr>
                      <a:xfrm>
                        <a:off x="0" y="0"/>
                        <a:ext cx="2774950" cy="1066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D6476" id="Rectángulo 1" o:spid="_x0000_s1026" style="position:absolute;margin-left:3.45pt;margin-top:4.1pt;width:218.5pt;height:8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" fillcolor="white [3212]" stroked="f" strokeweight="1pt"/>
          </w:pict>
        </mc:Fallback>
      </mc:AlternateContent>
    </w:r>
  </w:p>
  <w:p w14:paraId="2ED82A95" w14:textId="40EFD18B" w:rsidR="00402EEA" w:rsidRDefault="00402EEA">
    <w:pPr>
      <w:pStyle w:val="Encabezado"/>
      <w:rPr>
        <w:noProof/>
      </w:rPr>
    </w:pPr>
  </w:p>
  <w:p w14:paraId="5FFB8176" w14:textId="0954D3CA" w:rsidR="00402EEA" w:rsidRDefault="00402EEA">
    <w:pPr>
      <w:pStyle w:val="Encabezado"/>
      <w:rPr>
        <w:noProof/>
      </w:rPr>
    </w:pPr>
  </w:p>
  <w:p w14:paraId="47B45BF6" w14:textId="1249308A" w:rsidR="00402EEA" w:rsidRDefault="00402EEA">
    <w:pPr>
      <w:pStyle w:val="Encabezado"/>
      <w:rPr>
        <w:noProof/>
      </w:rPr>
    </w:pPr>
  </w:p>
  <w:p w14:paraId="33E54A46" w14:textId="26CE79D5" w:rsidR="00402EEA" w:rsidRDefault="00402EEA">
    <w:pPr>
      <w:pStyle w:val="Encabezado"/>
      <w:rPr>
        <w:noProof/>
      </w:rPr>
    </w:pPr>
  </w:p>
  <w:p w14:paraId="270C5F11" w14:textId="00DB1A6B" w:rsidR="00402EEA" w:rsidRDefault="00402EEA">
    <w:pPr>
      <w:pStyle w:val="Encabezado"/>
      <w:rPr>
        <w:noProof/>
      </w:rPr>
    </w:pPr>
  </w:p>
  <w:p w14:paraId="1A0D8163" w14:textId="12EE0276" w:rsidR="004D4661" w:rsidRDefault="004D4661">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1C6"/>
    <w:multiLevelType w:val="multilevel"/>
    <w:tmpl w:val="009E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5D7A"/>
    <w:multiLevelType w:val="hybridMultilevel"/>
    <w:tmpl w:val="CC927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D36E8D"/>
    <w:multiLevelType w:val="multilevel"/>
    <w:tmpl w:val="BB9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005DF"/>
    <w:multiLevelType w:val="hybridMultilevel"/>
    <w:tmpl w:val="C70839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7D05DA"/>
    <w:multiLevelType w:val="hybridMultilevel"/>
    <w:tmpl w:val="D6CAAF50"/>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5" w15:restartNumberingAfterBreak="0">
    <w:nsid w:val="15910741"/>
    <w:multiLevelType w:val="hybridMultilevel"/>
    <w:tmpl w:val="EBEA045C"/>
    <w:lvl w:ilvl="0" w:tplc="B9104536">
      <w:start w:val="1"/>
      <w:numFmt w:val="bullet"/>
      <w:lvlText w:val="•"/>
      <w:lvlJc w:val="left"/>
      <w:pPr>
        <w:ind w:left="720" w:hanging="360"/>
      </w:pPr>
    </w:lvl>
    <w:lvl w:ilvl="1" w:tplc="A4B43D3E">
      <w:start w:val="1"/>
      <w:numFmt w:val="bullet"/>
      <w:lvlText w:val="◦"/>
      <w:lvlJc w:val="left"/>
      <w:pPr>
        <w:ind w:left="1080" w:hanging="360"/>
      </w:pPr>
    </w:lvl>
    <w:lvl w:ilvl="2" w:tplc="E5AE084C">
      <w:numFmt w:val="decimal"/>
      <w:lvlText w:val=""/>
      <w:lvlJc w:val="left"/>
    </w:lvl>
    <w:lvl w:ilvl="3" w:tplc="C0726892">
      <w:numFmt w:val="decimal"/>
      <w:lvlText w:val=""/>
      <w:lvlJc w:val="left"/>
    </w:lvl>
    <w:lvl w:ilvl="4" w:tplc="0794283E">
      <w:numFmt w:val="decimal"/>
      <w:lvlText w:val=""/>
      <w:lvlJc w:val="left"/>
    </w:lvl>
    <w:lvl w:ilvl="5" w:tplc="5ABC6F02">
      <w:numFmt w:val="decimal"/>
      <w:lvlText w:val=""/>
      <w:lvlJc w:val="left"/>
    </w:lvl>
    <w:lvl w:ilvl="6" w:tplc="04EAD4CC">
      <w:numFmt w:val="decimal"/>
      <w:lvlText w:val=""/>
      <w:lvlJc w:val="left"/>
    </w:lvl>
    <w:lvl w:ilvl="7" w:tplc="3C4EE3CE">
      <w:numFmt w:val="decimal"/>
      <w:lvlText w:val=""/>
      <w:lvlJc w:val="left"/>
    </w:lvl>
    <w:lvl w:ilvl="8" w:tplc="130E8394">
      <w:numFmt w:val="decimal"/>
      <w:lvlText w:val=""/>
      <w:lvlJc w:val="left"/>
    </w:lvl>
  </w:abstractNum>
  <w:abstractNum w:abstractNumId="6" w15:restartNumberingAfterBreak="0">
    <w:nsid w:val="16D779CD"/>
    <w:multiLevelType w:val="multilevel"/>
    <w:tmpl w:val="136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96D31"/>
    <w:multiLevelType w:val="hybridMultilevel"/>
    <w:tmpl w:val="86ACFC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84D7273"/>
    <w:multiLevelType w:val="hybridMultilevel"/>
    <w:tmpl w:val="D74029CA"/>
    <w:lvl w:ilvl="0" w:tplc="AE0C7FEC">
      <w:start w:val="1"/>
      <w:numFmt w:val="bullet"/>
      <w:lvlText w:val="•"/>
      <w:lvlJc w:val="left"/>
      <w:pPr>
        <w:ind w:left="720" w:hanging="360"/>
      </w:pPr>
    </w:lvl>
    <w:lvl w:ilvl="1" w:tplc="F606F7E0">
      <w:start w:val="1"/>
      <w:numFmt w:val="bullet"/>
      <w:lvlText w:val="◦"/>
      <w:lvlJc w:val="left"/>
      <w:pPr>
        <w:ind w:left="1080" w:hanging="360"/>
      </w:pPr>
    </w:lvl>
    <w:lvl w:ilvl="2" w:tplc="DD907A10">
      <w:numFmt w:val="decimal"/>
      <w:lvlText w:val=""/>
      <w:lvlJc w:val="left"/>
    </w:lvl>
    <w:lvl w:ilvl="3" w:tplc="34D8AB96">
      <w:numFmt w:val="decimal"/>
      <w:lvlText w:val=""/>
      <w:lvlJc w:val="left"/>
    </w:lvl>
    <w:lvl w:ilvl="4" w:tplc="281AC9B2">
      <w:numFmt w:val="decimal"/>
      <w:lvlText w:val=""/>
      <w:lvlJc w:val="left"/>
    </w:lvl>
    <w:lvl w:ilvl="5" w:tplc="6A76B4A6">
      <w:numFmt w:val="decimal"/>
      <w:lvlText w:val=""/>
      <w:lvlJc w:val="left"/>
    </w:lvl>
    <w:lvl w:ilvl="6" w:tplc="D5ACB2FE">
      <w:numFmt w:val="decimal"/>
      <w:lvlText w:val=""/>
      <w:lvlJc w:val="left"/>
    </w:lvl>
    <w:lvl w:ilvl="7" w:tplc="32AE932E">
      <w:numFmt w:val="decimal"/>
      <w:lvlText w:val=""/>
      <w:lvlJc w:val="left"/>
    </w:lvl>
    <w:lvl w:ilvl="8" w:tplc="EB303C1A">
      <w:numFmt w:val="decimal"/>
      <w:lvlText w:val=""/>
      <w:lvlJc w:val="left"/>
    </w:lvl>
  </w:abstractNum>
  <w:abstractNum w:abstractNumId="9" w15:restartNumberingAfterBreak="0">
    <w:nsid w:val="19742ED4"/>
    <w:multiLevelType w:val="multilevel"/>
    <w:tmpl w:val="5B6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7226D"/>
    <w:multiLevelType w:val="multilevel"/>
    <w:tmpl w:val="E52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905CB"/>
    <w:multiLevelType w:val="hybridMultilevel"/>
    <w:tmpl w:val="FCEEF8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0B501F0"/>
    <w:multiLevelType w:val="hybridMultilevel"/>
    <w:tmpl w:val="1EC603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2D32284"/>
    <w:multiLevelType w:val="multilevel"/>
    <w:tmpl w:val="C06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27E47"/>
    <w:multiLevelType w:val="multilevel"/>
    <w:tmpl w:val="176AB3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91A0075"/>
    <w:multiLevelType w:val="hybridMultilevel"/>
    <w:tmpl w:val="481E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30159D2"/>
    <w:multiLevelType w:val="hybridMultilevel"/>
    <w:tmpl w:val="2F9615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7E6295D"/>
    <w:multiLevelType w:val="hybridMultilevel"/>
    <w:tmpl w:val="32BA6B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70648F"/>
    <w:multiLevelType w:val="hybridMultilevel"/>
    <w:tmpl w:val="0E1EE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8F06556"/>
    <w:multiLevelType w:val="multilevel"/>
    <w:tmpl w:val="E0C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E2A38"/>
    <w:multiLevelType w:val="multilevel"/>
    <w:tmpl w:val="D2F4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67E73"/>
    <w:multiLevelType w:val="hybridMultilevel"/>
    <w:tmpl w:val="8EF003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6DC0165"/>
    <w:multiLevelType w:val="hybridMultilevel"/>
    <w:tmpl w:val="70CEFB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83D6485"/>
    <w:multiLevelType w:val="multilevel"/>
    <w:tmpl w:val="203E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21EAC"/>
    <w:multiLevelType w:val="hybridMultilevel"/>
    <w:tmpl w:val="14F44788"/>
    <w:lvl w:ilvl="0" w:tplc="1DCA13AC">
      <w:start w:val="1"/>
      <w:numFmt w:val="decimal"/>
      <w:lvlText w:val="%1."/>
      <w:lvlJc w:val="left"/>
      <w:pPr>
        <w:ind w:left="345" w:hanging="360"/>
      </w:pPr>
      <w:rPr>
        <w:b/>
      </w:rPr>
    </w:lvl>
    <w:lvl w:ilvl="1" w:tplc="240A0019">
      <w:start w:val="1"/>
      <w:numFmt w:val="lowerLetter"/>
      <w:lvlText w:val="%2."/>
      <w:lvlJc w:val="left"/>
      <w:pPr>
        <w:ind w:left="1065" w:hanging="360"/>
      </w:pPr>
    </w:lvl>
    <w:lvl w:ilvl="2" w:tplc="240A001B">
      <w:start w:val="1"/>
      <w:numFmt w:val="lowerRoman"/>
      <w:lvlText w:val="%3."/>
      <w:lvlJc w:val="right"/>
      <w:pPr>
        <w:ind w:left="1785" w:hanging="180"/>
      </w:pPr>
    </w:lvl>
    <w:lvl w:ilvl="3" w:tplc="240A000F">
      <w:start w:val="1"/>
      <w:numFmt w:val="decimal"/>
      <w:lvlText w:val="%4."/>
      <w:lvlJc w:val="left"/>
      <w:pPr>
        <w:ind w:left="2505" w:hanging="360"/>
      </w:pPr>
    </w:lvl>
    <w:lvl w:ilvl="4" w:tplc="240A0019">
      <w:start w:val="1"/>
      <w:numFmt w:val="lowerLetter"/>
      <w:lvlText w:val="%5."/>
      <w:lvlJc w:val="left"/>
      <w:pPr>
        <w:ind w:left="3225" w:hanging="360"/>
      </w:pPr>
    </w:lvl>
    <w:lvl w:ilvl="5" w:tplc="240A001B">
      <w:start w:val="1"/>
      <w:numFmt w:val="lowerRoman"/>
      <w:lvlText w:val="%6."/>
      <w:lvlJc w:val="right"/>
      <w:pPr>
        <w:ind w:left="3945" w:hanging="180"/>
      </w:pPr>
    </w:lvl>
    <w:lvl w:ilvl="6" w:tplc="240A000F">
      <w:start w:val="1"/>
      <w:numFmt w:val="decimal"/>
      <w:lvlText w:val="%7."/>
      <w:lvlJc w:val="left"/>
      <w:pPr>
        <w:ind w:left="4665" w:hanging="360"/>
      </w:pPr>
    </w:lvl>
    <w:lvl w:ilvl="7" w:tplc="240A0019">
      <w:start w:val="1"/>
      <w:numFmt w:val="lowerLetter"/>
      <w:lvlText w:val="%8."/>
      <w:lvlJc w:val="left"/>
      <w:pPr>
        <w:ind w:left="5385" w:hanging="360"/>
      </w:pPr>
    </w:lvl>
    <w:lvl w:ilvl="8" w:tplc="240A001B">
      <w:start w:val="1"/>
      <w:numFmt w:val="lowerRoman"/>
      <w:lvlText w:val="%9."/>
      <w:lvlJc w:val="right"/>
      <w:pPr>
        <w:ind w:left="6105" w:hanging="180"/>
      </w:pPr>
    </w:lvl>
  </w:abstractNum>
  <w:abstractNum w:abstractNumId="25" w15:restartNumberingAfterBreak="0">
    <w:nsid w:val="5E023988"/>
    <w:multiLevelType w:val="hybridMultilevel"/>
    <w:tmpl w:val="A09E7E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E9E0E29"/>
    <w:multiLevelType w:val="hybridMultilevel"/>
    <w:tmpl w:val="BCFE0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FA1692C"/>
    <w:multiLevelType w:val="hybridMultilevel"/>
    <w:tmpl w:val="F25C78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5B221DA"/>
    <w:multiLevelType w:val="hybridMultilevel"/>
    <w:tmpl w:val="DE305E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6E83146"/>
    <w:multiLevelType w:val="hybridMultilevel"/>
    <w:tmpl w:val="4AEC96B2"/>
    <w:lvl w:ilvl="0" w:tplc="565EA76C">
      <w:start w:val="2"/>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7B44415"/>
    <w:multiLevelType w:val="multilevel"/>
    <w:tmpl w:val="403A54BE"/>
    <w:lvl w:ilvl="0">
      <w:start w:val="1"/>
      <w:numFmt w:val="decimal"/>
      <w:lvlText w:val="%1."/>
      <w:lvlJc w:val="left"/>
      <w:pPr>
        <w:ind w:left="345" w:hanging="360"/>
      </w:pPr>
      <w:rPr>
        <w:b/>
      </w:rPr>
    </w:lvl>
    <w:lvl w:ilvl="1">
      <w:start w:val="1"/>
      <w:numFmt w:val="decimal"/>
      <w:lvlText w:val="%1.%2"/>
      <w:lvlJc w:val="left"/>
      <w:pPr>
        <w:ind w:left="1116" w:hanging="396"/>
      </w:pPr>
    </w:lvl>
    <w:lvl w:ilvl="2">
      <w:start w:val="1"/>
      <w:numFmt w:val="decimal"/>
      <w:lvlText w:val="%1.%2.%3"/>
      <w:lvlJc w:val="left"/>
      <w:pPr>
        <w:ind w:left="2175" w:hanging="720"/>
      </w:pPr>
    </w:lvl>
    <w:lvl w:ilvl="3">
      <w:start w:val="1"/>
      <w:numFmt w:val="decimal"/>
      <w:lvlText w:val="%1.%2.%3.%4"/>
      <w:lvlJc w:val="left"/>
      <w:pPr>
        <w:ind w:left="3270" w:hanging="1080"/>
      </w:pPr>
    </w:lvl>
    <w:lvl w:ilvl="4">
      <w:start w:val="1"/>
      <w:numFmt w:val="decimal"/>
      <w:lvlText w:val="%1.%2.%3.%4.%5"/>
      <w:lvlJc w:val="left"/>
      <w:pPr>
        <w:ind w:left="4005" w:hanging="1080"/>
      </w:pPr>
    </w:lvl>
    <w:lvl w:ilvl="5">
      <w:start w:val="1"/>
      <w:numFmt w:val="decimal"/>
      <w:lvlText w:val="%1.%2.%3.%4.%5.%6"/>
      <w:lvlJc w:val="left"/>
      <w:pPr>
        <w:ind w:left="5100" w:hanging="1440"/>
      </w:pPr>
    </w:lvl>
    <w:lvl w:ilvl="6">
      <w:start w:val="1"/>
      <w:numFmt w:val="decimal"/>
      <w:lvlText w:val="%1.%2.%3.%4.%5.%6.%7"/>
      <w:lvlJc w:val="left"/>
      <w:pPr>
        <w:ind w:left="5835" w:hanging="1440"/>
      </w:pPr>
    </w:lvl>
    <w:lvl w:ilvl="7">
      <w:start w:val="1"/>
      <w:numFmt w:val="decimal"/>
      <w:lvlText w:val="%1.%2.%3.%4.%5.%6.%7.%8"/>
      <w:lvlJc w:val="left"/>
      <w:pPr>
        <w:ind w:left="6930" w:hanging="1800"/>
      </w:pPr>
    </w:lvl>
    <w:lvl w:ilvl="8">
      <w:start w:val="1"/>
      <w:numFmt w:val="decimal"/>
      <w:lvlText w:val="%1.%2.%3.%4.%5.%6.%7.%8.%9"/>
      <w:lvlJc w:val="left"/>
      <w:pPr>
        <w:ind w:left="7665" w:hanging="1800"/>
      </w:pPr>
    </w:lvl>
  </w:abstractNum>
  <w:abstractNum w:abstractNumId="31" w15:restartNumberingAfterBreak="0">
    <w:nsid w:val="6B5F72F7"/>
    <w:multiLevelType w:val="hybridMultilevel"/>
    <w:tmpl w:val="45D424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10F27F3"/>
    <w:multiLevelType w:val="hybridMultilevel"/>
    <w:tmpl w:val="09FECB9C"/>
    <w:lvl w:ilvl="0" w:tplc="15ACDB8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2DB12C7"/>
    <w:multiLevelType w:val="hybridMultilevel"/>
    <w:tmpl w:val="7166F6FC"/>
    <w:lvl w:ilvl="0" w:tplc="FC666F76">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FA7014"/>
    <w:multiLevelType w:val="hybridMultilevel"/>
    <w:tmpl w:val="12FEF3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9172F57"/>
    <w:multiLevelType w:val="hybridMultilevel"/>
    <w:tmpl w:val="90601CDC"/>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6" w15:restartNumberingAfterBreak="0">
    <w:nsid w:val="7940572B"/>
    <w:multiLevelType w:val="hybridMultilevel"/>
    <w:tmpl w:val="9646A8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064BEB"/>
    <w:multiLevelType w:val="multilevel"/>
    <w:tmpl w:val="758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869EE"/>
    <w:multiLevelType w:val="hybridMultilevel"/>
    <w:tmpl w:val="60EEE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07614694">
    <w:abstractNumId w:val="33"/>
  </w:num>
  <w:num w:numId="2" w16cid:durableId="775253399">
    <w:abstractNumId w:val="32"/>
  </w:num>
  <w:num w:numId="3" w16cid:durableId="629017148">
    <w:abstractNumId w:val="7"/>
  </w:num>
  <w:num w:numId="4" w16cid:durableId="177499787">
    <w:abstractNumId w:val="29"/>
  </w:num>
  <w:num w:numId="5" w16cid:durableId="11712137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79090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5424215">
    <w:abstractNumId w:val="14"/>
  </w:num>
  <w:num w:numId="8" w16cid:durableId="429814543">
    <w:abstractNumId w:val="27"/>
  </w:num>
  <w:num w:numId="9" w16cid:durableId="1413549429">
    <w:abstractNumId w:val="35"/>
  </w:num>
  <w:num w:numId="10" w16cid:durableId="806892437">
    <w:abstractNumId w:val="4"/>
  </w:num>
  <w:num w:numId="11" w16cid:durableId="1911648920">
    <w:abstractNumId w:val="34"/>
  </w:num>
  <w:num w:numId="12" w16cid:durableId="227764586">
    <w:abstractNumId w:val="28"/>
  </w:num>
  <w:num w:numId="13" w16cid:durableId="981958313">
    <w:abstractNumId w:val="25"/>
  </w:num>
  <w:num w:numId="14" w16cid:durableId="301233863">
    <w:abstractNumId w:val="1"/>
  </w:num>
  <w:num w:numId="15" w16cid:durableId="1454010568">
    <w:abstractNumId w:val="38"/>
  </w:num>
  <w:num w:numId="16" w16cid:durableId="426999590">
    <w:abstractNumId w:val="17"/>
  </w:num>
  <w:num w:numId="17" w16cid:durableId="966275560">
    <w:abstractNumId w:val="22"/>
  </w:num>
  <w:num w:numId="18" w16cid:durableId="629675810">
    <w:abstractNumId w:val="12"/>
  </w:num>
  <w:num w:numId="19" w16cid:durableId="835611515">
    <w:abstractNumId w:val="3"/>
  </w:num>
  <w:num w:numId="20" w16cid:durableId="1939677144">
    <w:abstractNumId w:val="26"/>
  </w:num>
  <w:num w:numId="21" w16cid:durableId="1870145726">
    <w:abstractNumId w:val="16"/>
  </w:num>
  <w:num w:numId="22" w16cid:durableId="2071613154">
    <w:abstractNumId w:val="31"/>
  </w:num>
  <w:num w:numId="23" w16cid:durableId="279990728">
    <w:abstractNumId w:val="18"/>
  </w:num>
  <w:num w:numId="24" w16cid:durableId="1300300146">
    <w:abstractNumId w:val="11"/>
  </w:num>
  <w:num w:numId="25" w16cid:durableId="1416517992">
    <w:abstractNumId w:val="15"/>
  </w:num>
  <w:num w:numId="26" w16cid:durableId="1742023930">
    <w:abstractNumId w:val="9"/>
  </w:num>
  <w:num w:numId="27" w16cid:durableId="1460369868">
    <w:abstractNumId w:val="21"/>
  </w:num>
  <w:num w:numId="28" w16cid:durableId="1544319981">
    <w:abstractNumId w:val="37"/>
  </w:num>
  <w:num w:numId="29" w16cid:durableId="92363421">
    <w:abstractNumId w:val="20"/>
  </w:num>
  <w:num w:numId="30" w16cid:durableId="346561566">
    <w:abstractNumId w:val="19"/>
  </w:num>
  <w:num w:numId="31" w16cid:durableId="450518300">
    <w:abstractNumId w:val="0"/>
  </w:num>
  <w:num w:numId="32" w16cid:durableId="1747413340">
    <w:abstractNumId w:val="2"/>
  </w:num>
  <w:num w:numId="33" w16cid:durableId="337386380">
    <w:abstractNumId w:val="23"/>
  </w:num>
  <w:num w:numId="34" w16cid:durableId="1289236095">
    <w:abstractNumId w:val="13"/>
  </w:num>
  <w:num w:numId="35" w16cid:durableId="967975396">
    <w:abstractNumId w:val="6"/>
  </w:num>
  <w:num w:numId="36" w16cid:durableId="988554981">
    <w:abstractNumId w:val="10"/>
  </w:num>
  <w:num w:numId="37" w16cid:durableId="2036230087">
    <w:abstractNumId w:val="36"/>
  </w:num>
  <w:num w:numId="38" w16cid:durableId="142624112">
    <w:abstractNumId w:val="8"/>
    <w:lvlOverride w:ilvl="0">
      <w:startOverride w:val="1"/>
    </w:lvlOverride>
  </w:num>
  <w:num w:numId="39" w16cid:durableId="192533998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7C"/>
    <w:rsid w:val="00002164"/>
    <w:rsid w:val="00005565"/>
    <w:rsid w:val="00027AD8"/>
    <w:rsid w:val="00030063"/>
    <w:rsid w:val="000317D2"/>
    <w:rsid w:val="0003468C"/>
    <w:rsid w:val="00036704"/>
    <w:rsid w:val="00043986"/>
    <w:rsid w:val="000469D8"/>
    <w:rsid w:val="000634E3"/>
    <w:rsid w:val="00065C1C"/>
    <w:rsid w:val="00066754"/>
    <w:rsid w:val="0007105E"/>
    <w:rsid w:val="000907F9"/>
    <w:rsid w:val="000A1B5C"/>
    <w:rsid w:val="000B0381"/>
    <w:rsid w:val="000B24CE"/>
    <w:rsid w:val="000D072B"/>
    <w:rsid w:val="000D5CB6"/>
    <w:rsid w:val="000E2284"/>
    <w:rsid w:val="000E2EC9"/>
    <w:rsid w:val="000E34DF"/>
    <w:rsid w:val="000E7DF3"/>
    <w:rsid w:val="000F1442"/>
    <w:rsid w:val="000F24E2"/>
    <w:rsid w:val="0010049B"/>
    <w:rsid w:val="001068CB"/>
    <w:rsid w:val="0011189B"/>
    <w:rsid w:val="001208FE"/>
    <w:rsid w:val="00126AD6"/>
    <w:rsid w:val="0013394A"/>
    <w:rsid w:val="00141845"/>
    <w:rsid w:val="00157548"/>
    <w:rsid w:val="001641AE"/>
    <w:rsid w:val="0016684F"/>
    <w:rsid w:val="0017089C"/>
    <w:rsid w:val="001762E5"/>
    <w:rsid w:val="00176978"/>
    <w:rsid w:val="00176A12"/>
    <w:rsid w:val="001939E6"/>
    <w:rsid w:val="001B138D"/>
    <w:rsid w:val="001B315D"/>
    <w:rsid w:val="001B4A72"/>
    <w:rsid w:val="001D2BC7"/>
    <w:rsid w:val="001E5968"/>
    <w:rsid w:val="001F51F5"/>
    <w:rsid w:val="00201C3D"/>
    <w:rsid w:val="00234230"/>
    <w:rsid w:val="00246D4E"/>
    <w:rsid w:val="00255D87"/>
    <w:rsid w:val="002607D3"/>
    <w:rsid w:val="0027726D"/>
    <w:rsid w:val="00277AC4"/>
    <w:rsid w:val="00280341"/>
    <w:rsid w:val="002833DB"/>
    <w:rsid w:val="00294F83"/>
    <w:rsid w:val="00295B4F"/>
    <w:rsid w:val="00296262"/>
    <w:rsid w:val="002A2A27"/>
    <w:rsid w:val="002A6E82"/>
    <w:rsid w:val="002B5592"/>
    <w:rsid w:val="002C6A77"/>
    <w:rsid w:val="002C7C79"/>
    <w:rsid w:val="002D0D4F"/>
    <w:rsid w:val="002D0DE0"/>
    <w:rsid w:val="002D12B8"/>
    <w:rsid w:val="002D5F74"/>
    <w:rsid w:val="002E553E"/>
    <w:rsid w:val="002F27E1"/>
    <w:rsid w:val="003027D1"/>
    <w:rsid w:val="00307582"/>
    <w:rsid w:val="00320BB5"/>
    <w:rsid w:val="0032199D"/>
    <w:rsid w:val="00322483"/>
    <w:rsid w:val="00344812"/>
    <w:rsid w:val="00362E6C"/>
    <w:rsid w:val="00365630"/>
    <w:rsid w:val="00374623"/>
    <w:rsid w:val="0038206C"/>
    <w:rsid w:val="00385455"/>
    <w:rsid w:val="003A017D"/>
    <w:rsid w:val="003A7232"/>
    <w:rsid w:val="003A7CAC"/>
    <w:rsid w:val="003B05B8"/>
    <w:rsid w:val="003C30E3"/>
    <w:rsid w:val="003C3D76"/>
    <w:rsid w:val="003D0536"/>
    <w:rsid w:val="003D5D84"/>
    <w:rsid w:val="003D69B7"/>
    <w:rsid w:val="003D6D26"/>
    <w:rsid w:val="003E3FDF"/>
    <w:rsid w:val="003E625B"/>
    <w:rsid w:val="003F1A71"/>
    <w:rsid w:val="003F3708"/>
    <w:rsid w:val="003F6824"/>
    <w:rsid w:val="00400967"/>
    <w:rsid w:val="00402EEA"/>
    <w:rsid w:val="0041193B"/>
    <w:rsid w:val="0041317C"/>
    <w:rsid w:val="0042004B"/>
    <w:rsid w:val="0042030E"/>
    <w:rsid w:val="00422446"/>
    <w:rsid w:val="0042747B"/>
    <w:rsid w:val="00433575"/>
    <w:rsid w:val="004428BC"/>
    <w:rsid w:val="00442A26"/>
    <w:rsid w:val="00443915"/>
    <w:rsid w:val="00445199"/>
    <w:rsid w:val="00452C69"/>
    <w:rsid w:val="004543C0"/>
    <w:rsid w:val="0045667D"/>
    <w:rsid w:val="00466D6B"/>
    <w:rsid w:val="00471093"/>
    <w:rsid w:val="00474A0C"/>
    <w:rsid w:val="00480394"/>
    <w:rsid w:val="00485D8B"/>
    <w:rsid w:val="004A6DB0"/>
    <w:rsid w:val="004B22DC"/>
    <w:rsid w:val="004C3B4B"/>
    <w:rsid w:val="004C7E1C"/>
    <w:rsid w:val="004D4661"/>
    <w:rsid w:val="004F1C54"/>
    <w:rsid w:val="005009FB"/>
    <w:rsid w:val="00511897"/>
    <w:rsid w:val="00521C6F"/>
    <w:rsid w:val="0054720D"/>
    <w:rsid w:val="0054747B"/>
    <w:rsid w:val="00553434"/>
    <w:rsid w:val="00556A65"/>
    <w:rsid w:val="00560A2B"/>
    <w:rsid w:val="00561614"/>
    <w:rsid w:val="005877DD"/>
    <w:rsid w:val="00593588"/>
    <w:rsid w:val="00597DFD"/>
    <w:rsid w:val="005A5291"/>
    <w:rsid w:val="005A623E"/>
    <w:rsid w:val="005C240E"/>
    <w:rsid w:val="005C4060"/>
    <w:rsid w:val="005C6E58"/>
    <w:rsid w:val="005D1F47"/>
    <w:rsid w:val="005D6A59"/>
    <w:rsid w:val="005E0E44"/>
    <w:rsid w:val="005E4477"/>
    <w:rsid w:val="005E5AB1"/>
    <w:rsid w:val="005E5C68"/>
    <w:rsid w:val="005F0FBC"/>
    <w:rsid w:val="005F3A5D"/>
    <w:rsid w:val="00602411"/>
    <w:rsid w:val="006046AC"/>
    <w:rsid w:val="00611023"/>
    <w:rsid w:val="0063008F"/>
    <w:rsid w:val="0064231E"/>
    <w:rsid w:val="00646098"/>
    <w:rsid w:val="00647D82"/>
    <w:rsid w:val="006508D7"/>
    <w:rsid w:val="00660013"/>
    <w:rsid w:val="006647B7"/>
    <w:rsid w:val="006804B8"/>
    <w:rsid w:val="00680DFA"/>
    <w:rsid w:val="006911E4"/>
    <w:rsid w:val="00692B03"/>
    <w:rsid w:val="00697F25"/>
    <w:rsid w:val="006A1C23"/>
    <w:rsid w:val="006B0C33"/>
    <w:rsid w:val="006B312C"/>
    <w:rsid w:val="006B69E6"/>
    <w:rsid w:val="006C4A3D"/>
    <w:rsid w:val="006E1629"/>
    <w:rsid w:val="006F0980"/>
    <w:rsid w:val="006F1BD6"/>
    <w:rsid w:val="006F2A1F"/>
    <w:rsid w:val="006F6374"/>
    <w:rsid w:val="00701939"/>
    <w:rsid w:val="00707A2D"/>
    <w:rsid w:val="00707D39"/>
    <w:rsid w:val="00711CC7"/>
    <w:rsid w:val="00716689"/>
    <w:rsid w:val="00723A38"/>
    <w:rsid w:val="00726786"/>
    <w:rsid w:val="00727D46"/>
    <w:rsid w:val="0073135A"/>
    <w:rsid w:val="00733DB3"/>
    <w:rsid w:val="00737AAC"/>
    <w:rsid w:val="00742AFF"/>
    <w:rsid w:val="00744527"/>
    <w:rsid w:val="007537C0"/>
    <w:rsid w:val="007604A1"/>
    <w:rsid w:val="00764B9D"/>
    <w:rsid w:val="0077365B"/>
    <w:rsid w:val="00780D5E"/>
    <w:rsid w:val="00782CFA"/>
    <w:rsid w:val="00782E10"/>
    <w:rsid w:val="00790329"/>
    <w:rsid w:val="00792707"/>
    <w:rsid w:val="007B470A"/>
    <w:rsid w:val="007B7798"/>
    <w:rsid w:val="007C6F08"/>
    <w:rsid w:val="007E0C96"/>
    <w:rsid w:val="007E7175"/>
    <w:rsid w:val="00805803"/>
    <w:rsid w:val="00813084"/>
    <w:rsid w:val="00815052"/>
    <w:rsid w:val="00815892"/>
    <w:rsid w:val="00832702"/>
    <w:rsid w:val="00845636"/>
    <w:rsid w:val="00846558"/>
    <w:rsid w:val="00863F03"/>
    <w:rsid w:val="0086708B"/>
    <w:rsid w:val="0087260A"/>
    <w:rsid w:val="00882959"/>
    <w:rsid w:val="00883797"/>
    <w:rsid w:val="00885EB8"/>
    <w:rsid w:val="008C7180"/>
    <w:rsid w:val="008D3E6A"/>
    <w:rsid w:val="008E4405"/>
    <w:rsid w:val="008E711B"/>
    <w:rsid w:val="008F3F5E"/>
    <w:rsid w:val="008F4761"/>
    <w:rsid w:val="008F6236"/>
    <w:rsid w:val="009034F7"/>
    <w:rsid w:val="00906A3D"/>
    <w:rsid w:val="00911950"/>
    <w:rsid w:val="00911B9E"/>
    <w:rsid w:val="00912705"/>
    <w:rsid w:val="0091312D"/>
    <w:rsid w:val="009132C1"/>
    <w:rsid w:val="00920810"/>
    <w:rsid w:val="00926670"/>
    <w:rsid w:val="00927C79"/>
    <w:rsid w:val="00930DC4"/>
    <w:rsid w:val="00932ED9"/>
    <w:rsid w:val="0094183F"/>
    <w:rsid w:val="00951E1F"/>
    <w:rsid w:val="0097714E"/>
    <w:rsid w:val="009830B6"/>
    <w:rsid w:val="009836CA"/>
    <w:rsid w:val="00983C5A"/>
    <w:rsid w:val="009901CA"/>
    <w:rsid w:val="009916E0"/>
    <w:rsid w:val="009A4557"/>
    <w:rsid w:val="009B061C"/>
    <w:rsid w:val="009B0789"/>
    <w:rsid w:val="009B7989"/>
    <w:rsid w:val="009C7F26"/>
    <w:rsid w:val="009E65A8"/>
    <w:rsid w:val="009F2C2D"/>
    <w:rsid w:val="00A23310"/>
    <w:rsid w:val="00A27003"/>
    <w:rsid w:val="00A37DD6"/>
    <w:rsid w:val="00A438BD"/>
    <w:rsid w:val="00A46F3A"/>
    <w:rsid w:val="00A51736"/>
    <w:rsid w:val="00A5465E"/>
    <w:rsid w:val="00A60A28"/>
    <w:rsid w:val="00A633EA"/>
    <w:rsid w:val="00A64BE2"/>
    <w:rsid w:val="00A73289"/>
    <w:rsid w:val="00A8377C"/>
    <w:rsid w:val="00A9303C"/>
    <w:rsid w:val="00AB4EBC"/>
    <w:rsid w:val="00AD05A1"/>
    <w:rsid w:val="00AD4B8A"/>
    <w:rsid w:val="00AD524B"/>
    <w:rsid w:val="00AE5358"/>
    <w:rsid w:val="00AE6570"/>
    <w:rsid w:val="00AE6DA1"/>
    <w:rsid w:val="00AF71A6"/>
    <w:rsid w:val="00AF73FD"/>
    <w:rsid w:val="00AF7C98"/>
    <w:rsid w:val="00B01745"/>
    <w:rsid w:val="00B11688"/>
    <w:rsid w:val="00B16648"/>
    <w:rsid w:val="00B215E3"/>
    <w:rsid w:val="00B24739"/>
    <w:rsid w:val="00B34DD3"/>
    <w:rsid w:val="00B42DF8"/>
    <w:rsid w:val="00B43854"/>
    <w:rsid w:val="00B55640"/>
    <w:rsid w:val="00B616B5"/>
    <w:rsid w:val="00B65CAF"/>
    <w:rsid w:val="00B72ABC"/>
    <w:rsid w:val="00B734E6"/>
    <w:rsid w:val="00B74397"/>
    <w:rsid w:val="00B83FF5"/>
    <w:rsid w:val="00B87D7D"/>
    <w:rsid w:val="00B90411"/>
    <w:rsid w:val="00B919A2"/>
    <w:rsid w:val="00B91BF7"/>
    <w:rsid w:val="00B93DC4"/>
    <w:rsid w:val="00B9548A"/>
    <w:rsid w:val="00BA2BF1"/>
    <w:rsid w:val="00BC50BD"/>
    <w:rsid w:val="00BD0ABB"/>
    <w:rsid w:val="00BD0F33"/>
    <w:rsid w:val="00BD31E0"/>
    <w:rsid w:val="00BD3BFC"/>
    <w:rsid w:val="00BE453A"/>
    <w:rsid w:val="00BE5AEC"/>
    <w:rsid w:val="00BE7067"/>
    <w:rsid w:val="00BF7654"/>
    <w:rsid w:val="00C00628"/>
    <w:rsid w:val="00C01A37"/>
    <w:rsid w:val="00C050E0"/>
    <w:rsid w:val="00C059C6"/>
    <w:rsid w:val="00C0648C"/>
    <w:rsid w:val="00C20070"/>
    <w:rsid w:val="00C22B62"/>
    <w:rsid w:val="00C40E2B"/>
    <w:rsid w:val="00C41B8D"/>
    <w:rsid w:val="00C421E8"/>
    <w:rsid w:val="00C4227A"/>
    <w:rsid w:val="00C44E98"/>
    <w:rsid w:val="00C5544F"/>
    <w:rsid w:val="00C6578E"/>
    <w:rsid w:val="00C72048"/>
    <w:rsid w:val="00C72C6A"/>
    <w:rsid w:val="00C752D7"/>
    <w:rsid w:val="00C80CFB"/>
    <w:rsid w:val="00C8542E"/>
    <w:rsid w:val="00C90491"/>
    <w:rsid w:val="00CA53D7"/>
    <w:rsid w:val="00CA5647"/>
    <w:rsid w:val="00CB0E3E"/>
    <w:rsid w:val="00CB6629"/>
    <w:rsid w:val="00CC0D4C"/>
    <w:rsid w:val="00CC76AC"/>
    <w:rsid w:val="00CC76D7"/>
    <w:rsid w:val="00CD2B1D"/>
    <w:rsid w:val="00CD2C51"/>
    <w:rsid w:val="00CD5E66"/>
    <w:rsid w:val="00CD60B0"/>
    <w:rsid w:val="00CE7278"/>
    <w:rsid w:val="00CE7DDB"/>
    <w:rsid w:val="00CF4016"/>
    <w:rsid w:val="00D00CA0"/>
    <w:rsid w:val="00D01A27"/>
    <w:rsid w:val="00D128BE"/>
    <w:rsid w:val="00D163E8"/>
    <w:rsid w:val="00D166D6"/>
    <w:rsid w:val="00D264E5"/>
    <w:rsid w:val="00D30CCE"/>
    <w:rsid w:val="00D375EB"/>
    <w:rsid w:val="00D45F2C"/>
    <w:rsid w:val="00D660B2"/>
    <w:rsid w:val="00D6656C"/>
    <w:rsid w:val="00D82D99"/>
    <w:rsid w:val="00D914A7"/>
    <w:rsid w:val="00D939D0"/>
    <w:rsid w:val="00D958BA"/>
    <w:rsid w:val="00DA0236"/>
    <w:rsid w:val="00DA1C47"/>
    <w:rsid w:val="00DA4647"/>
    <w:rsid w:val="00DA640B"/>
    <w:rsid w:val="00DB2951"/>
    <w:rsid w:val="00DC1903"/>
    <w:rsid w:val="00DE4BB8"/>
    <w:rsid w:val="00DE7752"/>
    <w:rsid w:val="00DF0082"/>
    <w:rsid w:val="00E02614"/>
    <w:rsid w:val="00E03F42"/>
    <w:rsid w:val="00E05DA3"/>
    <w:rsid w:val="00E11B34"/>
    <w:rsid w:val="00E159F4"/>
    <w:rsid w:val="00E22E3E"/>
    <w:rsid w:val="00E35A1B"/>
    <w:rsid w:val="00E35CB9"/>
    <w:rsid w:val="00E4266B"/>
    <w:rsid w:val="00E5436A"/>
    <w:rsid w:val="00E55647"/>
    <w:rsid w:val="00E5598A"/>
    <w:rsid w:val="00E650A6"/>
    <w:rsid w:val="00E745D8"/>
    <w:rsid w:val="00E77F44"/>
    <w:rsid w:val="00E837BF"/>
    <w:rsid w:val="00E92326"/>
    <w:rsid w:val="00EA1F79"/>
    <w:rsid w:val="00EA2502"/>
    <w:rsid w:val="00EA5725"/>
    <w:rsid w:val="00EA6936"/>
    <w:rsid w:val="00EC0C44"/>
    <w:rsid w:val="00EC2DFC"/>
    <w:rsid w:val="00EC4A6A"/>
    <w:rsid w:val="00EC4E3D"/>
    <w:rsid w:val="00EC68D9"/>
    <w:rsid w:val="00ED7A1B"/>
    <w:rsid w:val="00F02815"/>
    <w:rsid w:val="00F034BF"/>
    <w:rsid w:val="00F07399"/>
    <w:rsid w:val="00F077D2"/>
    <w:rsid w:val="00F10864"/>
    <w:rsid w:val="00F30694"/>
    <w:rsid w:val="00F40BDB"/>
    <w:rsid w:val="00F443F8"/>
    <w:rsid w:val="00F56974"/>
    <w:rsid w:val="00F5738C"/>
    <w:rsid w:val="00F6127A"/>
    <w:rsid w:val="00F926D1"/>
    <w:rsid w:val="00F96048"/>
    <w:rsid w:val="00F97341"/>
    <w:rsid w:val="00FA26DE"/>
    <w:rsid w:val="00FB3BC4"/>
    <w:rsid w:val="00FB7F6F"/>
    <w:rsid w:val="00FC34E8"/>
    <w:rsid w:val="00FD2773"/>
    <w:rsid w:val="00FD2CCF"/>
    <w:rsid w:val="00FD37D7"/>
    <w:rsid w:val="00FE2BBB"/>
    <w:rsid w:val="00FE4447"/>
    <w:rsid w:val="00FF6A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A2774"/>
  <w15:chartTrackingRefBased/>
  <w15:docId w15:val="{26A2C808-D189-41EB-B54A-9BED10F2F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F25"/>
  </w:style>
  <w:style w:type="paragraph" w:styleId="Ttulo1">
    <w:name w:val="heading 1"/>
    <w:basedOn w:val="Normal"/>
    <w:next w:val="Normal"/>
    <w:link w:val="Ttulo1Car"/>
    <w:uiPriority w:val="9"/>
    <w:qFormat/>
    <w:rsid w:val="00413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13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131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31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31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31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31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31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31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31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131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131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31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31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31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31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31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317C"/>
    <w:rPr>
      <w:rFonts w:eastAsiaTheme="majorEastAsia" w:cstheme="majorBidi"/>
      <w:color w:val="272727" w:themeColor="text1" w:themeTint="D8"/>
    </w:rPr>
  </w:style>
  <w:style w:type="paragraph" w:styleId="Ttulo">
    <w:name w:val="Title"/>
    <w:basedOn w:val="Normal"/>
    <w:next w:val="Normal"/>
    <w:link w:val="TtuloCar"/>
    <w:uiPriority w:val="10"/>
    <w:qFormat/>
    <w:rsid w:val="00413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31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31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31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317C"/>
    <w:pPr>
      <w:spacing w:before="160"/>
      <w:jc w:val="center"/>
    </w:pPr>
    <w:rPr>
      <w:i/>
      <w:iCs/>
      <w:color w:val="404040" w:themeColor="text1" w:themeTint="BF"/>
    </w:rPr>
  </w:style>
  <w:style w:type="character" w:customStyle="1" w:styleId="CitaCar">
    <w:name w:val="Cita Car"/>
    <w:basedOn w:val="Fuentedeprrafopredeter"/>
    <w:link w:val="Cita"/>
    <w:uiPriority w:val="29"/>
    <w:rsid w:val="0041317C"/>
    <w:rPr>
      <w:i/>
      <w:iCs/>
      <w:color w:val="404040" w:themeColor="text1" w:themeTint="BF"/>
    </w:rPr>
  </w:style>
  <w:style w:type="paragraph" w:styleId="Prrafodelista">
    <w:name w:val="List Paragraph"/>
    <w:basedOn w:val="Normal"/>
    <w:qFormat/>
    <w:rsid w:val="0041317C"/>
    <w:pPr>
      <w:ind w:left="720"/>
      <w:contextualSpacing/>
    </w:pPr>
  </w:style>
  <w:style w:type="character" w:styleId="nfasisintenso">
    <w:name w:val="Intense Emphasis"/>
    <w:basedOn w:val="Fuentedeprrafopredeter"/>
    <w:uiPriority w:val="21"/>
    <w:qFormat/>
    <w:rsid w:val="0041317C"/>
    <w:rPr>
      <w:i/>
      <w:iCs/>
      <w:color w:val="0F4761" w:themeColor="accent1" w:themeShade="BF"/>
    </w:rPr>
  </w:style>
  <w:style w:type="paragraph" w:styleId="Citadestacada">
    <w:name w:val="Intense Quote"/>
    <w:basedOn w:val="Normal"/>
    <w:next w:val="Normal"/>
    <w:link w:val="CitadestacadaCar"/>
    <w:uiPriority w:val="30"/>
    <w:qFormat/>
    <w:rsid w:val="00413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317C"/>
    <w:rPr>
      <w:i/>
      <w:iCs/>
      <w:color w:val="0F4761" w:themeColor="accent1" w:themeShade="BF"/>
    </w:rPr>
  </w:style>
  <w:style w:type="character" w:styleId="Referenciaintensa">
    <w:name w:val="Intense Reference"/>
    <w:basedOn w:val="Fuentedeprrafopredeter"/>
    <w:uiPriority w:val="32"/>
    <w:qFormat/>
    <w:rsid w:val="0041317C"/>
    <w:rPr>
      <w:b/>
      <w:bCs/>
      <w:smallCaps/>
      <w:color w:val="0F4761" w:themeColor="accent1" w:themeShade="BF"/>
      <w:spacing w:val="5"/>
    </w:rPr>
  </w:style>
  <w:style w:type="character" w:styleId="Hipervnculo">
    <w:name w:val="Hyperlink"/>
    <w:basedOn w:val="Fuentedeprrafopredeter"/>
    <w:uiPriority w:val="99"/>
    <w:unhideWhenUsed/>
    <w:rsid w:val="0041317C"/>
    <w:rPr>
      <w:color w:val="467886" w:themeColor="hyperlink"/>
      <w:u w:val="single"/>
    </w:rPr>
  </w:style>
  <w:style w:type="character" w:styleId="Mencinsinresolver">
    <w:name w:val="Unresolved Mention"/>
    <w:basedOn w:val="Fuentedeprrafopredeter"/>
    <w:uiPriority w:val="99"/>
    <w:semiHidden/>
    <w:unhideWhenUsed/>
    <w:rsid w:val="0041317C"/>
    <w:rPr>
      <w:color w:val="605E5C"/>
      <w:shd w:val="clear" w:color="auto" w:fill="E1DFDD"/>
    </w:rPr>
  </w:style>
  <w:style w:type="paragraph" w:styleId="Encabezado">
    <w:name w:val="header"/>
    <w:basedOn w:val="Normal"/>
    <w:link w:val="EncabezadoCar"/>
    <w:uiPriority w:val="99"/>
    <w:unhideWhenUsed/>
    <w:rsid w:val="004131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317C"/>
  </w:style>
  <w:style w:type="paragraph" w:styleId="Piedepgina">
    <w:name w:val="footer"/>
    <w:basedOn w:val="Normal"/>
    <w:link w:val="PiedepginaCar"/>
    <w:uiPriority w:val="99"/>
    <w:unhideWhenUsed/>
    <w:rsid w:val="004131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317C"/>
  </w:style>
  <w:style w:type="table" w:styleId="Tablaconcuadrcula">
    <w:name w:val="Table Grid"/>
    <w:basedOn w:val="Tablanormal"/>
    <w:uiPriority w:val="39"/>
    <w:rsid w:val="00413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A7CAC"/>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3A7CAC"/>
    <w:pPr>
      <w:spacing w:before="120" w:after="0"/>
    </w:pPr>
    <w:rPr>
      <w:b/>
      <w:bCs/>
      <w:i/>
      <w:iCs/>
      <w:sz w:val="24"/>
      <w:szCs w:val="24"/>
    </w:rPr>
  </w:style>
  <w:style w:type="paragraph" w:styleId="TDC2">
    <w:name w:val="toc 2"/>
    <w:basedOn w:val="Normal"/>
    <w:next w:val="Normal"/>
    <w:autoRedefine/>
    <w:uiPriority w:val="39"/>
    <w:unhideWhenUsed/>
    <w:rsid w:val="003A7CAC"/>
    <w:pPr>
      <w:spacing w:before="120" w:after="0"/>
      <w:ind w:left="220"/>
    </w:pPr>
    <w:rPr>
      <w:b/>
      <w:bCs/>
    </w:rPr>
  </w:style>
  <w:style w:type="paragraph" w:styleId="TDC3">
    <w:name w:val="toc 3"/>
    <w:basedOn w:val="Normal"/>
    <w:next w:val="Normal"/>
    <w:autoRedefine/>
    <w:uiPriority w:val="39"/>
    <w:unhideWhenUsed/>
    <w:rsid w:val="003A7CAC"/>
    <w:pPr>
      <w:spacing w:after="0"/>
      <w:ind w:left="440"/>
    </w:pPr>
    <w:rPr>
      <w:sz w:val="20"/>
      <w:szCs w:val="20"/>
    </w:rPr>
  </w:style>
  <w:style w:type="paragraph" w:styleId="TDC4">
    <w:name w:val="toc 4"/>
    <w:basedOn w:val="Normal"/>
    <w:next w:val="Normal"/>
    <w:autoRedefine/>
    <w:uiPriority w:val="39"/>
    <w:semiHidden/>
    <w:unhideWhenUsed/>
    <w:rsid w:val="003A7CAC"/>
    <w:pPr>
      <w:spacing w:after="0"/>
      <w:ind w:left="660"/>
    </w:pPr>
    <w:rPr>
      <w:sz w:val="20"/>
      <w:szCs w:val="20"/>
    </w:rPr>
  </w:style>
  <w:style w:type="paragraph" w:styleId="TDC5">
    <w:name w:val="toc 5"/>
    <w:basedOn w:val="Normal"/>
    <w:next w:val="Normal"/>
    <w:autoRedefine/>
    <w:uiPriority w:val="39"/>
    <w:semiHidden/>
    <w:unhideWhenUsed/>
    <w:rsid w:val="003A7CAC"/>
    <w:pPr>
      <w:spacing w:after="0"/>
      <w:ind w:left="880"/>
    </w:pPr>
    <w:rPr>
      <w:sz w:val="20"/>
      <w:szCs w:val="20"/>
    </w:rPr>
  </w:style>
  <w:style w:type="paragraph" w:styleId="TDC6">
    <w:name w:val="toc 6"/>
    <w:basedOn w:val="Normal"/>
    <w:next w:val="Normal"/>
    <w:autoRedefine/>
    <w:uiPriority w:val="39"/>
    <w:semiHidden/>
    <w:unhideWhenUsed/>
    <w:rsid w:val="003A7CAC"/>
    <w:pPr>
      <w:spacing w:after="0"/>
      <w:ind w:left="1100"/>
    </w:pPr>
    <w:rPr>
      <w:sz w:val="20"/>
      <w:szCs w:val="20"/>
    </w:rPr>
  </w:style>
  <w:style w:type="paragraph" w:styleId="TDC7">
    <w:name w:val="toc 7"/>
    <w:basedOn w:val="Normal"/>
    <w:next w:val="Normal"/>
    <w:autoRedefine/>
    <w:uiPriority w:val="39"/>
    <w:semiHidden/>
    <w:unhideWhenUsed/>
    <w:rsid w:val="003A7CAC"/>
    <w:pPr>
      <w:spacing w:after="0"/>
      <w:ind w:left="1320"/>
    </w:pPr>
    <w:rPr>
      <w:sz w:val="20"/>
      <w:szCs w:val="20"/>
    </w:rPr>
  </w:style>
  <w:style w:type="paragraph" w:styleId="TDC8">
    <w:name w:val="toc 8"/>
    <w:basedOn w:val="Normal"/>
    <w:next w:val="Normal"/>
    <w:autoRedefine/>
    <w:uiPriority w:val="39"/>
    <w:semiHidden/>
    <w:unhideWhenUsed/>
    <w:rsid w:val="003A7CAC"/>
    <w:pPr>
      <w:spacing w:after="0"/>
      <w:ind w:left="1540"/>
    </w:pPr>
    <w:rPr>
      <w:sz w:val="20"/>
      <w:szCs w:val="20"/>
    </w:rPr>
  </w:style>
  <w:style w:type="paragraph" w:styleId="TDC9">
    <w:name w:val="toc 9"/>
    <w:basedOn w:val="Normal"/>
    <w:next w:val="Normal"/>
    <w:autoRedefine/>
    <w:uiPriority w:val="39"/>
    <w:semiHidden/>
    <w:unhideWhenUsed/>
    <w:rsid w:val="003A7CAC"/>
    <w:pPr>
      <w:spacing w:after="0"/>
      <w:ind w:left="1760"/>
    </w:pPr>
    <w:rPr>
      <w:sz w:val="20"/>
      <w:szCs w:val="20"/>
    </w:rPr>
  </w:style>
  <w:style w:type="paragraph" w:customStyle="1" w:styleId="p1">
    <w:name w:val="p1"/>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2">
    <w:name w:val="p2"/>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unhideWhenUsed/>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apple-converted-space">
    <w:name w:val="apple-converted-space"/>
    <w:basedOn w:val="Fuentedeprrafopredeter"/>
    <w:rsid w:val="00744527"/>
  </w:style>
  <w:style w:type="character" w:styleId="Textoennegrita">
    <w:name w:val="Strong"/>
    <w:basedOn w:val="Fuentedeprrafopredeter"/>
    <w:uiPriority w:val="22"/>
    <w:qFormat/>
    <w:rsid w:val="00744527"/>
    <w:rPr>
      <w:b/>
      <w:bCs/>
    </w:rPr>
  </w:style>
  <w:style w:type="character" w:styleId="nfasis">
    <w:name w:val="Emphasis"/>
    <w:basedOn w:val="Fuentedeprrafopredeter"/>
    <w:uiPriority w:val="20"/>
    <w:qFormat/>
    <w:rsid w:val="00744527"/>
    <w:rPr>
      <w:i/>
      <w:iCs/>
    </w:rPr>
  </w:style>
  <w:style w:type="character" w:customStyle="1" w:styleId="s1">
    <w:name w:val="s1"/>
    <w:basedOn w:val="Fuentedeprrafopredeter"/>
    <w:rsid w:val="00744527"/>
  </w:style>
  <w:style w:type="paragraph" w:customStyle="1" w:styleId="p3">
    <w:name w:val="p3"/>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4">
    <w:name w:val="p4"/>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delmarcadordeposicin">
    <w:name w:val="Placeholder Text"/>
    <w:basedOn w:val="Fuentedeprrafopredeter"/>
    <w:uiPriority w:val="99"/>
    <w:semiHidden/>
    <w:rsid w:val="00D163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56008">
      <w:bodyDiv w:val="1"/>
      <w:marLeft w:val="0"/>
      <w:marRight w:val="0"/>
      <w:marTop w:val="0"/>
      <w:marBottom w:val="0"/>
      <w:divBdr>
        <w:top w:val="none" w:sz="0" w:space="0" w:color="auto"/>
        <w:left w:val="none" w:sz="0" w:space="0" w:color="auto"/>
        <w:bottom w:val="none" w:sz="0" w:space="0" w:color="auto"/>
        <w:right w:val="none" w:sz="0" w:space="0" w:color="auto"/>
      </w:divBdr>
      <w:divsChild>
        <w:div w:id="538779964">
          <w:marLeft w:val="0"/>
          <w:marRight w:val="0"/>
          <w:marTop w:val="0"/>
          <w:marBottom w:val="0"/>
          <w:divBdr>
            <w:top w:val="none" w:sz="0" w:space="0" w:color="auto"/>
            <w:left w:val="none" w:sz="0" w:space="0" w:color="auto"/>
            <w:bottom w:val="none" w:sz="0" w:space="0" w:color="auto"/>
            <w:right w:val="none" w:sz="0" w:space="0" w:color="auto"/>
          </w:divBdr>
          <w:divsChild>
            <w:div w:id="2013560211">
              <w:marLeft w:val="0"/>
              <w:marRight w:val="0"/>
              <w:marTop w:val="0"/>
              <w:marBottom w:val="0"/>
              <w:divBdr>
                <w:top w:val="none" w:sz="0" w:space="0" w:color="auto"/>
                <w:left w:val="none" w:sz="0" w:space="0" w:color="auto"/>
                <w:bottom w:val="none" w:sz="0" w:space="0" w:color="auto"/>
                <w:right w:val="none" w:sz="0" w:space="0" w:color="auto"/>
              </w:divBdr>
              <w:divsChild>
                <w:div w:id="1203052145">
                  <w:marLeft w:val="0"/>
                  <w:marRight w:val="0"/>
                  <w:marTop w:val="0"/>
                  <w:marBottom w:val="0"/>
                  <w:divBdr>
                    <w:top w:val="none" w:sz="0" w:space="0" w:color="auto"/>
                    <w:left w:val="none" w:sz="0" w:space="0" w:color="auto"/>
                    <w:bottom w:val="none" w:sz="0" w:space="0" w:color="auto"/>
                    <w:right w:val="none" w:sz="0" w:space="0" w:color="auto"/>
                  </w:divBdr>
                  <w:divsChild>
                    <w:div w:id="1286158425">
                      <w:marLeft w:val="0"/>
                      <w:marRight w:val="0"/>
                      <w:marTop w:val="0"/>
                      <w:marBottom w:val="0"/>
                      <w:divBdr>
                        <w:top w:val="none" w:sz="0" w:space="0" w:color="auto"/>
                        <w:left w:val="none" w:sz="0" w:space="0" w:color="auto"/>
                        <w:bottom w:val="none" w:sz="0" w:space="0" w:color="auto"/>
                        <w:right w:val="none" w:sz="0" w:space="0" w:color="auto"/>
                      </w:divBdr>
                      <w:divsChild>
                        <w:div w:id="1787308490">
                          <w:marLeft w:val="0"/>
                          <w:marRight w:val="0"/>
                          <w:marTop w:val="0"/>
                          <w:marBottom w:val="0"/>
                          <w:divBdr>
                            <w:top w:val="none" w:sz="0" w:space="0" w:color="auto"/>
                            <w:left w:val="none" w:sz="0" w:space="0" w:color="auto"/>
                            <w:bottom w:val="none" w:sz="0" w:space="0" w:color="auto"/>
                            <w:right w:val="none" w:sz="0" w:space="0" w:color="auto"/>
                          </w:divBdr>
                          <w:divsChild>
                            <w:div w:id="4923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554617">
      <w:bodyDiv w:val="1"/>
      <w:marLeft w:val="0"/>
      <w:marRight w:val="0"/>
      <w:marTop w:val="0"/>
      <w:marBottom w:val="0"/>
      <w:divBdr>
        <w:top w:val="none" w:sz="0" w:space="0" w:color="auto"/>
        <w:left w:val="none" w:sz="0" w:space="0" w:color="auto"/>
        <w:bottom w:val="none" w:sz="0" w:space="0" w:color="auto"/>
        <w:right w:val="none" w:sz="0" w:space="0" w:color="auto"/>
      </w:divBdr>
    </w:div>
    <w:div w:id="288972275">
      <w:bodyDiv w:val="1"/>
      <w:marLeft w:val="0"/>
      <w:marRight w:val="0"/>
      <w:marTop w:val="0"/>
      <w:marBottom w:val="0"/>
      <w:divBdr>
        <w:top w:val="none" w:sz="0" w:space="0" w:color="auto"/>
        <w:left w:val="none" w:sz="0" w:space="0" w:color="auto"/>
        <w:bottom w:val="none" w:sz="0" w:space="0" w:color="auto"/>
        <w:right w:val="none" w:sz="0" w:space="0" w:color="auto"/>
      </w:divBdr>
    </w:div>
    <w:div w:id="291596623">
      <w:bodyDiv w:val="1"/>
      <w:marLeft w:val="0"/>
      <w:marRight w:val="0"/>
      <w:marTop w:val="0"/>
      <w:marBottom w:val="0"/>
      <w:divBdr>
        <w:top w:val="none" w:sz="0" w:space="0" w:color="auto"/>
        <w:left w:val="none" w:sz="0" w:space="0" w:color="auto"/>
        <w:bottom w:val="none" w:sz="0" w:space="0" w:color="auto"/>
        <w:right w:val="none" w:sz="0" w:space="0" w:color="auto"/>
      </w:divBdr>
    </w:div>
    <w:div w:id="332950361">
      <w:bodyDiv w:val="1"/>
      <w:marLeft w:val="0"/>
      <w:marRight w:val="0"/>
      <w:marTop w:val="0"/>
      <w:marBottom w:val="0"/>
      <w:divBdr>
        <w:top w:val="none" w:sz="0" w:space="0" w:color="auto"/>
        <w:left w:val="none" w:sz="0" w:space="0" w:color="auto"/>
        <w:bottom w:val="none" w:sz="0" w:space="0" w:color="auto"/>
        <w:right w:val="none" w:sz="0" w:space="0" w:color="auto"/>
      </w:divBdr>
    </w:div>
    <w:div w:id="392117003">
      <w:bodyDiv w:val="1"/>
      <w:marLeft w:val="0"/>
      <w:marRight w:val="0"/>
      <w:marTop w:val="0"/>
      <w:marBottom w:val="0"/>
      <w:divBdr>
        <w:top w:val="none" w:sz="0" w:space="0" w:color="auto"/>
        <w:left w:val="none" w:sz="0" w:space="0" w:color="auto"/>
        <w:bottom w:val="none" w:sz="0" w:space="0" w:color="auto"/>
        <w:right w:val="none" w:sz="0" w:space="0" w:color="auto"/>
      </w:divBdr>
    </w:div>
    <w:div w:id="421528433">
      <w:bodyDiv w:val="1"/>
      <w:marLeft w:val="0"/>
      <w:marRight w:val="0"/>
      <w:marTop w:val="0"/>
      <w:marBottom w:val="0"/>
      <w:divBdr>
        <w:top w:val="none" w:sz="0" w:space="0" w:color="auto"/>
        <w:left w:val="none" w:sz="0" w:space="0" w:color="auto"/>
        <w:bottom w:val="none" w:sz="0" w:space="0" w:color="auto"/>
        <w:right w:val="none" w:sz="0" w:space="0" w:color="auto"/>
      </w:divBdr>
    </w:div>
    <w:div w:id="701712239">
      <w:bodyDiv w:val="1"/>
      <w:marLeft w:val="0"/>
      <w:marRight w:val="0"/>
      <w:marTop w:val="0"/>
      <w:marBottom w:val="0"/>
      <w:divBdr>
        <w:top w:val="none" w:sz="0" w:space="0" w:color="auto"/>
        <w:left w:val="none" w:sz="0" w:space="0" w:color="auto"/>
        <w:bottom w:val="none" w:sz="0" w:space="0" w:color="auto"/>
        <w:right w:val="none" w:sz="0" w:space="0" w:color="auto"/>
      </w:divBdr>
    </w:div>
    <w:div w:id="765615622">
      <w:bodyDiv w:val="1"/>
      <w:marLeft w:val="0"/>
      <w:marRight w:val="0"/>
      <w:marTop w:val="0"/>
      <w:marBottom w:val="0"/>
      <w:divBdr>
        <w:top w:val="none" w:sz="0" w:space="0" w:color="auto"/>
        <w:left w:val="none" w:sz="0" w:space="0" w:color="auto"/>
        <w:bottom w:val="none" w:sz="0" w:space="0" w:color="auto"/>
        <w:right w:val="none" w:sz="0" w:space="0" w:color="auto"/>
      </w:divBdr>
      <w:divsChild>
        <w:div w:id="1864204168">
          <w:marLeft w:val="0"/>
          <w:marRight w:val="0"/>
          <w:marTop w:val="0"/>
          <w:marBottom w:val="0"/>
          <w:divBdr>
            <w:top w:val="none" w:sz="0" w:space="0" w:color="auto"/>
            <w:left w:val="none" w:sz="0" w:space="0" w:color="auto"/>
            <w:bottom w:val="none" w:sz="0" w:space="0" w:color="auto"/>
            <w:right w:val="none" w:sz="0" w:space="0" w:color="auto"/>
          </w:divBdr>
          <w:divsChild>
            <w:div w:id="482894811">
              <w:marLeft w:val="0"/>
              <w:marRight w:val="0"/>
              <w:marTop w:val="0"/>
              <w:marBottom w:val="0"/>
              <w:divBdr>
                <w:top w:val="none" w:sz="0" w:space="0" w:color="auto"/>
                <w:left w:val="none" w:sz="0" w:space="0" w:color="auto"/>
                <w:bottom w:val="none" w:sz="0" w:space="0" w:color="auto"/>
                <w:right w:val="none" w:sz="0" w:space="0" w:color="auto"/>
              </w:divBdr>
              <w:divsChild>
                <w:div w:id="66921148">
                  <w:marLeft w:val="0"/>
                  <w:marRight w:val="0"/>
                  <w:marTop w:val="0"/>
                  <w:marBottom w:val="0"/>
                  <w:divBdr>
                    <w:top w:val="none" w:sz="0" w:space="0" w:color="auto"/>
                    <w:left w:val="none" w:sz="0" w:space="0" w:color="auto"/>
                    <w:bottom w:val="none" w:sz="0" w:space="0" w:color="auto"/>
                    <w:right w:val="none" w:sz="0" w:space="0" w:color="auto"/>
                  </w:divBdr>
                  <w:divsChild>
                    <w:div w:id="1268196598">
                      <w:marLeft w:val="0"/>
                      <w:marRight w:val="0"/>
                      <w:marTop w:val="0"/>
                      <w:marBottom w:val="0"/>
                      <w:divBdr>
                        <w:top w:val="none" w:sz="0" w:space="0" w:color="auto"/>
                        <w:left w:val="none" w:sz="0" w:space="0" w:color="auto"/>
                        <w:bottom w:val="none" w:sz="0" w:space="0" w:color="auto"/>
                        <w:right w:val="none" w:sz="0" w:space="0" w:color="auto"/>
                      </w:divBdr>
                      <w:divsChild>
                        <w:div w:id="1858958990">
                          <w:marLeft w:val="0"/>
                          <w:marRight w:val="0"/>
                          <w:marTop w:val="0"/>
                          <w:marBottom w:val="0"/>
                          <w:divBdr>
                            <w:top w:val="none" w:sz="0" w:space="0" w:color="auto"/>
                            <w:left w:val="none" w:sz="0" w:space="0" w:color="auto"/>
                            <w:bottom w:val="none" w:sz="0" w:space="0" w:color="auto"/>
                            <w:right w:val="none" w:sz="0" w:space="0" w:color="auto"/>
                          </w:divBdr>
                          <w:divsChild>
                            <w:div w:id="6084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922939">
      <w:bodyDiv w:val="1"/>
      <w:marLeft w:val="0"/>
      <w:marRight w:val="0"/>
      <w:marTop w:val="0"/>
      <w:marBottom w:val="0"/>
      <w:divBdr>
        <w:top w:val="none" w:sz="0" w:space="0" w:color="auto"/>
        <w:left w:val="none" w:sz="0" w:space="0" w:color="auto"/>
        <w:bottom w:val="none" w:sz="0" w:space="0" w:color="auto"/>
        <w:right w:val="none" w:sz="0" w:space="0" w:color="auto"/>
      </w:divBdr>
      <w:divsChild>
        <w:div w:id="1916427649">
          <w:marLeft w:val="0"/>
          <w:marRight w:val="0"/>
          <w:marTop w:val="0"/>
          <w:marBottom w:val="0"/>
          <w:divBdr>
            <w:top w:val="none" w:sz="0" w:space="0" w:color="auto"/>
            <w:left w:val="none" w:sz="0" w:space="0" w:color="auto"/>
            <w:bottom w:val="none" w:sz="0" w:space="0" w:color="auto"/>
            <w:right w:val="none" w:sz="0" w:space="0" w:color="auto"/>
          </w:divBdr>
          <w:divsChild>
            <w:div w:id="1016082258">
              <w:marLeft w:val="0"/>
              <w:marRight w:val="0"/>
              <w:marTop w:val="0"/>
              <w:marBottom w:val="0"/>
              <w:divBdr>
                <w:top w:val="none" w:sz="0" w:space="0" w:color="auto"/>
                <w:left w:val="none" w:sz="0" w:space="0" w:color="auto"/>
                <w:bottom w:val="none" w:sz="0" w:space="0" w:color="auto"/>
                <w:right w:val="none" w:sz="0" w:space="0" w:color="auto"/>
              </w:divBdr>
              <w:divsChild>
                <w:div w:id="1955482818">
                  <w:marLeft w:val="0"/>
                  <w:marRight w:val="0"/>
                  <w:marTop w:val="0"/>
                  <w:marBottom w:val="0"/>
                  <w:divBdr>
                    <w:top w:val="none" w:sz="0" w:space="0" w:color="auto"/>
                    <w:left w:val="none" w:sz="0" w:space="0" w:color="auto"/>
                    <w:bottom w:val="none" w:sz="0" w:space="0" w:color="auto"/>
                    <w:right w:val="none" w:sz="0" w:space="0" w:color="auto"/>
                  </w:divBdr>
                  <w:divsChild>
                    <w:div w:id="137236624">
                      <w:marLeft w:val="0"/>
                      <w:marRight w:val="0"/>
                      <w:marTop w:val="0"/>
                      <w:marBottom w:val="0"/>
                      <w:divBdr>
                        <w:top w:val="none" w:sz="0" w:space="0" w:color="auto"/>
                        <w:left w:val="none" w:sz="0" w:space="0" w:color="auto"/>
                        <w:bottom w:val="none" w:sz="0" w:space="0" w:color="auto"/>
                        <w:right w:val="none" w:sz="0" w:space="0" w:color="auto"/>
                      </w:divBdr>
                      <w:divsChild>
                        <w:div w:id="313338546">
                          <w:marLeft w:val="0"/>
                          <w:marRight w:val="0"/>
                          <w:marTop w:val="0"/>
                          <w:marBottom w:val="0"/>
                          <w:divBdr>
                            <w:top w:val="none" w:sz="0" w:space="0" w:color="auto"/>
                            <w:left w:val="none" w:sz="0" w:space="0" w:color="auto"/>
                            <w:bottom w:val="none" w:sz="0" w:space="0" w:color="auto"/>
                            <w:right w:val="none" w:sz="0" w:space="0" w:color="auto"/>
                          </w:divBdr>
                          <w:divsChild>
                            <w:div w:id="11352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088142">
      <w:bodyDiv w:val="1"/>
      <w:marLeft w:val="0"/>
      <w:marRight w:val="0"/>
      <w:marTop w:val="0"/>
      <w:marBottom w:val="0"/>
      <w:divBdr>
        <w:top w:val="none" w:sz="0" w:space="0" w:color="auto"/>
        <w:left w:val="none" w:sz="0" w:space="0" w:color="auto"/>
        <w:bottom w:val="none" w:sz="0" w:space="0" w:color="auto"/>
        <w:right w:val="none" w:sz="0" w:space="0" w:color="auto"/>
      </w:divBdr>
      <w:divsChild>
        <w:div w:id="54083930">
          <w:marLeft w:val="0"/>
          <w:marRight w:val="0"/>
          <w:marTop w:val="0"/>
          <w:marBottom w:val="0"/>
          <w:divBdr>
            <w:top w:val="none" w:sz="0" w:space="0" w:color="auto"/>
            <w:left w:val="none" w:sz="0" w:space="0" w:color="auto"/>
            <w:bottom w:val="none" w:sz="0" w:space="0" w:color="auto"/>
            <w:right w:val="none" w:sz="0" w:space="0" w:color="auto"/>
          </w:divBdr>
          <w:divsChild>
            <w:div w:id="414910051">
              <w:marLeft w:val="0"/>
              <w:marRight w:val="0"/>
              <w:marTop w:val="0"/>
              <w:marBottom w:val="0"/>
              <w:divBdr>
                <w:top w:val="none" w:sz="0" w:space="0" w:color="auto"/>
                <w:left w:val="none" w:sz="0" w:space="0" w:color="auto"/>
                <w:bottom w:val="none" w:sz="0" w:space="0" w:color="auto"/>
                <w:right w:val="none" w:sz="0" w:space="0" w:color="auto"/>
              </w:divBdr>
              <w:divsChild>
                <w:div w:id="1421875929">
                  <w:marLeft w:val="0"/>
                  <w:marRight w:val="0"/>
                  <w:marTop w:val="0"/>
                  <w:marBottom w:val="0"/>
                  <w:divBdr>
                    <w:top w:val="none" w:sz="0" w:space="0" w:color="auto"/>
                    <w:left w:val="none" w:sz="0" w:space="0" w:color="auto"/>
                    <w:bottom w:val="none" w:sz="0" w:space="0" w:color="auto"/>
                    <w:right w:val="none" w:sz="0" w:space="0" w:color="auto"/>
                  </w:divBdr>
                  <w:divsChild>
                    <w:div w:id="58212365">
                      <w:marLeft w:val="0"/>
                      <w:marRight w:val="0"/>
                      <w:marTop w:val="0"/>
                      <w:marBottom w:val="0"/>
                      <w:divBdr>
                        <w:top w:val="none" w:sz="0" w:space="0" w:color="auto"/>
                        <w:left w:val="none" w:sz="0" w:space="0" w:color="auto"/>
                        <w:bottom w:val="none" w:sz="0" w:space="0" w:color="auto"/>
                        <w:right w:val="none" w:sz="0" w:space="0" w:color="auto"/>
                      </w:divBdr>
                      <w:divsChild>
                        <w:div w:id="1297417780">
                          <w:marLeft w:val="0"/>
                          <w:marRight w:val="0"/>
                          <w:marTop w:val="0"/>
                          <w:marBottom w:val="0"/>
                          <w:divBdr>
                            <w:top w:val="none" w:sz="0" w:space="0" w:color="auto"/>
                            <w:left w:val="none" w:sz="0" w:space="0" w:color="auto"/>
                            <w:bottom w:val="none" w:sz="0" w:space="0" w:color="auto"/>
                            <w:right w:val="none" w:sz="0" w:space="0" w:color="auto"/>
                          </w:divBdr>
                          <w:divsChild>
                            <w:div w:id="20839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80588">
      <w:bodyDiv w:val="1"/>
      <w:marLeft w:val="0"/>
      <w:marRight w:val="0"/>
      <w:marTop w:val="0"/>
      <w:marBottom w:val="0"/>
      <w:divBdr>
        <w:top w:val="none" w:sz="0" w:space="0" w:color="auto"/>
        <w:left w:val="none" w:sz="0" w:space="0" w:color="auto"/>
        <w:bottom w:val="none" w:sz="0" w:space="0" w:color="auto"/>
        <w:right w:val="none" w:sz="0" w:space="0" w:color="auto"/>
      </w:divBdr>
    </w:div>
    <w:div w:id="991445198">
      <w:bodyDiv w:val="1"/>
      <w:marLeft w:val="0"/>
      <w:marRight w:val="0"/>
      <w:marTop w:val="0"/>
      <w:marBottom w:val="0"/>
      <w:divBdr>
        <w:top w:val="none" w:sz="0" w:space="0" w:color="auto"/>
        <w:left w:val="none" w:sz="0" w:space="0" w:color="auto"/>
        <w:bottom w:val="none" w:sz="0" w:space="0" w:color="auto"/>
        <w:right w:val="none" w:sz="0" w:space="0" w:color="auto"/>
      </w:divBdr>
    </w:div>
    <w:div w:id="1182279702">
      <w:bodyDiv w:val="1"/>
      <w:marLeft w:val="0"/>
      <w:marRight w:val="0"/>
      <w:marTop w:val="0"/>
      <w:marBottom w:val="0"/>
      <w:divBdr>
        <w:top w:val="none" w:sz="0" w:space="0" w:color="auto"/>
        <w:left w:val="none" w:sz="0" w:space="0" w:color="auto"/>
        <w:bottom w:val="none" w:sz="0" w:space="0" w:color="auto"/>
        <w:right w:val="none" w:sz="0" w:space="0" w:color="auto"/>
      </w:divBdr>
    </w:div>
    <w:div w:id="1216703052">
      <w:bodyDiv w:val="1"/>
      <w:marLeft w:val="0"/>
      <w:marRight w:val="0"/>
      <w:marTop w:val="0"/>
      <w:marBottom w:val="0"/>
      <w:divBdr>
        <w:top w:val="none" w:sz="0" w:space="0" w:color="auto"/>
        <w:left w:val="none" w:sz="0" w:space="0" w:color="auto"/>
        <w:bottom w:val="none" w:sz="0" w:space="0" w:color="auto"/>
        <w:right w:val="none" w:sz="0" w:space="0" w:color="auto"/>
      </w:divBdr>
    </w:div>
    <w:div w:id="1532299586">
      <w:bodyDiv w:val="1"/>
      <w:marLeft w:val="0"/>
      <w:marRight w:val="0"/>
      <w:marTop w:val="0"/>
      <w:marBottom w:val="0"/>
      <w:divBdr>
        <w:top w:val="none" w:sz="0" w:space="0" w:color="auto"/>
        <w:left w:val="none" w:sz="0" w:space="0" w:color="auto"/>
        <w:bottom w:val="none" w:sz="0" w:space="0" w:color="auto"/>
        <w:right w:val="none" w:sz="0" w:space="0" w:color="auto"/>
      </w:divBdr>
    </w:div>
    <w:div w:id="1546331882">
      <w:bodyDiv w:val="1"/>
      <w:marLeft w:val="0"/>
      <w:marRight w:val="0"/>
      <w:marTop w:val="0"/>
      <w:marBottom w:val="0"/>
      <w:divBdr>
        <w:top w:val="none" w:sz="0" w:space="0" w:color="auto"/>
        <w:left w:val="none" w:sz="0" w:space="0" w:color="auto"/>
        <w:bottom w:val="none" w:sz="0" w:space="0" w:color="auto"/>
        <w:right w:val="none" w:sz="0" w:space="0" w:color="auto"/>
      </w:divBdr>
    </w:div>
    <w:div w:id="1710841936">
      <w:bodyDiv w:val="1"/>
      <w:marLeft w:val="0"/>
      <w:marRight w:val="0"/>
      <w:marTop w:val="0"/>
      <w:marBottom w:val="0"/>
      <w:divBdr>
        <w:top w:val="none" w:sz="0" w:space="0" w:color="auto"/>
        <w:left w:val="none" w:sz="0" w:space="0" w:color="auto"/>
        <w:bottom w:val="none" w:sz="0" w:space="0" w:color="auto"/>
        <w:right w:val="none" w:sz="0" w:space="0" w:color="auto"/>
      </w:divBdr>
    </w:div>
    <w:div w:id="1725136114">
      <w:bodyDiv w:val="1"/>
      <w:marLeft w:val="0"/>
      <w:marRight w:val="0"/>
      <w:marTop w:val="0"/>
      <w:marBottom w:val="0"/>
      <w:divBdr>
        <w:top w:val="none" w:sz="0" w:space="0" w:color="auto"/>
        <w:left w:val="none" w:sz="0" w:space="0" w:color="auto"/>
        <w:bottom w:val="none" w:sz="0" w:space="0" w:color="auto"/>
        <w:right w:val="none" w:sz="0" w:space="0" w:color="auto"/>
      </w:divBdr>
      <w:divsChild>
        <w:div w:id="1893224830">
          <w:marLeft w:val="0"/>
          <w:marRight w:val="0"/>
          <w:marTop w:val="0"/>
          <w:marBottom w:val="0"/>
          <w:divBdr>
            <w:top w:val="none" w:sz="0" w:space="0" w:color="auto"/>
            <w:left w:val="none" w:sz="0" w:space="0" w:color="auto"/>
            <w:bottom w:val="none" w:sz="0" w:space="0" w:color="auto"/>
            <w:right w:val="none" w:sz="0" w:space="0" w:color="auto"/>
          </w:divBdr>
          <w:divsChild>
            <w:div w:id="1243022896">
              <w:marLeft w:val="0"/>
              <w:marRight w:val="0"/>
              <w:marTop w:val="0"/>
              <w:marBottom w:val="0"/>
              <w:divBdr>
                <w:top w:val="none" w:sz="0" w:space="0" w:color="auto"/>
                <w:left w:val="none" w:sz="0" w:space="0" w:color="auto"/>
                <w:bottom w:val="none" w:sz="0" w:space="0" w:color="auto"/>
                <w:right w:val="none" w:sz="0" w:space="0" w:color="auto"/>
              </w:divBdr>
              <w:divsChild>
                <w:div w:id="229268845">
                  <w:marLeft w:val="0"/>
                  <w:marRight w:val="0"/>
                  <w:marTop w:val="0"/>
                  <w:marBottom w:val="0"/>
                  <w:divBdr>
                    <w:top w:val="none" w:sz="0" w:space="0" w:color="auto"/>
                    <w:left w:val="none" w:sz="0" w:space="0" w:color="auto"/>
                    <w:bottom w:val="none" w:sz="0" w:space="0" w:color="auto"/>
                    <w:right w:val="none" w:sz="0" w:space="0" w:color="auto"/>
                  </w:divBdr>
                  <w:divsChild>
                    <w:div w:id="1801418000">
                      <w:marLeft w:val="0"/>
                      <w:marRight w:val="0"/>
                      <w:marTop w:val="0"/>
                      <w:marBottom w:val="0"/>
                      <w:divBdr>
                        <w:top w:val="none" w:sz="0" w:space="0" w:color="auto"/>
                        <w:left w:val="none" w:sz="0" w:space="0" w:color="auto"/>
                        <w:bottom w:val="none" w:sz="0" w:space="0" w:color="auto"/>
                        <w:right w:val="none" w:sz="0" w:space="0" w:color="auto"/>
                      </w:divBdr>
                      <w:divsChild>
                        <w:div w:id="2109306477">
                          <w:marLeft w:val="0"/>
                          <w:marRight w:val="0"/>
                          <w:marTop w:val="0"/>
                          <w:marBottom w:val="0"/>
                          <w:divBdr>
                            <w:top w:val="none" w:sz="0" w:space="0" w:color="auto"/>
                            <w:left w:val="none" w:sz="0" w:space="0" w:color="auto"/>
                            <w:bottom w:val="none" w:sz="0" w:space="0" w:color="auto"/>
                            <w:right w:val="none" w:sz="0" w:space="0" w:color="auto"/>
                          </w:divBdr>
                          <w:divsChild>
                            <w:div w:id="2818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776841">
      <w:bodyDiv w:val="1"/>
      <w:marLeft w:val="0"/>
      <w:marRight w:val="0"/>
      <w:marTop w:val="0"/>
      <w:marBottom w:val="0"/>
      <w:divBdr>
        <w:top w:val="none" w:sz="0" w:space="0" w:color="auto"/>
        <w:left w:val="none" w:sz="0" w:space="0" w:color="auto"/>
        <w:bottom w:val="none" w:sz="0" w:space="0" w:color="auto"/>
        <w:right w:val="none" w:sz="0" w:space="0" w:color="auto"/>
      </w:divBdr>
    </w:div>
    <w:div w:id="1848670653">
      <w:bodyDiv w:val="1"/>
      <w:marLeft w:val="0"/>
      <w:marRight w:val="0"/>
      <w:marTop w:val="0"/>
      <w:marBottom w:val="0"/>
      <w:divBdr>
        <w:top w:val="none" w:sz="0" w:space="0" w:color="auto"/>
        <w:left w:val="none" w:sz="0" w:space="0" w:color="auto"/>
        <w:bottom w:val="none" w:sz="0" w:space="0" w:color="auto"/>
        <w:right w:val="none" w:sz="0" w:space="0" w:color="auto"/>
      </w:divBdr>
      <w:divsChild>
        <w:div w:id="124473506">
          <w:marLeft w:val="0"/>
          <w:marRight w:val="0"/>
          <w:marTop w:val="0"/>
          <w:marBottom w:val="0"/>
          <w:divBdr>
            <w:top w:val="none" w:sz="0" w:space="0" w:color="auto"/>
            <w:left w:val="none" w:sz="0" w:space="0" w:color="auto"/>
            <w:bottom w:val="none" w:sz="0" w:space="0" w:color="auto"/>
            <w:right w:val="none" w:sz="0" w:space="0" w:color="auto"/>
          </w:divBdr>
          <w:divsChild>
            <w:div w:id="1638604632">
              <w:marLeft w:val="0"/>
              <w:marRight w:val="0"/>
              <w:marTop w:val="0"/>
              <w:marBottom w:val="0"/>
              <w:divBdr>
                <w:top w:val="none" w:sz="0" w:space="0" w:color="auto"/>
                <w:left w:val="none" w:sz="0" w:space="0" w:color="auto"/>
                <w:bottom w:val="none" w:sz="0" w:space="0" w:color="auto"/>
                <w:right w:val="none" w:sz="0" w:space="0" w:color="auto"/>
              </w:divBdr>
              <w:divsChild>
                <w:div w:id="243103364">
                  <w:marLeft w:val="0"/>
                  <w:marRight w:val="0"/>
                  <w:marTop w:val="0"/>
                  <w:marBottom w:val="0"/>
                  <w:divBdr>
                    <w:top w:val="none" w:sz="0" w:space="0" w:color="auto"/>
                    <w:left w:val="none" w:sz="0" w:space="0" w:color="auto"/>
                    <w:bottom w:val="none" w:sz="0" w:space="0" w:color="auto"/>
                    <w:right w:val="none" w:sz="0" w:space="0" w:color="auto"/>
                  </w:divBdr>
                  <w:divsChild>
                    <w:div w:id="61145889">
                      <w:marLeft w:val="0"/>
                      <w:marRight w:val="0"/>
                      <w:marTop w:val="0"/>
                      <w:marBottom w:val="0"/>
                      <w:divBdr>
                        <w:top w:val="none" w:sz="0" w:space="0" w:color="auto"/>
                        <w:left w:val="none" w:sz="0" w:space="0" w:color="auto"/>
                        <w:bottom w:val="none" w:sz="0" w:space="0" w:color="auto"/>
                        <w:right w:val="none" w:sz="0" w:space="0" w:color="auto"/>
                      </w:divBdr>
                      <w:divsChild>
                        <w:div w:id="1198006748">
                          <w:marLeft w:val="0"/>
                          <w:marRight w:val="0"/>
                          <w:marTop w:val="0"/>
                          <w:marBottom w:val="0"/>
                          <w:divBdr>
                            <w:top w:val="none" w:sz="0" w:space="0" w:color="auto"/>
                            <w:left w:val="none" w:sz="0" w:space="0" w:color="auto"/>
                            <w:bottom w:val="none" w:sz="0" w:space="0" w:color="auto"/>
                            <w:right w:val="none" w:sz="0" w:space="0" w:color="auto"/>
                          </w:divBdr>
                          <w:divsChild>
                            <w:div w:id="5893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452983">
      <w:bodyDiv w:val="1"/>
      <w:marLeft w:val="0"/>
      <w:marRight w:val="0"/>
      <w:marTop w:val="0"/>
      <w:marBottom w:val="0"/>
      <w:divBdr>
        <w:top w:val="none" w:sz="0" w:space="0" w:color="auto"/>
        <w:left w:val="none" w:sz="0" w:space="0" w:color="auto"/>
        <w:bottom w:val="none" w:sz="0" w:space="0" w:color="auto"/>
        <w:right w:val="none" w:sz="0" w:space="0" w:color="auto"/>
      </w:divBdr>
    </w:div>
    <w:div w:id="1927301685">
      <w:bodyDiv w:val="1"/>
      <w:marLeft w:val="0"/>
      <w:marRight w:val="0"/>
      <w:marTop w:val="0"/>
      <w:marBottom w:val="0"/>
      <w:divBdr>
        <w:top w:val="none" w:sz="0" w:space="0" w:color="auto"/>
        <w:left w:val="none" w:sz="0" w:space="0" w:color="auto"/>
        <w:bottom w:val="none" w:sz="0" w:space="0" w:color="auto"/>
        <w:right w:val="none" w:sz="0" w:space="0" w:color="auto"/>
      </w:divBdr>
      <w:divsChild>
        <w:div w:id="403183223">
          <w:marLeft w:val="0"/>
          <w:marRight w:val="0"/>
          <w:marTop w:val="0"/>
          <w:marBottom w:val="0"/>
          <w:divBdr>
            <w:top w:val="none" w:sz="0" w:space="0" w:color="auto"/>
            <w:left w:val="none" w:sz="0" w:space="0" w:color="auto"/>
            <w:bottom w:val="none" w:sz="0" w:space="0" w:color="auto"/>
            <w:right w:val="none" w:sz="0" w:space="0" w:color="auto"/>
          </w:divBdr>
          <w:divsChild>
            <w:div w:id="2113044306">
              <w:marLeft w:val="0"/>
              <w:marRight w:val="0"/>
              <w:marTop w:val="0"/>
              <w:marBottom w:val="0"/>
              <w:divBdr>
                <w:top w:val="none" w:sz="0" w:space="0" w:color="auto"/>
                <w:left w:val="none" w:sz="0" w:space="0" w:color="auto"/>
                <w:bottom w:val="none" w:sz="0" w:space="0" w:color="auto"/>
                <w:right w:val="none" w:sz="0" w:space="0" w:color="auto"/>
              </w:divBdr>
              <w:divsChild>
                <w:div w:id="359403167">
                  <w:marLeft w:val="0"/>
                  <w:marRight w:val="0"/>
                  <w:marTop w:val="0"/>
                  <w:marBottom w:val="0"/>
                  <w:divBdr>
                    <w:top w:val="none" w:sz="0" w:space="0" w:color="auto"/>
                    <w:left w:val="none" w:sz="0" w:space="0" w:color="auto"/>
                    <w:bottom w:val="none" w:sz="0" w:space="0" w:color="auto"/>
                    <w:right w:val="none" w:sz="0" w:space="0" w:color="auto"/>
                  </w:divBdr>
                  <w:divsChild>
                    <w:div w:id="545067143">
                      <w:marLeft w:val="0"/>
                      <w:marRight w:val="0"/>
                      <w:marTop w:val="0"/>
                      <w:marBottom w:val="0"/>
                      <w:divBdr>
                        <w:top w:val="none" w:sz="0" w:space="0" w:color="auto"/>
                        <w:left w:val="none" w:sz="0" w:space="0" w:color="auto"/>
                        <w:bottom w:val="none" w:sz="0" w:space="0" w:color="auto"/>
                        <w:right w:val="none" w:sz="0" w:space="0" w:color="auto"/>
                      </w:divBdr>
                      <w:divsChild>
                        <w:div w:id="692342707">
                          <w:marLeft w:val="0"/>
                          <w:marRight w:val="0"/>
                          <w:marTop w:val="0"/>
                          <w:marBottom w:val="0"/>
                          <w:divBdr>
                            <w:top w:val="none" w:sz="0" w:space="0" w:color="auto"/>
                            <w:left w:val="none" w:sz="0" w:space="0" w:color="auto"/>
                            <w:bottom w:val="none" w:sz="0" w:space="0" w:color="auto"/>
                            <w:right w:val="none" w:sz="0" w:space="0" w:color="auto"/>
                          </w:divBdr>
                          <w:divsChild>
                            <w:div w:id="2259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406175">
      <w:bodyDiv w:val="1"/>
      <w:marLeft w:val="0"/>
      <w:marRight w:val="0"/>
      <w:marTop w:val="0"/>
      <w:marBottom w:val="0"/>
      <w:divBdr>
        <w:top w:val="none" w:sz="0" w:space="0" w:color="auto"/>
        <w:left w:val="none" w:sz="0" w:space="0" w:color="auto"/>
        <w:bottom w:val="none" w:sz="0" w:space="0" w:color="auto"/>
        <w:right w:val="none" w:sz="0" w:space="0" w:color="auto"/>
      </w:divBdr>
    </w:div>
    <w:div w:id="1981616109">
      <w:bodyDiv w:val="1"/>
      <w:marLeft w:val="0"/>
      <w:marRight w:val="0"/>
      <w:marTop w:val="0"/>
      <w:marBottom w:val="0"/>
      <w:divBdr>
        <w:top w:val="none" w:sz="0" w:space="0" w:color="auto"/>
        <w:left w:val="none" w:sz="0" w:space="0" w:color="auto"/>
        <w:bottom w:val="none" w:sz="0" w:space="0" w:color="auto"/>
        <w:right w:val="none" w:sz="0" w:space="0" w:color="auto"/>
      </w:divBdr>
      <w:divsChild>
        <w:div w:id="245463068">
          <w:marLeft w:val="0"/>
          <w:marRight w:val="0"/>
          <w:marTop w:val="0"/>
          <w:marBottom w:val="0"/>
          <w:divBdr>
            <w:top w:val="none" w:sz="0" w:space="0" w:color="auto"/>
            <w:left w:val="none" w:sz="0" w:space="0" w:color="auto"/>
            <w:bottom w:val="none" w:sz="0" w:space="0" w:color="auto"/>
            <w:right w:val="none" w:sz="0" w:space="0" w:color="auto"/>
          </w:divBdr>
          <w:divsChild>
            <w:div w:id="1172061272">
              <w:marLeft w:val="0"/>
              <w:marRight w:val="0"/>
              <w:marTop w:val="0"/>
              <w:marBottom w:val="0"/>
              <w:divBdr>
                <w:top w:val="none" w:sz="0" w:space="0" w:color="auto"/>
                <w:left w:val="none" w:sz="0" w:space="0" w:color="auto"/>
                <w:bottom w:val="none" w:sz="0" w:space="0" w:color="auto"/>
                <w:right w:val="none" w:sz="0" w:space="0" w:color="auto"/>
              </w:divBdr>
              <w:divsChild>
                <w:div w:id="1224295097">
                  <w:marLeft w:val="0"/>
                  <w:marRight w:val="0"/>
                  <w:marTop w:val="0"/>
                  <w:marBottom w:val="0"/>
                  <w:divBdr>
                    <w:top w:val="none" w:sz="0" w:space="0" w:color="auto"/>
                    <w:left w:val="none" w:sz="0" w:space="0" w:color="auto"/>
                    <w:bottom w:val="none" w:sz="0" w:space="0" w:color="auto"/>
                    <w:right w:val="none" w:sz="0" w:space="0" w:color="auto"/>
                  </w:divBdr>
                  <w:divsChild>
                    <w:div w:id="570045809">
                      <w:marLeft w:val="0"/>
                      <w:marRight w:val="0"/>
                      <w:marTop w:val="0"/>
                      <w:marBottom w:val="0"/>
                      <w:divBdr>
                        <w:top w:val="none" w:sz="0" w:space="0" w:color="auto"/>
                        <w:left w:val="none" w:sz="0" w:space="0" w:color="auto"/>
                        <w:bottom w:val="none" w:sz="0" w:space="0" w:color="auto"/>
                        <w:right w:val="none" w:sz="0" w:space="0" w:color="auto"/>
                      </w:divBdr>
                      <w:divsChild>
                        <w:div w:id="338388476">
                          <w:marLeft w:val="0"/>
                          <w:marRight w:val="0"/>
                          <w:marTop w:val="0"/>
                          <w:marBottom w:val="0"/>
                          <w:divBdr>
                            <w:top w:val="none" w:sz="0" w:space="0" w:color="auto"/>
                            <w:left w:val="none" w:sz="0" w:space="0" w:color="auto"/>
                            <w:bottom w:val="none" w:sz="0" w:space="0" w:color="auto"/>
                            <w:right w:val="none" w:sz="0" w:space="0" w:color="auto"/>
                          </w:divBdr>
                          <w:divsChild>
                            <w:div w:id="7324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28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7C349-D7C2-4CD1-8F73-AA0979E11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Garces Florez</dc:creator>
  <cp:keywords/>
  <dc:description/>
  <cp:lastModifiedBy>Especialista de Negocios Verdes</cp:lastModifiedBy>
  <cp:revision>2</cp:revision>
  <cp:lastPrinted>2026-03-10T12:18:00Z</cp:lastPrinted>
  <dcterms:created xsi:type="dcterms:W3CDTF">2026-03-18T03:24:00Z</dcterms:created>
  <dcterms:modified xsi:type="dcterms:W3CDTF">2026-03-18T03:24:00Z</dcterms:modified>
</cp:coreProperties>
</file>