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S6.2 — Integridad del dato, trazabilidad y créditos de carbono: evidencia crítica y perspectivas de reforma</w:t>
      </w:r>
    </w:p>
    <w:p>
      <w:pPr>
        <w:jc w:val="center"/>
      </w:pPr>
      <w:r>
        <w:rPr>
          <w:b/>
          <w:sz w:val="22"/>
        </w:rPr>
        <w:t>Módulo 06 | Sesión 6.2</w:t>
      </w:r>
    </w:p>
    <w:p>
      <w:pPr>
        <w:jc w:val="center"/>
      </w:pPr>
      <w:r>
        <w:rPr>
          <w:b/>
          <w:sz w:val="22"/>
        </w:rPr>
        <w:t>Coffee Biochar Academy — Lecturas Científicas Complementarias</w:t>
      </w:r>
    </w:p>
    <w:p>
      <w:pPr>
        <w:pStyle w:val="Ttulo2"/>
      </w:pPr>
      <w:r>
        <w:t>1. Introducción</w:t>
      </w:r>
    </w:p>
    <w:p>
      <w:pPr/>
      <w:r>
        <w:t>El Módulo 06 ha recorrido en su primera sesión las tecnologías que permiten monitorear y cuantificar el carbono en el suelo cafetero con precisión creciente. Esta segunda sesión aborda la pregunta que convierte la medición en valor económico: ¿cómo se garantiza que los créditos de carbono emitidos por los registros internacionales representan realmente las reducciones de emisiones o el secuestro de carbono que prometen representar? Esta pregunta de integridad del dato —cuya respuesta determina si el mercado voluntario de carbono cumple su función climática o simplemente circula certificados sin sustento— ha sido objeto de un intenso escrutinio científico en los últimos cinco años, y las conclusiones de la investigación empírica son contundentes: una fracción muy significativa de los créditos actualmente en circulación en los mercados voluntarios de carbono no corresponden a reducciones reales de emisiones.</w:t>
      </w:r>
    </w:p>
    <w:p>
      <w:pPr/>
      <w:r>
        <w:t>Comprender las causas de este fallo sistémico —y las soluciones que la tecnología blockchain y los estándares de nueva generación están desarrollando— es esencial para el extensionista cafetero que trabaja en proyectos de biochar certificados. El conocimiento de las limitaciones del sistema actual permite diseñar proyectos con mayor integridad estructural, anticipar las exigencias de los verificadores de las mejores prácticas del sector, y comunicar con honestidad a los productores tanto las oportunidades como los riesgos de los mercados de créditos de carbono.</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6.2_cadena_custodia.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Cadena de custodia e integridad del dato en créditos de carbono: del campo al registro digital.</w:t>
      </w:r>
    </w:p>
    <w:p>
      <w:pPr>
        <w:pStyle w:val="Ttulo2"/>
      </w:pPr>
      <w:r>
        <w:t>2. El problema de la adicionalidad: evidencia empírica del fallo sistémico</w:t>
      </w:r>
    </w:p>
    <w:p>
      <w:pPr/>
      <w:r>
        <w:t>La adicionalidad es el principio fundamental que determina si un crédito de carbono tiene valor climático real: un crédito es adicional si y solo si la reducción de emisiones o el secuestro de carbono no habría ocurrido sin el incentivo económico proporcionado por la venta del crédito. Un crédito no adicional representa una reducción que habría ocurrido de todos modos —por razones económicas, regulatorias o tecnológicas independientes del proyecto de carbono—, y su venta a un comprador que lo usa para compensar sus propias emisiones produce un aumento neto de las emisiones globales.</w:t>
      </w:r>
    </w:p>
    <w:p>
      <w:pPr/>
      <w:r>
        <w:t>La evidencia empírica sobre la adicionalidad de los créditos en los principales programas de carbono es alarmante. El análisis cuasi-experimental más riguroso sobre el Mecanismo de Desarrollo Limpio (CDM) del Protocolo de Kioto —el programa de créditos de carbono más grande del mundo en su momento— encontró que al menos el 52% de los créditos aprobados para más de 1.000 parques eólicos en India fueron asignados a proyectos que muy probablemente se habrían construido igualmente sin el incentivo del CDM (Calel et al., 2025). La consecuencia lógica es que esos créditos, al ser vendidos a empresas europeas que los usaron para compensar sus propias emisiones, produjeron emisiones netas globales sustancialmente mayores que las que habrían ocurrido sin el programa.</w:t>
      </w:r>
    </w:p>
    <w:p>
      <w:pPr/>
      <w:r>
        <w:t>Para los proyectos forestales REDD+ —la categoría más grande del mercado voluntario de carbono—, el panorama es igualmente perturbador. Un meta-análisis que aplicó métodos de inferencia causal (control sintético) a 12 proyectos voluntarios REDD+ en la Amazonia brasileña encontró que las líneas base de acreditación —es decir, las tasas de deforestación hipotéticas que se habrían producido sin el proyecto— sobreestimaron significativamente la deforestación real en todos los proyectos que utilizaron el método de tendencia histórica estándar de Verra (West et al., 2020). En algunos proyectos, la línea base acreditada era múltiples veces mayor que la presión real de deforestación, lo que implica que los créditos emitidos no representaban reducciones reales sino la diferencia entre una hipótesis de destrucción inflada y una realidad de conservación que habría ocurrido de todos modos. Este fallo metodológico no es un problema de proyectos individuales mal diseñados: es un fallo del método estándar aprobado por Verra VCS, el registro más grande del mercado voluntario de carbono.</w:t>
      </w:r>
    </w:p>
    <w:p>
      <w:pPr/>
      <w:r>
        <w:t xml:space="preserve">El análisis más sintético de la situación, publicado en </w:t>
      </w:r>
      <w:r>
        <w:rPr>
          <w:i/>
        </w:rPr>
        <w:t>Science</w:t>
      </w:r>
      <w:r>
        <w:t xml:space="preserve"> en 2023 por un equipo de investigadores que aplicó métodos de inferencia causal a la base de datos global de proyectos REDD+, encontró que solo el 6,1% de los créditos REDD+ son verificablemente adicionales; las líneas base reportadas son en promedio un 46% mayores que los valores reales, y más de 60 millones de créditos han sido emitidos sin que haya habido una reducción significativa de la deforestación en las áreas del proyecto (West et al., 2023). Estos datos constituyen el estado de situación más documentado sobre la integridad del mayor segmento del mercado voluntario de carbono.</w:t>
      </w:r>
    </w:p>
    <w:p>
      <w:pPr>
        <w:pStyle w:val="Ttulo2"/>
      </w:pPr>
      <w:r>
        <w:t>3. La inconsistencia metodológica dentro de los registros: la varianza de 14 veces</w:t>
      </w:r>
    </w:p>
    <w:p>
      <w:pPr/>
      <w:r>
        <w:t>Una causa adicional del fallo de integridad que es particularmente relevante porque opera dentro de un mismo registro —no como diferencia entre registros diferentes— es la inconsistencia entre las metodologías aprobadas disponibles para el cálculo de líneas base. Un análisis que comparó cuatro metodologías VCS aprobadas aplicadas a múltiples proyectos REDD+ encontró que el valor de la línea base más alta calculado para cualquier proyecto fue más de 14 veces mayor que el valor más bajo derivado de los mismos datos bajo una metodología aprobada diferente del mismo registro (West et al., 2024). Esta varianza de factor 14 significa que un desarrollador de proyecto puede seleccionar, dentro del menú de metodologías aprobadas por el registro, la que produce el mayor número de créditos, sin que esta elección esté guiada por criterios técnicos de mayor precisión sino por incentivos financieros de maximización de créditos. El resultado es una selección adversa de metodologías que sistemáticamente sobreestima los beneficios climáticos.</w:t>
      </w:r>
    </w:p>
    <w:p>
      <w:pPr/>
      <w:r>
        <w:t>La comparación entre los protocolos de verificación de la CMNUCC y los del mercado voluntario (Verra VCS y Gold Standard) para proyectos REDD+ en la Amazonia reveló que el cálculo de líneas base es la mayor fuente de divergencia entre los dos sistemas: las metodologías UNFCCC y los protocolos del mercado voluntario producen valores sustancialmente diferentes para los mismos proyectos (Li et al., 2025). Adicionalmente, la contabilización del leakage —las emisiones que se desplazan geográficamente fuera de los límites del proyecto como consecuencia de la protección forestal dentro del mismo— y los pools de carbono incluidos en el cálculo son fuentes adicionales de divergencia con implicaciones directas sobre la cantidad de créditos emitidos.</w:t>
      </w:r>
    </w:p>
    <w:p>
      <w:pPr>
        <w:pStyle w:val="Ttulo2"/>
      </w:pPr>
      <w:r>
        <w:t>4. El fallo de la verificación de tercera parte</w:t>
      </w:r>
    </w:p>
    <w:p>
      <w:pPr/>
      <w:r>
        <w:t xml:space="preserve">La verificación independiente de tercera parte es la institución central del sistema de créditos de carbono: los registros confían en que auditores acreditados verificarán de forma rigurosa e independiente que los proyectos cumplen con las metodologías aprobadas y que los créditos emitidos tienen sustento real. Sin embargo, la acumulación de evidencia empírica ha revelado que este mecanismo de verificación tiene un defecto estructural que compromete su efectividad. Un análisis sistemático de la evidencia disponible, publicado en </w:t>
      </w:r>
      <w:r>
        <w:rPr>
          <w:i/>
        </w:rPr>
        <w:t>Science</w:t>
      </w:r>
      <w:r>
        <w:t xml:space="preserve"> en 2025, documenta que los auditores de tercera parte han validado repetidamente proyectos que posteriormente se encontraron con créditos significativamente sobrerreclamados (Coglianese &amp; Giles, 2025). El estudio identifica el conflicto de interés estructural del modelo como causa fundamental: los auditores son pagados por los promotores del proyecto que están siendo auditados, lo que crea incentivos para validar proyectos que el promotor ha diseñado para maximizar la emisión de créditos, aun cuando los criterios metodológicos sean cuestionables. El patrón resultante es una verificación de tipo </w:t>
      </w:r>
      <w:r>
        <w:rPr>
          <w:i/>
        </w:rPr>
        <w:t>check-the-box</w:t>
      </w:r>
      <w:r>
        <w:t xml:space="preserve"> —que comprueba que los documentos son consistentes internamente y que se han seguido los pasos del proceso— pero que no valida de manera independiente si el impacto climático real del proyecto corresponde a los créditos emitidos.</w:t>
      </w:r>
    </w:p>
    <w:p>
      <w:pPr/>
      <w:r>
        <w:t>Este fallo de la verificación es especialmente grave para los proyectos de biochar de pequeña escala en países en desarrollo, donde la capacidad de negociación con los verificadores es limitada y donde el riesgo de aceptar verificaciones superficiales es mayor. El extensionista que trabaja en el diseño de proyectos de biochar certificables debe conocer este problema estructural para poder seleccionar verificadores con mayor rigor técnico y para estructurar los proyectos con documentación tan sólida que la verificación no pueda ser cuestionada a posteriori.</w:t>
      </w:r>
    </w:p>
    <w:p>
      <w:pPr>
        <w:pStyle w:val="Ttulo2"/>
      </w:pPr>
      <w:r>
        <w:t>5. Buffer pools y permanencia: el modelo actuarial bajo estrés</w:t>
      </w:r>
    </w:p>
    <w:p>
      <w:pPr/>
      <w:r>
        <w:t>Los registros de créditos de carbono gestionan el riesgo de reversión —la posibilidad de que el carbono almacenado sea reemitido a la atmósfera por incendios, enfermedades, cambios de manejo o eventos climáticos— mediante la retención de un porcentaje de los créditos emitidos en un fondo de reserva denominado buffer pool. Cuando ocurre una reversión, el registro cancela créditos del buffer pool para compensar la pérdida de carbono, de modo que los compradores de créditos no sufren pérdida neta. Este mecanismo parece robusto en teoría, pero la evidencia de campo ha revelado que los supuestos actuariales sobre los que se calibra el tamaño del buffer pool son sistemáticamente optimistas.</w:t>
      </w:r>
    </w:p>
    <w:p>
      <w:pPr/>
      <w:r>
        <w:t>El análisis más documentado de este problema es el realizado para el buffer pool del programa forestal de California: en los primeros diez años de operación del programa, los incendios forestales agotaron al menos el 95% de las contribuciones al buffer pool que estaban destinadas a cubrir el riesgo de incendio durante toda la vida del programa de 100 años (Badgley et al., 2022). El modelado de riesgo subyacente al diseño del buffer pool fue estructuralmente inexacto porque subestimó dramáticamente la probabilidad y la magnitud de los incendios forestales bajo el cambio climático. Una evaluación adicional encontró que la enfermedad de la encina californiana podría comprometer completamente las reservas del buffer pool por riesgo de enfermedad e insectos, convirtiendo el programa en un sistema sin reservas reales para la permanencia del carbono.</w:t>
      </w:r>
    </w:p>
    <w:p>
      <w:pPr/>
      <w:r>
        <w:t>Para los proyectos de biochar, el riesgo de reversión es estructuralmente mucho menor que para los proyectos forestales, porque el carbono del biochar está físicamente incorporado en la matriz del suelo en formas recalcitrantes con tiempos de residencia de siglos, y no está sujeto a los riesgos de incendio o tala que afectan al carbono de la biomasa forestal. Esta mayor permanencia intrínseca del C del biochar es una ventaja competitiva del biochar frente al REDD+ en términos de integridad del sistema de compensación, y es precisamente la propiedad que los estándares EBC-C-Sink y Puro.earth subrayan como diferencial de calidad frente a otras categorías de créditos.</w:t>
      </w:r>
    </w:p>
    <w:p>
      <w:pPr>
        <w:pStyle w:val="Ttulo2"/>
      </w:pPr>
      <w:r>
        <w:t>6. El doble conteo bajo el Artículo 6 del Acuerdo de París</w:t>
      </w:r>
    </w:p>
    <w:p>
      <w:pPr/>
      <w:r>
        <w:t>El Acuerdo de París de 2015 introdujo una arquitectura de compromiso climático fundamentalmente diferente al Protocolo de Kioto: en el marco del Acuerdo de París, todos los países tienen Contribuciones Determinadas Nacionalmente (NDC) que incluyen compromisos cuantificados de reducción de emisiones. Esta universalización de los compromisos climáticos crea un riesgo de doble contabilización que el mercado voluntario de carbono no ha resuelto satisfactoriamente: si un país anfitrión cuenta las reducciones de emisiones de un proyecto de biochar en su territorio como parte del cumplimiento de su propia NDC, y simultáneamente una empresa de otro país usa los créditos de ese mismo proyecto para compensar sus propias emisiones, la misma reducción de emisiones se está contando dos veces —una vez en el NDC del país anfitrión y otra vez en la contabilidad de emisiones del comprador corporativo.</w:t>
      </w:r>
    </w:p>
    <w:p>
      <w:pPr/>
      <w:r>
        <w:t>El mecanismo diseñado por el Artículo 6 del Acuerdo de París para prevenir este doble conteo es el denominado ajuste correspondiente: cuando un crédito de carbono generado en un país es comprado por un actor de otro país para compensar sus emisiones, el país anfitrión debe añadir esa cantidad de CO₂ a su contabilidad nacional de emisiones, lo que reduce su progreso aparente hacia el cumplimiento de su NDC. Sin este ajuste correspondiente, el mismo beneficio climático se está reclamando dos veces. Un análisis político-jurídico riguroso encontró que el mercado voluntario de carbono no ha encontrado forma creíble de alinearse con esta arquitectura del Acuerdo de París, y que una gran cantidad de créditos en circulación no cumplen los requisitos de ajuste correspondiente, generando un riesgo de doble conteo sistémico (Kreibich &amp; Hermwille, 2021).</w:t>
      </w:r>
    </w:p>
    <w:p>
      <w:pPr>
        <w:pStyle w:val="Ttulo2"/>
      </w:pPr>
      <w:r>
        <w:t>7. Blockchain como solución de trazabilidad: potencial y limitaciones actuales</w:t>
      </w:r>
    </w:p>
    <w:p>
      <w:pPr/>
      <w:r>
        <w:t>Ante los fallos de integridad documentados en las secciones anteriores —adicionalidad cuestionable, inconsistencia metodológica, verificación deficiente, buffer pools subcapitalizados y doble conteo bajo el Artículo 6—, la tecnología blockchain ha emergido como una propuesta de solución técnica para la dimensión de trazabilidad y prevención de doble emisión. Los registros distribuidos inmutables que caracterizan a las cadenas de bloques pueden proporcionar un registro único y resistente a la manipulación de la originación, transferencia, compensación y cancelación de los créditos de carbono, eliminando la posibilidad técnica de que el mismo crédito sea emitido dos veces o que su historial de transacciones sea alterado retroactivamente (Parhamfar et al., 2024).</w:t>
      </w:r>
    </w:p>
    <w:p>
      <w:pPr/>
      <w:r>
        <w:t>Una revisión sistemática de la literatura sobre blockchain y mercados de carbono publicada entre 2022 y 2024 identificó que las tres propiedades más citadas en las aplicaciones de mercado de carbono son la inmutabilidad, la transparencia y la trazabilidad; los contratos inteligentes pueden automatizar la verificación de cumplimiento de reglas del protocolo reduciendo fallos de integridad por error humano o por manipulación deliberada; y la automatización por contratos inteligentes puede eliminar las brechas de reconciliación manual que existen en los registros centralizados actuales (Berau et al., 2025). Sin embargo, la misma revisión identifica la brecha crítica del estado actual: la mayoría de las implementaciones blockchain de mercados de carbono son pruebas de concepto sin integración regulatoria plena con los registros existentes como Verra, Gold Standard y Puro.earth. La tecnología está disponible y es técnicamente sólida, pero su adopción a escala por los registros establecidos requiere cambios institucionales y regulatorios que están en proceso pero no completados.</w:t>
      </w:r>
    </w:p>
    <w:p>
      <w:pPr/>
      <w:r>
        <w:t>El análisis de la revisión sistemática anterior (Parhamfar et al., 2024) precisa que el blockchain resuelve el problema de trazabilidad y doble emisión del crédito —es decir, garantiza que cada crédito se emite una sola vez y que su historial de transacciones es transparente— pero no resuelve el problema de la adicionalidad de la reducción de emisiones subyacente. En otras palabras: un sistema blockchain puede garantizar con certeza que el crédito #X001 fue emitido por el proyecto Y el día Z y transferido al comprador W, pero no puede garantizar que la reducción de emisiones que respalda a ese crédito es real. La integridad del dato en el nivel más profundo —la verificación de que la reducción de emisiones existe físicamente en el suelo o en la atmósfera— sigue requiriendo la combinación de monitoreo de campo riguroso (dMRV, Módulo 6.1), protocolos metodológicos conservadores y verificación independiente creíble.</w:t>
      </w:r>
    </w:p>
    <w:p>
      <w:pPr>
        <w:pStyle w:val="Ttulo2"/>
      </w:pPr>
      <w:r>
        <w:t>8. Implicaciones para el biochar: ventajas estructurales de integridad</w:t>
      </w:r>
    </w:p>
    <w:p>
      <w:pPr/>
      <w:r>
        <w:t>El panorama de fallos de integridad documentado en los mercados voluntarios de carbono —con especial énfasis en los proyectos REDD+ forestales— no debe interpretarse como una condena generalizable a todos los mecanismos de créditos de carbono. El biochar tiene ventajas estructurales de integridad que lo diferencian favorablemente de las categorías de créditos más cuestionadas.</w:t>
      </w:r>
    </w:p>
    <w:p>
      <w:pPr/>
      <w:r>
        <w:t>La primera ventaja es la permanencia físicamente verificable: el carbono del biochar está incorporado en una matriz sólida con propiedades espectrales y cristalográficas distinguibles del C orgánico nativo, y su presencia en el suelo puede confirmarse mediante análisis de laboratorio (CHN elemental, espectroscopía Vis-NIR, análisis de C pirogénico) que no están sujetos al mismo nivel de incertidumbre que los modelos contrafactuales de deforestación evitada. La adicionalidad del biochar es más fácilmente demostrable que la del REDD+: si el análisis de suelo confirma la presencia de carbono pirogénico en las parcelas del proyecto y los registros documentan la producción y aplicación del biochar, la reducción de emisiones es física y verificable, no hipotética.</w:t>
      </w:r>
    </w:p>
    <w:p>
      <w:pPr/>
      <w:r>
        <w:t>La segunda ventaja es la menor exposición al riesgo de reversión: a diferencia del carbono forestal que puede ser reemitido rápidamente por incendios o tala, el C del biochar en el suelo es recalcitrante con tiempos de residencia de siglos, lo que hace que el riesgo actuarial de reversión sea fundamentalmente menor y que los buffer pools necesarios para gestionar ese riesgo sean más pequeños y más conservadores.</w:t>
      </w:r>
    </w:p>
    <w:p>
      <w:pPr/>
      <w:r>
        <w:t>La tercera ventaja es la cadena de custodia verificable: el biochar es un material físico que puede pesarse, caracterizarse químicamente y aplicarse en cantidades documentadas. Esta materialidad del insumo —a diferencia de las reducciones de emisiones forestales que son entidades abstractas inferidas por modelos— hace que la auditoría de la cadena de custodia desde la producción hasta la aplicación al suelo sea más directa y menos dependiente de supuestos modelísticos.</w:t>
      </w:r>
    </w:p>
    <w:p>
      <w:pPr>
        <w:pStyle w:val="Ttulo2"/>
      </w:pPr>
      <w:r>
        <w:t>9. Implicaciones prácticas para el extensionista</w:t>
      </w:r>
    </w:p>
    <w:p>
      <w:pPr/>
      <w:r>
        <w:t>El conjunto de la evidencia sobre integridad del dato en los mercados de carbono permite al extensionista adoptar una posición informada y crítica que maximiza las oportunidades del biochar sin incurrir en los riesgos que han erosionado la credibilidad de otras categorías de créditos. La primera implicación práctica es la selección del registro de certificación: para proyectos de biochar, los estándares EBC-C-Sink y Puro.earth ofrecen protocolos metodológicos específicamente diseñados para la permanencia del C del biochar, más adecuados que los estándares forestales genéricos y con menor riesgo de sobreestimación sistémica (Yao &amp; Zhang, 2025, de la sesión S6.1).</w:t>
      </w:r>
    </w:p>
    <w:p>
      <w:pPr/>
      <w:r>
        <w:t>La segunda implicación práctica es la documentación exhaustiva de la cadena de producción y aplicación del biochar: los registros de feedstock, temperatura de pirólisis, rendimiento de biochar, análisis de caracterización (H/C, PAH, metales) y dosis de aplicación al suelo son la evidencia física que distingue a los proyectos de biochar bien documentados de aquellos que dependen exclusivamente de modelos indirectos. Esta documentación es también la que permite al proyecto resistir la verificación de tercera parte de mayor rigor, reduciendo la exposición al fallo de verificación identificado por Coglianese &amp; Giles (2025).</w:t>
      </w:r>
    </w:p>
    <w:p>
      <w:pPr/>
      <w:r>
        <w:t>La tercera implicación práctica es la comprensión del mecanismo de ajuste correspondiente del Artículo 6 del Acuerdo de París: para que los créditos de biochar colombianos puedan ser vendidos a compradores internacionales sin riesgo de doble conteo bajo el marco del PA, Colombia debe acordar con el comprador si el crédito requiere ajuste correspondiente en la NDC nacional. El extensionista debe estar informado sobre el estado actual de los acuerdos de ajuste correspondiente que Colombia haya establecido con sus socios comerciales en el marco del Artículo 6, para poder asesorar correctamente a los productores sobre la trazabilidad internacional de sus créditos.</w:t>
      </w:r>
    </w:p>
    <w:p>
      <w:pPr>
        <w:pStyle w:val="Ttulo2"/>
      </w:pPr>
      <w:r>
        <w:t>10. Conclusión</w:t>
      </w:r>
    </w:p>
    <w:p>
      <w:pPr/>
      <w:r>
        <w:t>El mercado voluntario de carbono enfrenta una crisis de integridad documentada empíricamente que ha afectado especialmente a los proyectos forestales REDD+: el 52% de los créditos CDM evaluados no son adicionales, el 6,1% de los créditos REDD+ son verificablemente adicionales, la varianza de líneas base dentro de un mismo registro puede ser de factor 14, y los buffer pools de permanencia están severamente subcapitalizados para el horizonte de riesgo climático actual. Estos hallazgos constituyen una llamada urgente a la reforma metodológica de los registros, a la reconstrucción del modelo de verificación de tercera parte, y a la adopción de tecnologías blockchain que proporcionen trazabilidad inmutable de los créditos. En este contexto, el biochar tiene ventajas estructurales de integridad —permanencia físicamente verificable, adicionalidad demostrable, cadena de custodia material— que lo posicionan como una categoría de créditos de mayor credibilidad que las más afectadas por los fallos documentados. El extensionista que comprende este panorama puede diseñar proyectos de biochar con los estándares de documentación y verificación que maximizan la credibilidad de los créditos y, por tanto, su valor en los mercados climáticos internacionales.</w:t>
      </w:r>
    </w:p>
    <w:p>
      <w:pPr>
        <w:pStyle w:val="Ttulo2"/>
      </w:pPr>
      <w:r>
        <w:t>Referencias</w:t>
      </w:r>
    </w:p>
    <w:p>
      <w:pPr/>
      <w:r>
        <w:rPr>
          <w:sz w:val="20"/>
        </w:rPr>
        <w:t xml:space="preserve">Badgley, G., Chay, F., Chegwidden, O.S., Hamman, J.J., Freeman, J., &amp; Cullenward, D. (2022). California's forest carbon offsets buffer pool is severely undercapitalized. </w:t>
      </w:r>
      <w:r>
        <w:rPr>
          <w:i/>
          <w:sz w:val="20"/>
        </w:rPr>
        <w:t>Frontiers in Forests and Global Change</w:t>
      </w:r>
      <w:r>
        <w:rPr>
          <w:sz w:val="20"/>
        </w:rPr>
        <w:t>, 5, 930426. https://doi.org/10.3389/ffgc.2022.930426</w:t>
      </w:r>
    </w:p>
    <w:p>
      <w:pPr/>
      <w:r>
        <w:rPr>
          <w:sz w:val="20"/>
        </w:rPr>
        <w:t xml:space="preserve">Berau, S., et al. (2025). Blockchain for the carbon market: a literature review. </w:t>
      </w:r>
      <w:r>
        <w:rPr>
          <w:i/>
          <w:sz w:val="20"/>
        </w:rPr>
        <w:t>Discover Environment</w:t>
      </w:r>
      <w:r>
        <w:rPr>
          <w:sz w:val="20"/>
        </w:rPr>
        <w:t>, 3, 68. https://doi.org/10.1007/s44274-025-00260-4</w:t>
      </w:r>
    </w:p>
    <w:p>
      <w:pPr/>
      <w:r>
        <w:rPr>
          <w:sz w:val="20"/>
        </w:rPr>
        <w:t xml:space="preserve">Calel, R., Colmer, J., Dechezlepretre, A., &amp; Glachant, M. (2025). Do carbon offsets offset carbon? </w:t>
      </w:r>
      <w:r>
        <w:rPr>
          <w:i/>
          <w:sz w:val="20"/>
        </w:rPr>
        <w:t>American Economic Journal: Applied Economics</w:t>
      </w:r>
      <w:r>
        <w:rPr>
          <w:sz w:val="20"/>
        </w:rPr>
        <w:t>, 17(1), 1–40. https://doi.org/10.1257/app.20230052</w:t>
      </w:r>
    </w:p>
    <w:p>
      <w:pPr/>
      <w:r>
        <w:rPr>
          <w:sz w:val="20"/>
        </w:rPr>
        <w:t xml:space="preserve">Coglianese, C., &amp; Giles, C. (2025). Auditors can't save carbon offsets. </w:t>
      </w:r>
      <w:r>
        <w:rPr>
          <w:i/>
          <w:sz w:val="20"/>
        </w:rPr>
        <w:t>Science</w:t>
      </w:r>
      <w:r>
        <w:rPr>
          <w:sz w:val="20"/>
        </w:rPr>
        <w:t>, 389, 107. https://doi.org/10.1126/science.ady4864</w:t>
      </w:r>
    </w:p>
    <w:p>
      <w:pPr/>
      <w:r>
        <w:rPr>
          <w:sz w:val="20"/>
        </w:rPr>
        <w:t xml:space="preserve">Kreibich, N., &amp; Hermwille, L. (2021). Caught in between: credibility and feasibility of the voluntary carbon market post-2020. </w:t>
      </w:r>
      <w:r>
        <w:rPr>
          <w:i/>
          <w:sz w:val="20"/>
        </w:rPr>
        <w:t>Climate Policy</w:t>
      </w:r>
      <w:r>
        <w:rPr>
          <w:sz w:val="20"/>
        </w:rPr>
        <w:t>, 21(7), 939–957. https://doi.org/10.1080/14693062.2021.1948384</w:t>
      </w:r>
    </w:p>
    <w:p>
      <w:pPr/>
      <w:r>
        <w:rPr>
          <w:sz w:val="20"/>
        </w:rPr>
        <w:t xml:space="preserve">Li, Y., et al. (2025). Integrity challenges in carbon markets: Comparing UNFCCC and voluntary REDD+ verification in the Amazon Biome. </w:t>
      </w:r>
      <w:r>
        <w:rPr>
          <w:i/>
          <w:sz w:val="20"/>
        </w:rPr>
        <w:t>Environmental Science &amp; Policy</w:t>
      </w:r>
      <w:r>
        <w:rPr>
          <w:sz w:val="20"/>
        </w:rPr>
        <w:t>, 169, 104082. https://doi.org/10.1016/j.envsci.2025.104082</w:t>
      </w:r>
    </w:p>
    <w:p>
      <w:pPr/>
      <w:r>
        <w:rPr>
          <w:sz w:val="20"/>
        </w:rPr>
        <w:t xml:space="preserve">Parhamfar, M., et al. (2024). Towards the net zero carbon future: A review of blockchain-enabled peer-to-peer carbon trading. </w:t>
      </w:r>
      <w:r>
        <w:rPr>
          <w:i/>
          <w:sz w:val="20"/>
        </w:rPr>
        <w:t>Energy Science &amp; Engineering</w:t>
      </w:r>
      <w:r>
        <w:rPr>
          <w:sz w:val="20"/>
        </w:rPr>
        <w:t>, 12, 4–22. https://doi.org/10.1002/ese3.1697</w:t>
      </w:r>
    </w:p>
    <w:p>
      <w:pPr/>
      <w:r>
        <w:rPr>
          <w:sz w:val="20"/>
        </w:rPr>
        <w:t xml:space="preserve">West, T.A.P., Borner, J., Sills, E.O., &amp; Kontoleon, A. (2020). Overstated carbon emission reductions from voluntary REDD+ projects in the Brazilian Amazon. </w:t>
      </w:r>
      <w:r>
        <w:rPr>
          <w:i/>
          <w:sz w:val="20"/>
        </w:rPr>
        <w:t>Proceedings of the National Academy of Sciences</w:t>
      </w:r>
      <w:r>
        <w:rPr>
          <w:sz w:val="20"/>
        </w:rPr>
        <w:t>, 117(39), 24188–24194. https://doi.org/10.1073/pnas.2004334117</w:t>
      </w:r>
    </w:p>
    <w:p>
      <w:pPr/>
      <w:r>
        <w:rPr>
          <w:sz w:val="20"/>
        </w:rPr>
        <w:t xml:space="preserve">West, T.A.P., Bomfim, B., &amp; Haya, B. (2024). Methodological issues with deforestation baselines compromise the integrity of carbon offsets from REDD+. </w:t>
      </w:r>
      <w:r>
        <w:rPr>
          <w:i/>
          <w:sz w:val="20"/>
        </w:rPr>
        <w:t>Global Environmental Change</w:t>
      </w:r>
      <w:r>
        <w:rPr>
          <w:sz w:val="20"/>
        </w:rPr>
        <w:t>, 87, 102863. https://doi.org/10.1016/j.gloenvcha.2024.102863</w:t>
      </w:r>
    </w:p>
    <w:p>
      <w:pPr/>
      <w:r>
        <w:rPr>
          <w:sz w:val="20"/>
        </w:rPr>
        <w:t xml:space="preserve">West, T.A.P., Wunder, S., Sills, E.O., Börner, J., Rifai, S.W., Neidermeier, A.N., Frey, G.P., &amp; Kontoleon, A. (2023). Action needed to make carbon offsets from forest conservation work for climate change mitigation. </w:t>
      </w:r>
      <w:r>
        <w:rPr>
          <w:i/>
          <w:sz w:val="20"/>
        </w:rPr>
        <w:t>Science</w:t>
      </w:r>
      <w:r>
        <w:rPr>
          <w:sz w:val="20"/>
        </w:rPr>
        <w:t>, 381(6660), 873–877. https://doi.org/10.1126/science.ade3535</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