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3E602E" w14:paraId="3066D31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B4AB4D" w14:textId="77777777" w:rsidR="003E602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DA7052"/>
                <w:sz w:val="16"/>
                <w:szCs w:val="16"/>
              </w:rPr>
              <w:t>BIOIMPACTO  ·  PLAN DE FORMACIÓN EXTENSIONISTAS</w:t>
            </w:r>
          </w:p>
          <w:p w14:paraId="741C9BAF" w14:textId="77777777" w:rsidR="003E602E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CDC4B4"/>
                <w:sz w:val="18"/>
                <w:szCs w:val="18"/>
              </w:rPr>
              <w:t xml:space="preserve">DOCUMENTO MAESTRO  </w:t>
            </w:r>
            <w:r>
              <w:rPr>
                <w:rFonts w:ascii="Arial" w:eastAsia="Arial" w:hAnsi="Arial" w:cs="Arial"/>
                <w:b/>
                <w:bCs/>
                <w:color w:val="BDE0D6"/>
                <w:sz w:val="18"/>
                <w:szCs w:val="18"/>
              </w:rPr>
              <w:t xml:space="preserve">  ESTÁNDAR DE ENTREGABLES</w:t>
            </w:r>
          </w:p>
          <w:p w14:paraId="088D8C60" w14:textId="77777777" w:rsidR="003E602E" w:rsidRDefault="00000000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4"/>
                <w:szCs w:val="44"/>
              </w:rPr>
              <w:t>Guía de Construcción de Materiales de Sesión</w:t>
            </w:r>
          </w:p>
          <w:p w14:paraId="394F05D5" w14:textId="77777777" w:rsidR="003E602E" w:rsidRDefault="00000000">
            <w:pPr>
              <w:spacing w:after="100"/>
            </w:pPr>
            <w:r>
              <w:rPr>
                <w:rFonts w:ascii="Arial" w:eastAsia="Arial" w:hAnsi="Arial" w:cs="Arial"/>
                <w:color w:val="BDE0D6"/>
                <w:sz w:val="22"/>
                <w:szCs w:val="22"/>
              </w:rPr>
              <w:t>Guía del Facilitador · Presentación Sincrónica · Guía de Lectura</w:t>
            </w:r>
          </w:p>
          <w:p w14:paraId="279F96BF" w14:textId="77777777" w:rsidR="003E602E" w:rsidRDefault="00000000">
            <w:r>
              <w:rPr>
                <w:rFonts w:ascii="Arial" w:eastAsia="Arial" w:hAnsi="Arial" w:cs="Arial"/>
                <w:color w:val="CDC4B4"/>
                <w:sz w:val="18"/>
                <w:szCs w:val="18"/>
              </w:rPr>
              <w:t xml:space="preserve">Referencia interna para producción de materiales  ·  </w:t>
            </w:r>
            <w:proofErr w:type="spellStart"/>
            <w:r>
              <w:rPr>
                <w:rFonts w:ascii="Arial" w:eastAsia="Arial" w:hAnsi="Arial" w:cs="Arial"/>
                <w:color w:val="CDC4B4"/>
                <w:sz w:val="18"/>
                <w:szCs w:val="18"/>
              </w:rPr>
              <w:t>Coffee</w:t>
            </w:r>
            <w:proofErr w:type="spellEnd"/>
            <w:r>
              <w:rPr>
                <w:rFonts w:ascii="Arial" w:eastAsia="Arial" w:hAnsi="Arial" w:cs="Arial"/>
                <w:color w:val="CDC4B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CDC4B4"/>
                <w:sz w:val="18"/>
                <w:szCs w:val="18"/>
              </w:rPr>
              <w:t>Biochar</w:t>
            </w:r>
            <w:proofErr w:type="spellEnd"/>
            <w:r>
              <w:rPr>
                <w:rFonts w:ascii="Arial" w:eastAsia="Arial" w:hAnsi="Arial" w:cs="Arial"/>
                <w:color w:val="CDC4B4"/>
                <w:sz w:val="18"/>
                <w:szCs w:val="18"/>
              </w:rPr>
              <w:t xml:space="preserve">  ·  2025</w:t>
            </w:r>
          </w:p>
        </w:tc>
      </w:tr>
    </w:tbl>
    <w:p w14:paraId="73BDBC13" w14:textId="77777777" w:rsidR="003E602E" w:rsidRDefault="003E602E">
      <w:pPr>
        <w:spacing w:after="80"/>
      </w:pPr>
    </w:p>
    <w:p w14:paraId="50E51C1D" w14:textId="77777777" w:rsidR="003E602E" w:rsidRDefault="003E602E">
      <w:pPr>
        <w:spacing w:after="80"/>
      </w:pPr>
    </w:p>
    <w:p w14:paraId="00745E14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6B7280"/>
          <w:sz w:val="20"/>
          <w:szCs w:val="20"/>
        </w:rPr>
        <w:t xml:space="preserve">Este documento define los estándares de construcción, los componentes obligatorios y las reglas de estilo para los tres entregables que se producen por cada sesión del Plan de Formación </w:t>
      </w:r>
      <w:proofErr w:type="spellStart"/>
      <w:r>
        <w:rPr>
          <w:rFonts w:ascii="Arial" w:eastAsia="Arial" w:hAnsi="Arial" w:cs="Arial"/>
          <w:color w:val="6B7280"/>
          <w:sz w:val="20"/>
          <w:szCs w:val="20"/>
        </w:rPr>
        <w:t>Coffee</w:t>
      </w:r>
      <w:proofErr w:type="spellEnd"/>
      <w:r>
        <w:rPr>
          <w:rFonts w:ascii="Arial" w:eastAsia="Arial" w:hAnsi="Arial" w:cs="Arial"/>
          <w:color w:val="6B728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6B7280"/>
          <w:sz w:val="20"/>
          <w:szCs w:val="20"/>
        </w:rPr>
        <w:t>Biochar</w:t>
      </w:r>
      <w:proofErr w:type="spellEnd"/>
      <w:r>
        <w:rPr>
          <w:rFonts w:ascii="Arial" w:eastAsia="Arial" w:hAnsi="Arial" w:cs="Arial"/>
          <w:color w:val="6B7280"/>
          <w:sz w:val="20"/>
          <w:szCs w:val="20"/>
        </w:rPr>
        <w:t>: la Guía del Facilitador (GF), la Presentación Sincrónica (PPTX), y la Guía de Lectura (GL). Es el documento de referencia antes de producir cualquier material nuevo.</w:t>
      </w:r>
    </w:p>
    <w:p w14:paraId="0B49DB11" w14:textId="77777777" w:rsidR="003E602E" w:rsidRDefault="003E602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3E602E" w14:paraId="72AAC5C8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A705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5DEB0" w14:textId="77777777" w:rsidR="003E602E" w:rsidRDefault="003E602E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1CDE29" w14:textId="77777777" w:rsidR="003E602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DA7052"/>
                <w:sz w:val="18"/>
                <w:szCs w:val="18"/>
              </w:rPr>
              <w:t>REGLA FUNDAMENTAL</w:t>
            </w:r>
          </w:p>
          <w:p w14:paraId="3483D9BF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Todo material nuevo debe poder ser producido usando exclusivamente este documento como referencia.</w:t>
            </w:r>
          </w:p>
          <w:p w14:paraId="4145466F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Si un componente no está definido aquí pero aparece en un material existente, este documento debe actualizarse antes de proceder.</w:t>
            </w:r>
          </w:p>
          <w:p w14:paraId="19ABE632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En caso de duda entre estilo visual y claridad pedagógica: siempre gana la claridad.</w:t>
            </w:r>
          </w:p>
        </w:tc>
      </w:tr>
    </w:tbl>
    <w:p w14:paraId="1C727DA6" w14:textId="77777777" w:rsidR="003E602E" w:rsidRDefault="003E602E">
      <w:pPr>
        <w:spacing w:after="80"/>
      </w:pPr>
    </w:p>
    <w:p w14:paraId="6F4B03AC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1. Estructura general del sistema de entregables</w:t>
      </w:r>
    </w:p>
    <w:p w14:paraId="2BD8CA6F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Cada sesión produce exactamente tres entregables independientes. No se producen documentos consolidados por módulo. Cada entregable es autocontenido — un facilitador o extensionista puede usar cualquiera de los tres sin necesidad de leer los otros dos.</w:t>
      </w:r>
    </w:p>
    <w:p w14:paraId="36DABBD9" w14:textId="77777777" w:rsidR="003E602E" w:rsidRDefault="003E602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2680"/>
        <w:gridCol w:w="2200"/>
      </w:tblGrid>
      <w:tr w:rsidR="003E602E" w14:paraId="06E2AD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3E2A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2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8BED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Destinatario</w:t>
            </w:r>
          </w:p>
        </w:tc>
        <w:tc>
          <w:tcPr>
            <w:tcW w:w="26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E58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Momento de uso</w:t>
            </w:r>
          </w:p>
        </w:tc>
        <w:tc>
          <w:tcPr>
            <w:tcW w:w="22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545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Extensión típica</w:t>
            </w:r>
          </w:p>
        </w:tc>
      </w:tr>
      <w:tr w:rsidR="003E602E" w14:paraId="39ED28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7E9D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Presentación Sincrónica (PPTX)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250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Extensionistas en sesión</w:t>
            </w:r>
          </w:p>
        </w:tc>
        <w:tc>
          <w:tcPr>
            <w:tcW w:w="2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5448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Durante la sesión — pantalla compartida</w:t>
            </w:r>
          </w:p>
        </w:tc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A1B7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7–10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slides</w:t>
            </w:r>
            <w:proofErr w:type="spellEnd"/>
          </w:p>
        </w:tc>
      </w:tr>
      <w:tr w:rsidR="003E602E" w14:paraId="3AE1C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2359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Guía del Facilitador (GF)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E9B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Facilitador únicamente — uso interno</w:t>
            </w:r>
          </w:p>
        </w:tc>
        <w:tc>
          <w:tcPr>
            <w:tcW w:w="2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104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Antes y durante la sesión — no compartir</w:t>
            </w:r>
          </w:p>
        </w:tc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9AB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8–15 páginas</w:t>
            </w:r>
          </w:p>
        </w:tc>
      </w:tr>
      <w:tr w:rsidR="003E602E" w14:paraId="77C116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582B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Guía de Lectura (GL)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2B9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Extensionistas</w:t>
            </w:r>
          </w:p>
        </w:tc>
        <w:tc>
          <w:tcPr>
            <w:tcW w:w="26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E0CB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Antes o después de la sesión sincrónica</w:t>
            </w:r>
          </w:p>
        </w:tc>
        <w:tc>
          <w:tcPr>
            <w:tcW w:w="2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C666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5–10 páginas</w:t>
            </w:r>
          </w:p>
        </w:tc>
      </w:tr>
    </w:tbl>
    <w:p w14:paraId="4589892A" w14:textId="77777777" w:rsidR="003E602E" w:rsidRDefault="003E602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3E602E" w14:paraId="267B2755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DE0D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FE78D" w14:textId="77777777" w:rsidR="003E602E" w:rsidRDefault="003E602E"/>
        </w:tc>
        <w:tc>
          <w:tcPr>
            <w:tcW w:w="998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2D727" w14:textId="77777777" w:rsidR="003E602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BDE0D6"/>
                <w:sz w:val="18"/>
                <w:szCs w:val="18"/>
              </w:rPr>
              <w:t>NOMENCLATURA DE ARCHIVOS</w:t>
            </w:r>
          </w:p>
          <w:p w14:paraId="7944BF38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Presentación:     S[módulo][sesión]_Presentacion_CoffeeBiochar.pptx   →  ej. S21_Presentacion_CoffeeBiochar.pptx</w:t>
            </w:r>
          </w:p>
          <w:p w14:paraId="5D68AF31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Guía Facilitador: S[módulo][sesión]_Guia_Facilitador_CoffeeBiochar.docx</w:t>
            </w:r>
          </w:p>
          <w:p w14:paraId="1415E191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Guía Lectura:     S[módulo][sesión]_Guia_Lectura_CoffeeBiochar.docx</w:t>
            </w:r>
          </w:p>
        </w:tc>
      </w:tr>
    </w:tbl>
    <w:p w14:paraId="5DA0AF6F" w14:textId="77777777" w:rsidR="003E602E" w:rsidRDefault="003E602E">
      <w:pPr>
        <w:spacing w:after="80"/>
      </w:pPr>
    </w:p>
    <w:p w14:paraId="78772111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2. Guía del Facilitador (GF)</w:t>
      </w:r>
    </w:p>
    <w:p w14:paraId="0D3C9106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lastRenderedPageBreak/>
        <w:t>La GF opera en dos registros simultáneos: el qué hacer (instrucciones operativas para el facilitador) y el qué decir (frases literales para leer o parafrasear). Ninguna sección de la GF debería ser solo informativa — cada sección le dice al facilitador exactamente cómo actuar.</w:t>
      </w:r>
    </w:p>
    <w:p w14:paraId="679452CB" w14:textId="77777777" w:rsidR="003E602E" w:rsidRDefault="003E602E">
      <w:pPr>
        <w:spacing w:after="80"/>
      </w:pPr>
    </w:p>
    <w:p w14:paraId="403917C1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2.1  Componentes obligatorios — en este orden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400"/>
        <w:gridCol w:w="2800"/>
        <w:gridCol w:w="4400"/>
      </w:tblGrid>
      <w:tr w:rsidR="003E602E" w14:paraId="3B2007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1111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9DBA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DFA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 en docx</w:t>
            </w:r>
          </w:p>
        </w:tc>
        <w:tc>
          <w:tcPr>
            <w:tcW w:w="44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B1562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 de uso</w:t>
            </w:r>
          </w:p>
        </w:tc>
      </w:tr>
      <w:tr w:rsidR="003E602E" w14:paraId="09C302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3EBB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1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5F5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Banner de portada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F9B9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bannerPortada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10B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Primera línea del documento. Módulo, sesión, título, subtítulo, nota de uso interno.</w:t>
            </w:r>
          </w:p>
        </w:tc>
      </w:tr>
      <w:tr w:rsidR="003E602E" w14:paraId="5DE3776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81E7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2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447F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Ficha técnica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A436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fichaTecnica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B90EB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Inmediatamente después del banner. Duración, modalidad,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prerequisito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, herramientas, evaluación.</w:t>
            </w:r>
          </w:p>
        </w:tc>
      </w:tr>
      <w:tr w:rsidR="003E602E" w14:paraId="49D2E6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001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3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0DC9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Nota de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prerequisito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/ contexto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7791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cajaNota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C.dark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BB36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Si la sesión depende de material previo. Incluir regla de tiempo ('nunca recortar el role-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play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').</w:t>
            </w:r>
          </w:p>
        </w:tc>
      </w:tr>
      <w:tr w:rsidR="003E602E" w14:paraId="501C3E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84F7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4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7EA9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Tabla de agenda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06B8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tablaAgenda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74E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Distribución completa de los 60 min. Tiempo HH:MM, nombre del bloque, duración en minutos.</w:t>
            </w:r>
          </w:p>
        </w:tc>
      </w:tr>
      <w:tr w:rsidR="003E602E" w14:paraId="6863057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BA6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5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12D3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Bloques de contenido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FE98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headerBloque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 + contenido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BF42B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Un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header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por bloque. Dentro: frases literales, tablas de datos, ejercicios en vivo, cajas de nota.</w:t>
            </w:r>
          </w:p>
        </w:tc>
      </w:tr>
      <w:tr w:rsidR="003E602E" w14:paraId="067323B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6D8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6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4A6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Role-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play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o dinámica principal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3484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escenarioRolePlay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9E8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Siempre presente. Datos reales del clúster. Instrucciones para el otro rol por chat privado.</w:t>
            </w:r>
          </w:p>
        </w:tc>
      </w:tr>
      <w:tr w:rsidR="003E602E" w14:paraId="238CBC0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F82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7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D37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Cierre y compromisos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D633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fraseLiteral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() +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cajaNota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251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Frase de cierre literal + caja con materiales pendientes o asignación de lectura.</w:t>
            </w:r>
          </w:p>
        </w:tc>
      </w:tr>
      <w:tr w:rsidR="003E602E" w14:paraId="0D8FDD6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B4AE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8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6A61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Apéndice de preguntas frecuentes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C5AE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tablaFAQ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982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Al menos 3 preguntas. Las respuestas modelan el lenguaje exacto del facilitador.</w:t>
            </w:r>
          </w:p>
        </w:tc>
      </w:tr>
      <w:tr w:rsidR="003E602E" w14:paraId="07AB1D4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D1008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9</w:t>
            </w:r>
          </w:p>
        </w:tc>
        <w:tc>
          <w:tcPr>
            <w:tcW w:w="2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E06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Pie de documento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36B9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pieDocumento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</w:t>
            </w:r>
          </w:p>
        </w:tc>
        <w:tc>
          <w:tcPr>
            <w:tcW w:w="44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267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Última línea. Identificación completa del documento.</w:t>
            </w:r>
          </w:p>
        </w:tc>
      </w:tr>
    </w:tbl>
    <w:p w14:paraId="4A8E98B6" w14:textId="77777777" w:rsidR="003E602E" w:rsidRDefault="003E602E">
      <w:pPr>
        <w:spacing w:after="80"/>
      </w:pPr>
    </w:p>
    <w:p w14:paraId="5B85643E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2.2  Reglas de voz narrativa en la GF</w:t>
      </w:r>
    </w:p>
    <w:p w14:paraId="27638E78" w14:textId="77777777" w:rsidR="003E602E" w:rsidRDefault="00000000">
      <w:pPr>
        <w:pStyle w:val="Prrafodelista"/>
        <w:numPr>
          <w:ilvl w:val="0"/>
          <w:numId w:val="2"/>
        </w:numPr>
      </w:pPr>
      <w:r>
        <w:t>Hablar directamente al facilitador en segunda persona singular: 'abre con esta frase', 'lee las respuestas', 'no analices'.</w:t>
      </w:r>
    </w:p>
    <w:p w14:paraId="315D534F" w14:textId="77777777" w:rsidR="003E602E" w:rsidRDefault="00000000">
      <w:pPr>
        <w:pStyle w:val="Prrafodelista"/>
        <w:numPr>
          <w:ilvl w:val="0"/>
          <w:numId w:val="2"/>
        </w:numPr>
      </w:pPr>
      <w:r>
        <w:t>Las instrucciones son directivas, no sugerencias: 'Nunca recortes el role-</w:t>
      </w:r>
      <w:proofErr w:type="spellStart"/>
      <w:r>
        <w:t>play</w:t>
      </w:r>
      <w:proofErr w:type="spellEnd"/>
      <w:r>
        <w:t>', no 'se recomienda no recortar el role-</w:t>
      </w:r>
      <w:proofErr w:type="spellStart"/>
      <w:r>
        <w:t>play</w:t>
      </w:r>
      <w:proofErr w:type="spellEnd"/>
      <w:r>
        <w:t>'.</w:t>
      </w:r>
    </w:p>
    <w:p w14:paraId="6451BCA3" w14:textId="77777777" w:rsidR="003E602E" w:rsidRDefault="00000000">
      <w:pPr>
        <w:pStyle w:val="Prrafodelista"/>
        <w:numPr>
          <w:ilvl w:val="0"/>
          <w:numId w:val="2"/>
        </w:numPr>
      </w:pPr>
      <w:r>
        <w:t>Cada sección tiene una razón implícita que se enuncia brevemente cuando no es obvia: 'Lee las respuestas. Las más frecuentes serán el registro (3) y el compromiso final (5). Conéctalas con el escenario del role-</w:t>
      </w:r>
      <w:proofErr w:type="spellStart"/>
      <w:r>
        <w:t>play</w:t>
      </w:r>
      <w:proofErr w:type="spellEnd"/>
      <w:r>
        <w:t>.'</w:t>
      </w:r>
    </w:p>
    <w:p w14:paraId="2EBEA93C" w14:textId="77777777" w:rsidR="003E602E" w:rsidRDefault="00000000">
      <w:pPr>
        <w:pStyle w:val="Prrafodelista"/>
        <w:numPr>
          <w:ilvl w:val="0"/>
          <w:numId w:val="2"/>
        </w:numPr>
      </w:pPr>
      <w:r>
        <w:t>Las frases literales (entre «») son scripts exactos. No editorializar ni parafrasear dentro de la caja — el facilitador decide si las lee textualmente o las adapta.</w:t>
      </w:r>
    </w:p>
    <w:p w14:paraId="636F2B7A" w14:textId="77777777" w:rsidR="003E602E" w:rsidRDefault="00000000">
      <w:pPr>
        <w:pStyle w:val="Prrafodelista"/>
        <w:numPr>
          <w:ilvl w:val="0"/>
          <w:numId w:val="2"/>
        </w:numPr>
      </w:pPr>
      <w:r>
        <w:t>Cuando hay contraste entre lo correcto y lo incorrecto, usar la tabla No Decir / Sí Decir. No describir el contraste en prosa.</w:t>
      </w:r>
    </w:p>
    <w:p w14:paraId="3AE3C881" w14:textId="77777777" w:rsidR="003E602E" w:rsidRDefault="003E602E">
      <w:pPr>
        <w:spacing w:after="80"/>
      </w:pPr>
    </w:p>
    <w:p w14:paraId="4F8FC6E4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2.3  Gestión del tiempo</w:t>
      </w:r>
    </w:p>
    <w:p w14:paraId="59CE0459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El tiempo no es burocrático — es un argumento de jerarquía pedagógica. La distribución de minutos comunica qué es más importante. Reglas:</w:t>
      </w:r>
    </w:p>
    <w:p w14:paraId="4F89BD45" w14:textId="77777777" w:rsidR="003E602E" w:rsidRDefault="00000000">
      <w:pPr>
        <w:pStyle w:val="Prrafodelista"/>
        <w:numPr>
          <w:ilvl w:val="0"/>
          <w:numId w:val="2"/>
        </w:numPr>
      </w:pPr>
      <w:r>
        <w:t>El role-</w:t>
      </w:r>
      <w:proofErr w:type="spellStart"/>
      <w:r>
        <w:t>play</w:t>
      </w:r>
      <w:proofErr w:type="spellEnd"/>
      <w:r>
        <w:t xml:space="preserve"> o dinámica principal nunca se recorta. Si el tiempo escasea, se recorta el bloque expositivo anterior.</w:t>
      </w:r>
    </w:p>
    <w:p w14:paraId="722EF254" w14:textId="77777777" w:rsidR="003E602E" w:rsidRDefault="00000000">
      <w:pPr>
        <w:pStyle w:val="Prrafodelista"/>
        <w:numPr>
          <w:ilvl w:val="0"/>
          <w:numId w:val="2"/>
        </w:numPr>
      </w:pPr>
      <w:r>
        <w:t xml:space="preserve">Cada bloque tiene su propio </w:t>
      </w:r>
      <w:proofErr w:type="spellStart"/>
      <w:r>
        <w:t>headerBloque</w:t>
      </w:r>
      <w:proofErr w:type="spellEnd"/>
      <w:r>
        <w:t>() con el tiempo de inicio y la duración.</w:t>
      </w:r>
    </w:p>
    <w:p w14:paraId="0E1380CC" w14:textId="77777777" w:rsidR="003E602E" w:rsidRDefault="00000000">
      <w:pPr>
        <w:pStyle w:val="Prrafodelista"/>
        <w:numPr>
          <w:ilvl w:val="0"/>
          <w:numId w:val="2"/>
        </w:numPr>
      </w:pPr>
      <w:r>
        <w:lastRenderedPageBreak/>
        <w:t>La agenda completa aparece al inicio como tabla — el facilitador puede ver la sesión completa de un vistazo.</w:t>
      </w:r>
    </w:p>
    <w:p w14:paraId="1D40C464" w14:textId="77777777" w:rsidR="003E602E" w:rsidRDefault="00000000">
      <w:pPr>
        <w:pStyle w:val="Prrafodelista"/>
        <w:numPr>
          <w:ilvl w:val="0"/>
          <w:numId w:val="2"/>
        </w:numPr>
      </w:pPr>
      <w:r>
        <w:t>Si un bloque tiene un ejercicio en vivo, el tiempo del ejercicio está incluido en el tiempo del bloque, no es adicional.</w:t>
      </w:r>
    </w:p>
    <w:p w14:paraId="58BADF3B" w14:textId="77777777" w:rsidR="003E602E" w:rsidRDefault="003E602E">
      <w:pPr>
        <w:spacing w:after="80"/>
      </w:pPr>
    </w:p>
    <w:p w14:paraId="1412CF66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2.4  El role-</w:t>
      </w:r>
      <w:proofErr w:type="spellStart"/>
      <w:r>
        <w:rPr>
          <w:rFonts w:ascii="Arial" w:eastAsia="Arial" w:hAnsi="Arial" w:cs="Arial"/>
          <w:b/>
          <w:bCs/>
          <w:color w:val="DA7052"/>
          <w:sz w:val="22"/>
          <w:szCs w:val="22"/>
        </w:rPr>
        <w:t>play</w:t>
      </w:r>
      <w:proofErr w:type="spellEnd"/>
      <w:r>
        <w:rPr>
          <w:rFonts w:ascii="Arial" w:eastAsia="Arial" w:hAnsi="Arial" w:cs="Arial"/>
          <w:b/>
          <w:bCs/>
          <w:color w:val="DA7052"/>
          <w:sz w:val="22"/>
          <w:szCs w:val="22"/>
        </w:rPr>
        <w:t xml:space="preserve"> — construcción del escenario</w:t>
      </w:r>
    </w:p>
    <w:p w14:paraId="30AB4449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El escenario de role-</w:t>
      </w:r>
      <w:proofErr w:type="spellStart"/>
      <w:r>
        <w:rPr>
          <w:rFonts w:ascii="Arial" w:eastAsia="Arial" w:hAnsi="Arial" w:cs="Arial"/>
          <w:color w:val="3E4D58"/>
          <w:sz w:val="20"/>
          <w:szCs w:val="20"/>
        </w:rPr>
        <w:t>play</w:t>
      </w:r>
      <w:proofErr w:type="spellEnd"/>
      <w:r>
        <w:rPr>
          <w:rFonts w:ascii="Arial" w:eastAsia="Arial" w:hAnsi="Arial" w:cs="Arial"/>
          <w:color w:val="3E4D58"/>
          <w:sz w:val="20"/>
          <w:szCs w:val="20"/>
        </w:rPr>
        <w:t xml:space="preserve"> es el componente pedagógico de mayor valor de la GF. Debe construirse con los siguientes elementos:</w:t>
      </w:r>
    </w:p>
    <w:p w14:paraId="35678241" w14:textId="77777777" w:rsidR="003E602E" w:rsidRDefault="00000000">
      <w:pPr>
        <w:pStyle w:val="Prrafodelista"/>
        <w:numPr>
          <w:ilvl w:val="0"/>
          <w:numId w:val="3"/>
        </w:numPr>
      </w:pPr>
      <w:r>
        <w:t xml:space="preserve">Datos reales y específicos del clúster: nombres de productores (Doña Marleny, Don Hernando), litros acumulados, días del </w:t>
      </w:r>
      <w:proofErr w:type="spellStart"/>
      <w:r>
        <w:t>batch</w:t>
      </w:r>
      <w:proofErr w:type="spellEnd"/>
      <w:r>
        <w:t>, ritmo necesario. Nunca genérico.</w:t>
      </w:r>
    </w:p>
    <w:p w14:paraId="5EFCDA5E" w14:textId="77777777" w:rsidR="003E602E" w:rsidRDefault="00000000">
      <w:pPr>
        <w:pStyle w:val="Prrafodelista"/>
        <w:numPr>
          <w:ilvl w:val="0"/>
          <w:numId w:val="3"/>
        </w:numPr>
      </w:pPr>
      <w:r>
        <w:t>Tensiones múltiples simultáneas: al menos dos situaciones que el extensionista debe manejar en paralelo (atraso + registro pendiente + duda del vecino). Cada tensión activa una habilidad diferente.</w:t>
      </w:r>
    </w:p>
    <w:p w14:paraId="2552316D" w14:textId="77777777" w:rsidR="003E602E" w:rsidRDefault="00000000">
      <w:pPr>
        <w:pStyle w:val="Prrafodelista"/>
        <w:numPr>
          <w:ilvl w:val="0"/>
          <w:numId w:val="3"/>
        </w:numPr>
      </w:pPr>
      <w:r>
        <w:t xml:space="preserve">Instrucciones para el otro rol con lógica de apertura condicional: el productor responde según cómo actúe el extensionista — no hay un </w:t>
      </w:r>
      <w:proofErr w:type="spellStart"/>
      <w:r>
        <w:t>guión</w:t>
      </w:r>
      <w:proofErr w:type="spellEnd"/>
      <w:r>
        <w:t xml:space="preserve"> fijo, hay reglas de reacción.</w:t>
      </w:r>
    </w:p>
    <w:p w14:paraId="5D3EDDF0" w14:textId="77777777" w:rsidR="003E602E" w:rsidRDefault="00000000">
      <w:pPr>
        <w:pStyle w:val="Prrafodelista"/>
        <w:numPr>
          <w:ilvl w:val="0"/>
          <w:numId w:val="3"/>
        </w:numPr>
      </w:pPr>
      <w:r>
        <w:t>Lista de lo que el extensionista debe lograr: numerada, concreta, verificable durante el ejercicio.</w:t>
      </w:r>
    </w:p>
    <w:p w14:paraId="4FD53AFF" w14:textId="77777777" w:rsidR="003E602E" w:rsidRDefault="003E602E">
      <w:pPr>
        <w:spacing w:after="80"/>
      </w:pPr>
    </w:p>
    <w:p w14:paraId="42451750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3. Presentación Sincrónica (PPTX)</w:t>
      </w:r>
    </w:p>
    <w:p w14:paraId="6F9C2742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 xml:space="preserve">3.1  Estructura de </w:t>
      </w:r>
      <w:proofErr w:type="spellStart"/>
      <w:r>
        <w:rPr>
          <w:rFonts w:ascii="Arial" w:eastAsia="Arial" w:hAnsi="Arial" w:cs="Arial"/>
          <w:b/>
          <w:bCs/>
          <w:color w:val="DA7052"/>
          <w:sz w:val="22"/>
          <w:szCs w:val="22"/>
        </w:rPr>
        <w:t>slides</w:t>
      </w:r>
      <w:proofErr w:type="spellEnd"/>
      <w:r>
        <w:rPr>
          <w:rFonts w:ascii="Arial" w:eastAsia="Arial" w:hAnsi="Arial" w:cs="Arial"/>
          <w:b/>
          <w:bCs/>
          <w:color w:val="DA7052"/>
          <w:sz w:val="22"/>
          <w:szCs w:val="22"/>
        </w:rPr>
        <w:t xml:space="preserve"> — orden obligatorio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500"/>
        <w:gridCol w:w="4660"/>
        <w:gridCol w:w="3200"/>
      </w:tblGrid>
      <w:tr w:rsidR="003E602E" w14:paraId="4EE4A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0EF4" w14:textId="77777777" w:rsidR="003E602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Slide</w:t>
            </w:r>
            <w:proofErr w:type="spellEnd"/>
          </w:p>
        </w:tc>
        <w:tc>
          <w:tcPr>
            <w:tcW w:w="15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89C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66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3052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Contenido mínimo</w:t>
            </w:r>
          </w:p>
        </w:tc>
        <w:tc>
          <w:tcPr>
            <w:tcW w:w="32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586E4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3E602E" w14:paraId="6ABEA8B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01D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A34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Portada</w:t>
            </w:r>
          </w:p>
        </w:tc>
        <w:tc>
          <w:tcPr>
            <w:tcW w:w="46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9769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Pills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Módulo/Sesión · Título · Semana · Duración · Perfil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6EF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Fondo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C.dark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. Título en Georgia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bold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blanco. Siempre.</w:t>
            </w:r>
          </w:p>
        </w:tc>
      </w:tr>
      <w:tr w:rsidR="003E602E" w14:paraId="6E238CA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23B0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DB0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Objetivo y contexto</w:t>
            </w:r>
          </w:p>
        </w:tc>
        <w:tc>
          <w:tcPr>
            <w:tcW w:w="46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3978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Por qué esta sesión existe + los 3 bloques de la sesión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8FD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Caja de objetivo con borde lateral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terra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sobre fondo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dark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.</w:t>
            </w:r>
          </w:p>
        </w:tc>
      </w:tr>
      <w:tr w:rsidR="003E602E" w14:paraId="30FD18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8F927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3–N-2</w:t>
            </w:r>
          </w:p>
        </w:tc>
        <w:tc>
          <w:tcPr>
            <w:tcW w:w="15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3670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contenido</w:t>
            </w:r>
          </w:p>
        </w:tc>
        <w:tc>
          <w:tcPr>
            <w:tcW w:w="46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6EC1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Un concepto central por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Header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sección. Datos/tablas/comparativas.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DCE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Máx. 1 tabla + 1 caja por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. No saturar.</w:t>
            </w:r>
          </w:p>
        </w:tc>
      </w:tr>
      <w:tr w:rsidR="003E602E" w14:paraId="7B3AE7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4357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N-1</w:t>
            </w:r>
          </w:p>
        </w:tc>
        <w:tc>
          <w:tcPr>
            <w:tcW w:w="15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A609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Dinámica de cierre</w:t>
            </w:r>
          </w:p>
        </w:tc>
        <w:tc>
          <w:tcPr>
            <w:tcW w:w="46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174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Nombre de la dinámica grande. Instrucciones numeradas. Criterio de éxito.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24BB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Fondo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C.teal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. Texto blanco. Sin tablas.</w:t>
            </w:r>
          </w:p>
        </w:tc>
      </w:tr>
      <w:tr w:rsidR="003E602E" w14:paraId="20A09D3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1A97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N</w:t>
            </w:r>
          </w:p>
        </w:tc>
        <w:tc>
          <w:tcPr>
            <w:tcW w:w="15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FED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Cierre y lectura</w:t>
            </w:r>
          </w:p>
        </w:tc>
        <w:tc>
          <w:tcPr>
            <w:tcW w:w="46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6BFF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Pregunta de cierre + materiales de lectura complementaria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F89D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Fondo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C.offwhite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. Caja de pregunta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dark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+ tarjetas de material.</w:t>
            </w:r>
          </w:p>
        </w:tc>
      </w:tr>
    </w:tbl>
    <w:p w14:paraId="4CBC1C53" w14:textId="77777777" w:rsidR="003E602E" w:rsidRDefault="003E602E">
      <w:pPr>
        <w:spacing w:after="80"/>
      </w:pPr>
    </w:p>
    <w:p w14:paraId="679771B8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3.2  Reglas visuales del PPTX</w:t>
      </w:r>
    </w:p>
    <w:p w14:paraId="37F28A51" w14:textId="77777777" w:rsidR="003E602E" w:rsidRDefault="00000000">
      <w:pPr>
        <w:pStyle w:val="Prrafodelista"/>
        <w:numPr>
          <w:ilvl w:val="0"/>
          <w:numId w:val="2"/>
        </w:numPr>
      </w:pPr>
      <w:proofErr w:type="spellStart"/>
      <w:r>
        <w:t>Footer</w:t>
      </w:r>
      <w:proofErr w:type="spellEnd"/>
      <w:r>
        <w:t xml:space="preserve"> en todas las </w:t>
      </w:r>
      <w:proofErr w:type="spellStart"/>
      <w:r>
        <w:t>slides</w:t>
      </w:r>
      <w:proofErr w:type="spellEnd"/>
      <w:r>
        <w:t>: '</w:t>
      </w:r>
      <w:proofErr w:type="spellStart"/>
      <w:r>
        <w:t>Biodiversal</w:t>
      </w:r>
      <w:proofErr w:type="spellEnd"/>
      <w:r>
        <w:t xml:space="preserve"> SAS BIC ·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Biochar</w:t>
      </w:r>
      <w:proofErr w:type="spellEnd"/>
      <w:r>
        <w:t xml:space="preserve"> · Módulo X · Sesión X.X · [subtema]'. Fondo </w:t>
      </w:r>
      <w:proofErr w:type="spellStart"/>
      <w:r>
        <w:t>C.dark</w:t>
      </w:r>
      <w:proofErr w:type="spellEnd"/>
      <w:r>
        <w:t xml:space="preserve">, texto </w:t>
      </w:r>
      <w:proofErr w:type="spellStart"/>
      <w:r>
        <w:t>C.beige</w:t>
      </w:r>
      <w:proofErr w:type="spellEnd"/>
      <w:r>
        <w:t>, 8pt.</w:t>
      </w:r>
    </w:p>
    <w:p w14:paraId="6EB12388" w14:textId="77777777" w:rsidR="003E602E" w:rsidRDefault="00000000">
      <w:pPr>
        <w:pStyle w:val="Prrafodelista"/>
        <w:numPr>
          <w:ilvl w:val="0"/>
          <w:numId w:val="2"/>
        </w:numPr>
      </w:pPr>
      <w:proofErr w:type="spellStart"/>
      <w:r>
        <w:t>Pills</w:t>
      </w:r>
      <w:proofErr w:type="spellEnd"/>
      <w:r>
        <w:t xml:space="preserve"> de identificación en la portada: rectángulo </w:t>
      </w:r>
      <w:proofErr w:type="spellStart"/>
      <w:r>
        <w:t>terra</w:t>
      </w:r>
      <w:proofErr w:type="spellEnd"/>
      <w:r>
        <w:t xml:space="preserve"> para el módulo, rectángulo teal para la sesión.</w:t>
      </w:r>
    </w:p>
    <w:p w14:paraId="1CAD1E02" w14:textId="77777777" w:rsidR="003E602E" w:rsidRDefault="00000000">
      <w:pPr>
        <w:pStyle w:val="Prrafodelista"/>
        <w:numPr>
          <w:ilvl w:val="0"/>
          <w:numId w:val="2"/>
        </w:numPr>
      </w:pPr>
      <w:proofErr w:type="spellStart"/>
      <w:r>
        <w:t>Stat</w:t>
      </w:r>
      <w:proofErr w:type="spellEnd"/>
      <w:r>
        <w:t xml:space="preserve"> </w:t>
      </w:r>
      <w:proofErr w:type="spellStart"/>
      <w:r>
        <w:t>callouts</w:t>
      </w:r>
      <w:proofErr w:type="spellEnd"/>
      <w:r>
        <w:t xml:space="preserve"> para datos numéricos clave (420 ppm, +1.1°C, 1 t = 2.1 </w:t>
      </w:r>
      <w:proofErr w:type="spellStart"/>
      <w:r>
        <w:t>tCO₂e</w:t>
      </w:r>
      <w:proofErr w:type="spellEnd"/>
      <w:r>
        <w:t xml:space="preserve">): número grande en Georgia </w:t>
      </w:r>
      <w:proofErr w:type="spellStart"/>
      <w:r>
        <w:t>bold</w:t>
      </w:r>
      <w:proofErr w:type="spellEnd"/>
      <w:r>
        <w:t xml:space="preserve">, etiqueta en Arial </w:t>
      </w:r>
      <w:proofErr w:type="spellStart"/>
      <w:r>
        <w:t>bold</w:t>
      </w:r>
      <w:proofErr w:type="spellEnd"/>
      <w:r>
        <w:t xml:space="preserve">, contexto en Arial regular. Fondo </w:t>
      </w:r>
      <w:proofErr w:type="spellStart"/>
      <w:r>
        <w:t>terra</w:t>
      </w:r>
      <w:proofErr w:type="spellEnd"/>
      <w:r>
        <w:t xml:space="preserve"> o teal o </w:t>
      </w:r>
      <w:proofErr w:type="spellStart"/>
      <w:r>
        <w:t>dark</w:t>
      </w:r>
      <w:proofErr w:type="spellEnd"/>
      <w:r>
        <w:t xml:space="preserve"> según relevancia.</w:t>
      </w:r>
    </w:p>
    <w:p w14:paraId="3864E11C" w14:textId="77777777" w:rsidR="003E602E" w:rsidRDefault="00000000">
      <w:pPr>
        <w:pStyle w:val="Prrafodelista"/>
        <w:numPr>
          <w:ilvl w:val="0"/>
          <w:numId w:val="2"/>
        </w:numPr>
      </w:pPr>
      <w:r>
        <w:t>Diagramas de flujo: siempre izquierda → derecha o arriba → abajo. Nunca circular sin que el flujo sea conceptualmente circular.</w:t>
      </w:r>
    </w:p>
    <w:p w14:paraId="111CB35C" w14:textId="77777777" w:rsidR="003E602E" w:rsidRDefault="00000000">
      <w:pPr>
        <w:pStyle w:val="Prrafodelista"/>
        <w:numPr>
          <w:ilvl w:val="0"/>
          <w:numId w:val="2"/>
        </w:numPr>
      </w:pPr>
      <w:r>
        <w:t xml:space="preserve">Tablas comparativas en </w:t>
      </w:r>
      <w:proofErr w:type="spellStart"/>
      <w:r>
        <w:t>slides</w:t>
      </w:r>
      <w:proofErr w:type="spellEnd"/>
      <w:r>
        <w:t xml:space="preserve">: máx. 5 filas. </w:t>
      </w:r>
      <w:proofErr w:type="spellStart"/>
      <w:r>
        <w:t>Header</w:t>
      </w:r>
      <w:proofErr w:type="spellEnd"/>
      <w:r>
        <w:t xml:space="preserve"> en </w:t>
      </w:r>
      <w:proofErr w:type="spellStart"/>
      <w:r>
        <w:t>terra</w:t>
      </w:r>
      <w:proofErr w:type="spellEnd"/>
      <w:r>
        <w:t xml:space="preserve"> o teal. Filas alternas off/</w:t>
      </w:r>
      <w:proofErr w:type="spellStart"/>
      <w:r>
        <w:t>white</w:t>
      </w:r>
      <w:proofErr w:type="spellEnd"/>
      <w:r>
        <w:t>.</w:t>
      </w:r>
    </w:p>
    <w:p w14:paraId="15198F24" w14:textId="77777777" w:rsidR="003E602E" w:rsidRDefault="00000000">
      <w:pPr>
        <w:pStyle w:val="Prrafodelista"/>
        <w:numPr>
          <w:ilvl w:val="0"/>
          <w:numId w:val="2"/>
        </w:numPr>
      </w:pPr>
      <w:r>
        <w:t>La dinámica de cierre siempre en fondo teal con texto blanco — marca visualmente el cambio de modo expositivo a participativo.</w:t>
      </w:r>
    </w:p>
    <w:p w14:paraId="10950CD5" w14:textId="77777777" w:rsidR="003E602E" w:rsidRDefault="003E602E">
      <w:pPr>
        <w:spacing w:after="80"/>
      </w:pPr>
    </w:p>
    <w:p w14:paraId="4119F60F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3.3  Lo que NO va en el PPTX</w:t>
      </w:r>
    </w:p>
    <w:p w14:paraId="1C017D83" w14:textId="77777777" w:rsidR="003E602E" w:rsidRDefault="00000000">
      <w:pPr>
        <w:pStyle w:val="Prrafodelista"/>
        <w:numPr>
          <w:ilvl w:val="0"/>
          <w:numId w:val="2"/>
        </w:numPr>
      </w:pPr>
      <w:r>
        <w:lastRenderedPageBreak/>
        <w:t xml:space="preserve">Texto corrido en párrafos — las </w:t>
      </w:r>
      <w:proofErr w:type="spellStart"/>
      <w:r>
        <w:t>slides</w:t>
      </w:r>
      <w:proofErr w:type="spellEnd"/>
      <w:r>
        <w:t xml:space="preserve"> no son documentos. Si el contenido necesita más de 3 líneas de texto, pertenece a la GL.</w:t>
      </w:r>
    </w:p>
    <w:p w14:paraId="0038B8D3" w14:textId="77777777" w:rsidR="003E602E" w:rsidRDefault="00000000">
      <w:pPr>
        <w:pStyle w:val="Prrafodelista"/>
        <w:numPr>
          <w:ilvl w:val="0"/>
          <w:numId w:val="2"/>
        </w:numPr>
      </w:pPr>
      <w:r>
        <w:t>Instrucciones para el facilitador — esas van en la GF, no en la presentación visible para todos.</w:t>
      </w:r>
    </w:p>
    <w:p w14:paraId="1B172CE7" w14:textId="77777777" w:rsidR="003E602E" w:rsidRDefault="00000000">
      <w:pPr>
        <w:pStyle w:val="Prrafodelista"/>
        <w:numPr>
          <w:ilvl w:val="0"/>
          <w:numId w:val="2"/>
        </w:numPr>
      </w:pPr>
      <w:r>
        <w:t xml:space="preserve">Logos de aliados en </w:t>
      </w:r>
      <w:proofErr w:type="spellStart"/>
      <w:r>
        <w:t>slides</w:t>
      </w:r>
      <w:proofErr w:type="spellEnd"/>
      <w:r>
        <w:t xml:space="preserve"> de contenido — solo en portada si aplica.</w:t>
      </w:r>
    </w:p>
    <w:p w14:paraId="632260E0" w14:textId="77777777" w:rsidR="003E602E" w:rsidRDefault="003E602E">
      <w:pPr>
        <w:spacing w:after="80"/>
      </w:pPr>
    </w:p>
    <w:p w14:paraId="26DF864D" w14:textId="614020BD" w:rsidR="003E602E" w:rsidRDefault="00000000" w:rsidP="00925C0B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4. Guía de Lectura (GL)</w:t>
      </w:r>
    </w:p>
    <w:p w14:paraId="65A4D9D7" w14:textId="77777777" w:rsidR="00925C0B" w:rsidRPr="00925C0B" w:rsidRDefault="00925C0B" w:rsidP="00925C0B">
      <w:pPr>
        <w:rPr>
          <w:rFonts w:ascii="Arial" w:hAnsi="Arial" w:cs="Arial"/>
          <w:color w:val="0E0E0E"/>
          <w:sz w:val="20"/>
          <w:szCs w:val="20"/>
        </w:rPr>
      </w:pPr>
      <w:r w:rsidRPr="00925C0B">
        <w:rPr>
          <w:rFonts w:ascii="Arial" w:hAnsi="Arial" w:cs="Arial"/>
          <w:color w:val="0E0E0E"/>
          <w:sz w:val="20"/>
          <w:szCs w:val="20"/>
        </w:rPr>
        <w:t xml:space="preserve">La GL tiene una función de </w:t>
      </w:r>
      <w:r w:rsidRPr="00925C0B">
        <w:rPr>
          <w:rStyle w:val="s1"/>
          <w:rFonts w:ascii="Arial" w:hAnsi="Arial" w:cs="Arial"/>
          <w:b/>
          <w:bCs/>
          <w:color w:val="0E0E0E"/>
          <w:sz w:val="20"/>
          <w:szCs w:val="20"/>
        </w:rPr>
        <w:t>andamiaje pedagógico</w:t>
      </w:r>
      <w:r w:rsidRPr="00925C0B">
        <w:rPr>
          <w:rFonts w:ascii="Arial" w:hAnsi="Arial" w:cs="Arial"/>
          <w:color w:val="0E0E0E"/>
          <w:sz w:val="20"/>
          <w:szCs w:val="20"/>
        </w:rPr>
        <w:t xml:space="preserve">: prepara, profundiza o consolida los contenidos que la sesión sincrónica introduce. No debe entenderse como un simple resumen de la sesión. Por el contrario, es una </w:t>
      </w:r>
      <w:r w:rsidRPr="00925C0B">
        <w:rPr>
          <w:rStyle w:val="s1"/>
          <w:rFonts w:ascii="Arial" w:hAnsi="Arial" w:cs="Arial"/>
          <w:b/>
          <w:bCs/>
          <w:color w:val="0E0E0E"/>
          <w:sz w:val="20"/>
          <w:szCs w:val="20"/>
        </w:rPr>
        <w:t>lectura autónoma y complementaria</w:t>
      </w:r>
      <w:r w:rsidRPr="00925C0B">
        <w:rPr>
          <w:rFonts w:ascii="Arial" w:hAnsi="Arial" w:cs="Arial"/>
          <w:color w:val="0E0E0E"/>
          <w:sz w:val="20"/>
          <w:szCs w:val="20"/>
        </w:rPr>
        <w:t>, diseñada para ampliar y desarrollar a mayor profundidad los conceptos abordados durante el encuentro.</w:t>
      </w:r>
    </w:p>
    <w:p w14:paraId="0045F0C4" w14:textId="77777777" w:rsidR="00925C0B" w:rsidRPr="00925C0B" w:rsidRDefault="00925C0B" w:rsidP="00925C0B">
      <w:pPr>
        <w:rPr>
          <w:rFonts w:ascii="Arial" w:hAnsi="Arial" w:cs="Arial"/>
          <w:color w:val="0E0E0E"/>
          <w:sz w:val="20"/>
          <w:szCs w:val="20"/>
        </w:rPr>
      </w:pPr>
    </w:p>
    <w:p w14:paraId="163232A6" w14:textId="77777777" w:rsidR="00925C0B" w:rsidRPr="00925C0B" w:rsidRDefault="00925C0B" w:rsidP="00925C0B">
      <w:pPr>
        <w:rPr>
          <w:rFonts w:ascii="Arial" w:hAnsi="Arial" w:cs="Arial"/>
          <w:color w:val="0E0E0E"/>
          <w:sz w:val="20"/>
          <w:szCs w:val="20"/>
        </w:rPr>
      </w:pPr>
      <w:r w:rsidRPr="00925C0B">
        <w:rPr>
          <w:rFonts w:ascii="Arial" w:hAnsi="Arial" w:cs="Arial"/>
          <w:color w:val="0E0E0E"/>
          <w:sz w:val="20"/>
          <w:szCs w:val="20"/>
        </w:rPr>
        <w:t xml:space="preserve">Su propósito principal es </w:t>
      </w:r>
      <w:r w:rsidRPr="00925C0B">
        <w:rPr>
          <w:rStyle w:val="s1"/>
          <w:rFonts w:ascii="Arial" w:hAnsi="Arial" w:cs="Arial"/>
          <w:b/>
          <w:bCs/>
          <w:color w:val="0E0E0E"/>
          <w:sz w:val="20"/>
          <w:szCs w:val="20"/>
        </w:rPr>
        <w:t>extender el contenido técnico</w:t>
      </w:r>
      <w:r w:rsidRPr="00925C0B">
        <w:rPr>
          <w:rFonts w:ascii="Arial" w:hAnsi="Arial" w:cs="Arial"/>
          <w:color w:val="0E0E0E"/>
          <w:sz w:val="20"/>
          <w:szCs w:val="20"/>
        </w:rPr>
        <w:t xml:space="preserve">, proporcionando explicaciones más detalladas, fundamentos conceptuales y, cuando sea pertinente, referencias científicas, metodológicas o experiencias verificables que respalden la información presentada. En este sentido, la GL permite transformar los temas discutidos en la sesión en </w:t>
      </w:r>
      <w:r w:rsidRPr="00925C0B">
        <w:rPr>
          <w:rStyle w:val="s1"/>
          <w:rFonts w:ascii="Arial" w:hAnsi="Arial" w:cs="Arial"/>
          <w:b/>
          <w:bCs/>
          <w:color w:val="0E0E0E"/>
          <w:sz w:val="20"/>
          <w:szCs w:val="20"/>
        </w:rPr>
        <w:t>conocimiento estructurado y aplicable</w:t>
      </w:r>
      <w:r w:rsidRPr="00925C0B">
        <w:rPr>
          <w:rFonts w:ascii="Arial" w:hAnsi="Arial" w:cs="Arial"/>
          <w:color w:val="0E0E0E"/>
          <w:sz w:val="20"/>
          <w:szCs w:val="20"/>
        </w:rPr>
        <w:t>, facilitando que el extensionista comprenda no solo el “qué”, sino también el “por qué” y el “cómo” de cada práctica o concepto.</w:t>
      </w:r>
    </w:p>
    <w:p w14:paraId="1ECDBA90" w14:textId="77777777" w:rsidR="00925C0B" w:rsidRPr="00925C0B" w:rsidRDefault="00925C0B" w:rsidP="00925C0B">
      <w:pPr>
        <w:rPr>
          <w:rFonts w:ascii="Arial" w:hAnsi="Arial" w:cs="Arial"/>
          <w:color w:val="0E0E0E"/>
          <w:sz w:val="20"/>
          <w:szCs w:val="20"/>
        </w:rPr>
      </w:pPr>
    </w:p>
    <w:p w14:paraId="557AE741" w14:textId="77777777" w:rsidR="00925C0B" w:rsidRPr="00925C0B" w:rsidRDefault="00925C0B" w:rsidP="00925C0B">
      <w:pPr>
        <w:rPr>
          <w:rFonts w:ascii="Arial" w:hAnsi="Arial" w:cs="Arial"/>
          <w:color w:val="0E0E0E"/>
          <w:sz w:val="20"/>
          <w:szCs w:val="20"/>
        </w:rPr>
      </w:pPr>
      <w:r w:rsidRPr="00925C0B">
        <w:rPr>
          <w:rFonts w:ascii="Arial" w:hAnsi="Arial" w:cs="Arial"/>
          <w:color w:val="0E0E0E"/>
          <w:sz w:val="20"/>
          <w:szCs w:val="20"/>
        </w:rPr>
        <w:t xml:space="preserve">Por esta razón, la GL debe tener </w:t>
      </w:r>
      <w:r w:rsidRPr="00925C0B">
        <w:rPr>
          <w:rStyle w:val="s1"/>
          <w:rFonts w:ascii="Arial" w:hAnsi="Arial" w:cs="Arial"/>
          <w:b/>
          <w:bCs/>
          <w:color w:val="0E0E0E"/>
          <w:sz w:val="20"/>
          <w:szCs w:val="20"/>
        </w:rPr>
        <w:t>valor por sí misma</w:t>
      </w:r>
      <w:r w:rsidRPr="00925C0B">
        <w:rPr>
          <w:rFonts w:ascii="Arial" w:hAnsi="Arial" w:cs="Arial"/>
          <w:color w:val="0E0E0E"/>
          <w:sz w:val="20"/>
          <w:szCs w:val="20"/>
        </w:rPr>
        <w:t xml:space="preserve">: un extensionista que no haya asistido a la sesión sincrónica debería poder comprender las ideas centrales, los fundamentos técnicos y las implicaciones prácticas únicamente a partir de esta lectura. Así, la GL funciona como un </w:t>
      </w:r>
      <w:r w:rsidRPr="00925C0B">
        <w:rPr>
          <w:rStyle w:val="s1"/>
          <w:rFonts w:ascii="Arial" w:hAnsi="Arial" w:cs="Arial"/>
          <w:b/>
          <w:bCs/>
          <w:color w:val="0E0E0E"/>
          <w:sz w:val="20"/>
          <w:szCs w:val="20"/>
        </w:rPr>
        <w:t>material de aprendizaje independiente</w:t>
      </w:r>
      <w:r w:rsidRPr="00925C0B">
        <w:rPr>
          <w:rFonts w:ascii="Arial" w:hAnsi="Arial" w:cs="Arial"/>
          <w:color w:val="0E0E0E"/>
          <w:sz w:val="20"/>
          <w:szCs w:val="20"/>
        </w:rPr>
        <w:t>, que complementa la sesión y al mismo tiempo amplía su profundidad técnica.</w:t>
      </w:r>
    </w:p>
    <w:p w14:paraId="2C10429C" w14:textId="77777777" w:rsidR="00925C0B" w:rsidRDefault="00925C0B">
      <w:pPr>
        <w:spacing w:after="80"/>
      </w:pPr>
    </w:p>
    <w:p w14:paraId="4C22329C" w14:textId="77777777" w:rsidR="00925C0B" w:rsidRDefault="00925C0B">
      <w:pPr>
        <w:spacing w:after="80"/>
      </w:pPr>
    </w:p>
    <w:p w14:paraId="68300406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4.1  Componentes obligatorios — en este orden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800"/>
        <w:gridCol w:w="6800"/>
      </w:tblGrid>
      <w:tr w:rsidR="003E602E" w14:paraId="6522B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4209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FD4E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6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6F5A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Regla de construcción</w:t>
            </w:r>
          </w:p>
        </w:tc>
      </w:tr>
      <w:tr w:rsidR="003E602E" w14:paraId="6524A91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11BDC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890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Banner de portada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F38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Igual que la GF pero sin 'USO INTERNO'. Incluir: 'Leer antes o después de la sesión sincrónica'.</w:t>
            </w:r>
          </w:p>
        </w:tc>
      </w:tr>
      <w:tr w:rsidR="003E602E" w14:paraId="154141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336B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7C1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Párrafo de propósito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7D1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2–3 frases. Qué va a lograr el extensionista con esta lectura. Sin términos técnicos.</w:t>
            </w:r>
          </w:p>
        </w:tc>
      </w:tr>
      <w:tr w:rsidR="003E602E" w14:paraId="5295922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4C3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50E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Secciones de contenido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8BB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Numeradas. Cada sección: marco conceptual → aplicación al cafetal → dato concreto del proyecto.</w:t>
            </w:r>
          </w:p>
        </w:tc>
      </w:tr>
      <w:tr w:rsidR="003E602E" w14:paraId="3429777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8AE2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E55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Tablas de referencia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B09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Para datos, comparativas, traducción de términos técnicos a lenguaje de campo.</w:t>
            </w:r>
          </w:p>
        </w:tc>
      </w:tr>
      <w:tr w:rsidR="003E602E" w14:paraId="1BB8384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642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1389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Cajas de dato clave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6EE5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cajaNota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() con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C.dark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para encuadrar el dato más importante de cada sección. Máx. 1 por sección.</w:t>
            </w:r>
          </w:p>
        </w:tc>
      </w:tr>
      <w:tr w:rsidR="003E602E" w14:paraId="46029AD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199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7E21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Frase para el campo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A981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cajaNota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 al final — cómo explicar el concepto central al productor más escéptico. Script exacto.</w:t>
            </w:r>
          </w:p>
        </w:tc>
      </w:tr>
      <w:tr w:rsidR="003E602E" w14:paraId="780C3C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45C6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B4D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Autoevaluación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816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5 preguntas numeradas. Mezcla de memoria (datos) y aplicación (explicar con propias palabras).</w:t>
            </w:r>
          </w:p>
        </w:tc>
      </w:tr>
      <w:tr w:rsidR="003E602E" w14:paraId="409D395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B6C3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039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Pie de documento</w:t>
            </w:r>
          </w:p>
        </w:tc>
        <w:tc>
          <w:tcPr>
            <w:tcW w:w="6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E2B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Igual que GF pero sin 'USO INTERNO'.</w:t>
            </w:r>
          </w:p>
        </w:tc>
      </w:tr>
    </w:tbl>
    <w:p w14:paraId="6AAC8501" w14:textId="77777777" w:rsidR="003E602E" w:rsidRDefault="003E602E">
      <w:pPr>
        <w:spacing w:after="80"/>
      </w:pPr>
    </w:p>
    <w:p w14:paraId="77777A7C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4.2  Secuencia pedagógica de cada sección</w:t>
      </w:r>
    </w:p>
    <w:p w14:paraId="3DA2E24E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Cada sección de la GL sigue una secuencia de tres tiempos sin excepción:</w:t>
      </w:r>
    </w:p>
    <w:p w14:paraId="2CD09C89" w14:textId="77777777" w:rsidR="003E602E" w:rsidRDefault="00000000">
      <w:pPr>
        <w:pStyle w:val="Prrafodelista"/>
        <w:numPr>
          <w:ilvl w:val="0"/>
          <w:numId w:val="3"/>
        </w:numPr>
      </w:pPr>
      <w:r>
        <w:t>Marco conceptual — con nombre propio si existe (Knowles, Kolb, IPCC AR6). Le da rigor al contenido y señala que hay ciencia detrás.</w:t>
      </w:r>
    </w:p>
    <w:p w14:paraId="5A11F136" w14:textId="77777777" w:rsidR="003E602E" w:rsidRDefault="00000000">
      <w:pPr>
        <w:pStyle w:val="Prrafodelista"/>
        <w:numPr>
          <w:ilvl w:val="0"/>
          <w:numId w:val="3"/>
        </w:numPr>
      </w:pPr>
      <w:r>
        <w:lastRenderedPageBreak/>
        <w:t>Aplicación al contexto cafetero — cómo se ve ese concepto en una finca de ladera en Ataco o Huila. Siempre específico, nunca genérico.</w:t>
      </w:r>
    </w:p>
    <w:p w14:paraId="7D5F7C5B" w14:textId="77777777" w:rsidR="003E602E" w:rsidRDefault="00000000">
      <w:pPr>
        <w:pStyle w:val="Prrafodelista"/>
        <w:numPr>
          <w:ilvl w:val="0"/>
          <w:numId w:val="3"/>
        </w:numPr>
      </w:pPr>
      <w:r>
        <w:t xml:space="preserve">Dato del proyecto — la cifra o hecho concreto que conecta el concepto con el trabajo del extensionista (1 t </w:t>
      </w:r>
      <w:proofErr w:type="spellStart"/>
      <w:r>
        <w:t>biochar</w:t>
      </w:r>
      <w:proofErr w:type="spellEnd"/>
      <w:r>
        <w:t xml:space="preserve"> = 2.1 </w:t>
      </w:r>
      <w:proofErr w:type="spellStart"/>
      <w:r>
        <w:t>tCO₂e</w:t>
      </w:r>
      <w:proofErr w:type="spellEnd"/>
      <w:r>
        <w:t xml:space="preserve">, el </w:t>
      </w:r>
      <w:proofErr w:type="spellStart"/>
      <w:r>
        <w:t>batch</w:t>
      </w:r>
      <w:proofErr w:type="spellEnd"/>
      <w:r>
        <w:t xml:space="preserve"> = 15 días, etc.).</w:t>
      </w:r>
    </w:p>
    <w:p w14:paraId="5332A3CC" w14:textId="77777777" w:rsidR="003E602E" w:rsidRDefault="003E602E">
      <w:pPr>
        <w:spacing w:after="80"/>
      </w:pPr>
    </w:p>
    <w:p w14:paraId="58C2A2CC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4.3  Voz narrativa en la GL</w:t>
      </w:r>
    </w:p>
    <w:p w14:paraId="3DEC5635" w14:textId="77777777" w:rsidR="003E602E" w:rsidRDefault="00000000">
      <w:pPr>
        <w:pStyle w:val="Prrafodelista"/>
        <w:numPr>
          <w:ilvl w:val="0"/>
          <w:numId w:val="2"/>
        </w:numPr>
      </w:pPr>
      <w:r>
        <w:t>Segunda persona directa al extensionista: 'El productor que vas a visitar no llega en blanco', 'Recuerda las traducciones que trabajamos'.</w:t>
      </w:r>
    </w:p>
    <w:p w14:paraId="2EB410E3" w14:textId="77777777" w:rsidR="003E602E" w:rsidRDefault="00000000">
      <w:pPr>
        <w:pStyle w:val="Prrafodelista"/>
        <w:numPr>
          <w:ilvl w:val="0"/>
          <w:numId w:val="2"/>
        </w:numPr>
      </w:pPr>
      <w:r>
        <w:t>Usa el contraste para clarificar: 'No es una cuestión de vocabulario — es una cuestión de anclaje cognitivo'.</w:t>
      </w:r>
    </w:p>
    <w:p w14:paraId="4CF8A1F1" w14:textId="77777777" w:rsidR="003E602E" w:rsidRDefault="00000000">
      <w:pPr>
        <w:pStyle w:val="Prrafodelista"/>
        <w:numPr>
          <w:ilvl w:val="0"/>
          <w:numId w:val="2"/>
        </w:numPr>
      </w:pPr>
      <w:r>
        <w:t>Las preguntas de autoevaluación activan memoria episódica propia, no solo comprensión: 'Recuerda una visita donde sentiste que el productor realmente aprendió algo. ¿Qué pasó en esa visita que fue diferente?'</w:t>
      </w:r>
    </w:p>
    <w:p w14:paraId="79696D58" w14:textId="77777777" w:rsidR="003E602E" w:rsidRDefault="00000000">
      <w:pPr>
        <w:pStyle w:val="Prrafodelista"/>
        <w:numPr>
          <w:ilvl w:val="0"/>
          <w:numId w:val="2"/>
        </w:numPr>
      </w:pPr>
      <w:r>
        <w:t xml:space="preserve">La 'Frase para el campo' es un script exacto — no una descripción de lo que debería decir. El extensionista la lee, la </w:t>
      </w:r>
      <w:proofErr w:type="spellStart"/>
      <w:r>
        <w:t>practica</w:t>
      </w:r>
      <w:proofErr w:type="spellEnd"/>
      <w:r>
        <w:t xml:space="preserve"> y la adapta.</w:t>
      </w:r>
    </w:p>
    <w:p w14:paraId="5C94BE28" w14:textId="77777777" w:rsidR="003E602E" w:rsidRDefault="003E602E">
      <w:pPr>
        <w:spacing w:after="80"/>
      </w:pPr>
    </w:p>
    <w:p w14:paraId="514FE1AB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5. Paleta de marca y sistema visual</w:t>
      </w:r>
    </w:p>
    <w:p w14:paraId="00912E7F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5.1  Colores y sus roles semánticos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100"/>
        <w:gridCol w:w="3200"/>
        <w:gridCol w:w="4580"/>
      </w:tblGrid>
      <w:tr w:rsidR="003E602E" w14:paraId="4C4E3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7BA7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Color</w:t>
            </w:r>
          </w:p>
        </w:tc>
        <w:tc>
          <w:tcPr>
            <w:tcW w:w="11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9461" w14:textId="77777777" w:rsidR="003E602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Hex</w:t>
            </w:r>
            <w:proofErr w:type="spellEnd"/>
          </w:p>
        </w:tc>
        <w:tc>
          <w:tcPr>
            <w:tcW w:w="32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22F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Rol semántico</w:t>
            </w:r>
          </w:p>
        </w:tc>
        <w:tc>
          <w:tcPr>
            <w:tcW w:w="45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E30E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Cuándo usar</w:t>
            </w:r>
          </w:p>
        </w:tc>
      </w:tr>
      <w:tr w:rsidR="003E602E" w14:paraId="5CEFDF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63D7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Terra</w:t>
            </w:r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13BB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#DA7052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EB0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Acento primario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Bioimpacto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— énfasis, alertas, titulares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AD16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Headers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bloques,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pills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sesión, bordes laterales de cajas críticas,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stat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callouts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principales</w:t>
            </w:r>
          </w:p>
        </w:tc>
      </w:tr>
      <w:tr w:rsidR="003E602E" w14:paraId="4316BC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5D97F" w14:textId="77777777" w:rsidR="003E602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Dark</w:t>
            </w:r>
            <w:proofErr w:type="spellEnd"/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D62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#3E4D58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30C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Peso estructural — fondo de alto contraste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BBA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Banners de portada, fondos de cajas de nota,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headers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tablas secundarias,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footer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slides</w:t>
            </w:r>
            <w:proofErr w:type="spellEnd"/>
          </w:p>
        </w:tc>
      </w:tr>
      <w:tr w:rsidR="003E602E" w14:paraId="618C80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FA6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Teal</w:t>
            </w:r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D319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#50827C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6131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Acento secundario — buenas prácticas, aprendizaje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590F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Headers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tablas de referencia,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dinámica, columna 'Sí decir', cajas de buena práctica</w:t>
            </w:r>
          </w:p>
        </w:tc>
      </w:tr>
      <w:tr w:rsidR="003E602E" w14:paraId="46BA00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5F20" w14:textId="77777777" w:rsidR="003E602E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Mint</w:t>
            </w:r>
            <w:proofErr w:type="spellEnd"/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A69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#BDE0D6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5451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Fondo suave — contextual, no estructural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8DC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Subtítulos sobre fondos oscuros, texto de metadatos en portada, fondos de sección muy ligeros</w:t>
            </w:r>
          </w:p>
        </w:tc>
      </w:tr>
      <w:tr w:rsidR="003E602E" w14:paraId="547712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EB81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Beige</w:t>
            </w:r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A63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#CDC4B4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0F9C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Texto secundario sobre fondos oscuros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F57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Texto de datos en banners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dark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, texto de pie en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slides</w:t>
            </w:r>
            <w:proofErr w:type="spellEnd"/>
          </w:p>
        </w:tc>
      </w:tr>
      <w:tr w:rsidR="003E602E" w14:paraId="1983B46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844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Off-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white</w:t>
            </w:r>
            <w:proofErr w:type="spellEnd"/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CB0D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#F7F5F2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9168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Fondo de página y celdas de tabla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1AE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Fondo de página, celdas alternas de tabla, fondo de ejercicios en vivo</w:t>
            </w:r>
          </w:p>
        </w:tc>
      </w:tr>
      <w:tr w:rsidR="003E602E" w14:paraId="2A3897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E54D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Light</w:t>
            </w:r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ADE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#E8E4DF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B5E8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Bordes neutros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858E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Bordes de tablas de contenido, separadores horizontales</w:t>
            </w:r>
          </w:p>
        </w:tc>
      </w:tr>
      <w:tr w:rsidR="003E602E" w14:paraId="20DD91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511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Gray</w:t>
            </w:r>
          </w:p>
        </w:tc>
        <w:tc>
          <w:tcPr>
            <w:tcW w:w="11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0739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#6B7280</w:t>
            </w:r>
          </w:p>
        </w:tc>
        <w:tc>
          <w:tcPr>
            <w:tcW w:w="32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044E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Texto terciario — notas, fuentes, pies</w:t>
            </w:r>
          </w:p>
        </w:tc>
        <w:tc>
          <w:tcPr>
            <w:tcW w:w="45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DBB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Pie de documento, notas de fuente, instrucciones en itálica</w:t>
            </w:r>
          </w:p>
        </w:tc>
      </w:tr>
    </w:tbl>
    <w:p w14:paraId="6F241180" w14:textId="77777777" w:rsidR="003E602E" w:rsidRDefault="003E602E">
      <w:pPr>
        <w:spacing w:after="80"/>
      </w:pPr>
    </w:p>
    <w:p w14:paraId="55C03D35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5.2  Tipografía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480"/>
        <w:gridCol w:w="3800"/>
      </w:tblGrid>
      <w:tr w:rsidR="003E602E" w14:paraId="2E0E31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EEB3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Fuente</w:t>
            </w:r>
          </w:p>
        </w:tc>
        <w:tc>
          <w:tcPr>
            <w:tcW w:w="448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17B4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Uso</w:t>
            </w:r>
          </w:p>
        </w:tc>
        <w:tc>
          <w:tcPr>
            <w:tcW w:w="3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2398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Tamaños en docx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half-points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E602E" w:rsidRPr="00925C0B" w14:paraId="1B46F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CABB9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Georgia</w:t>
            </w:r>
          </w:p>
        </w:tc>
        <w:tc>
          <w:tcPr>
            <w:tcW w:w="4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BDF6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Títulos de sección (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Ph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), títulos de PPTX, frases literales en GL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5379" w14:textId="77777777" w:rsidR="003E602E" w:rsidRPr="00925C0B" w:rsidRDefault="00000000">
            <w:pPr>
              <w:rPr>
                <w:lang w:val="en-US"/>
              </w:rPr>
            </w:pPr>
            <w:r w:rsidRPr="00925C0B">
              <w:rPr>
                <w:rFonts w:ascii="Arial" w:eastAsia="Arial" w:hAnsi="Arial" w:cs="Arial"/>
                <w:color w:val="3E4D58"/>
                <w:sz w:val="19"/>
                <w:szCs w:val="19"/>
                <w:lang w:val="en-US"/>
              </w:rPr>
              <w:t xml:space="preserve">30 bold (Ph), 44 bold (banner PPTX), 21 </w:t>
            </w:r>
            <w:proofErr w:type="gramStart"/>
            <w:r w:rsidRPr="00925C0B">
              <w:rPr>
                <w:rFonts w:ascii="Arial" w:eastAsia="Arial" w:hAnsi="Arial" w:cs="Arial"/>
                <w:color w:val="3E4D58"/>
                <w:sz w:val="19"/>
                <w:szCs w:val="19"/>
                <w:lang w:val="en-US"/>
              </w:rPr>
              <w:t>italic</w:t>
            </w:r>
            <w:proofErr w:type="gramEnd"/>
            <w:r w:rsidRPr="00925C0B">
              <w:rPr>
                <w:rFonts w:ascii="Arial" w:eastAsia="Arial" w:hAnsi="Arial" w:cs="Arial"/>
                <w:color w:val="3E4D58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925C0B">
              <w:rPr>
                <w:rFonts w:ascii="Arial" w:eastAsia="Arial" w:hAnsi="Arial" w:cs="Arial"/>
                <w:color w:val="3E4D58"/>
                <w:sz w:val="19"/>
                <w:szCs w:val="19"/>
                <w:lang w:val="en-US"/>
              </w:rPr>
              <w:t>fraseLiteral</w:t>
            </w:r>
            <w:proofErr w:type="spellEnd"/>
            <w:r w:rsidRPr="00925C0B">
              <w:rPr>
                <w:rFonts w:ascii="Arial" w:eastAsia="Arial" w:hAnsi="Arial" w:cs="Arial"/>
                <w:color w:val="3E4D58"/>
                <w:sz w:val="19"/>
                <w:szCs w:val="19"/>
                <w:lang w:val="en-US"/>
              </w:rPr>
              <w:t>)</w:t>
            </w:r>
          </w:p>
        </w:tc>
      </w:tr>
      <w:tr w:rsidR="003E602E" w14:paraId="6AB184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7E614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Arial</w:t>
            </w:r>
          </w:p>
        </w:tc>
        <w:tc>
          <w:tcPr>
            <w:tcW w:w="448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422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Todo el resto: cuerpo, tablas,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bullets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, etiquetas, pies</w:t>
            </w:r>
          </w:p>
        </w:tc>
        <w:tc>
          <w:tcPr>
            <w:tcW w:w="3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1283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20 (cuerpo), 22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bold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(Pb), 19 (tablas), 18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bold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labels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), 16 (notas pequeñas)</w:t>
            </w:r>
          </w:p>
        </w:tc>
      </w:tr>
    </w:tbl>
    <w:p w14:paraId="3723C31C" w14:textId="77777777" w:rsidR="003E602E" w:rsidRDefault="003E602E">
      <w:pPr>
        <w:spacing w:after="80"/>
      </w:pPr>
    </w:p>
    <w:p w14:paraId="7200E196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5.3  Jerarquía de componentes por peso visual</w:t>
      </w:r>
    </w:p>
    <w:p w14:paraId="26DB1E39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De mayor a menor peso visual — usar en orden descendente dentro de cada sección:</w:t>
      </w:r>
    </w:p>
    <w:p w14:paraId="3F232562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bannerPortada</w:t>
      </w:r>
      <w:proofErr w:type="spellEnd"/>
      <w:r>
        <w:t xml:space="preserve"> — identidad del documento — solo en la primera línea</w:t>
      </w:r>
    </w:p>
    <w:p w14:paraId="425DEEAD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headerBloque</w:t>
      </w:r>
      <w:proofErr w:type="spellEnd"/>
      <w:r>
        <w:t xml:space="preserve"> — inicio de bloque temporal — uno por bloque en la GF</w:t>
      </w:r>
    </w:p>
    <w:p w14:paraId="289A4707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cajaNota</w:t>
      </w:r>
      <w:proofErr w:type="spellEnd"/>
      <w:r>
        <w:t xml:space="preserve"> con </w:t>
      </w:r>
      <w:proofErr w:type="spellStart"/>
      <w:r>
        <w:t>C.terra</w:t>
      </w:r>
      <w:proofErr w:type="spellEnd"/>
      <w:r>
        <w:t xml:space="preserve"> — advertencia crítica — máx. 1 por sección</w:t>
      </w:r>
    </w:p>
    <w:p w14:paraId="41A3ABC3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cajaNota</w:t>
      </w:r>
      <w:proofErr w:type="spellEnd"/>
      <w:r>
        <w:t xml:space="preserve"> con </w:t>
      </w:r>
      <w:proofErr w:type="spellStart"/>
      <w:r>
        <w:t>C.dark</w:t>
      </w:r>
      <w:proofErr w:type="spellEnd"/>
      <w:r>
        <w:t xml:space="preserve"> — nota de contexto / </w:t>
      </w:r>
      <w:proofErr w:type="spellStart"/>
      <w:r>
        <w:t>prerequisito</w:t>
      </w:r>
      <w:proofErr w:type="spellEnd"/>
      <w:r>
        <w:t xml:space="preserve"> — máx. 2 por sección</w:t>
      </w:r>
    </w:p>
    <w:p w14:paraId="3F0137F9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fraseLiteral</w:t>
      </w:r>
      <w:proofErr w:type="spellEnd"/>
      <w:r>
        <w:t xml:space="preserve"> — script para el facilitador — cuando hay texto para leer textualmente</w:t>
      </w:r>
    </w:p>
    <w:p w14:paraId="2CCD2705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tablaAgenda</w:t>
      </w:r>
      <w:proofErr w:type="spellEnd"/>
      <w:r>
        <w:t xml:space="preserve"> / </w:t>
      </w:r>
      <w:proofErr w:type="spellStart"/>
      <w:r>
        <w:t>tablaReferencia</w:t>
      </w:r>
      <w:proofErr w:type="spellEnd"/>
      <w:r>
        <w:t xml:space="preserve"> / </w:t>
      </w:r>
      <w:proofErr w:type="spellStart"/>
      <w:r>
        <w:t>tablaComparativa</w:t>
      </w:r>
      <w:proofErr w:type="spellEnd"/>
      <w:r>
        <w:t xml:space="preserve"> — datos estructurados</w:t>
      </w:r>
    </w:p>
    <w:p w14:paraId="555EC34E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tablaNoSi</w:t>
      </w:r>
      <w:proofErr w:type="spellEnd"/>
      <w:r>
        <w:t xml:space="preserve"> / </w:t>
      </w:r>
      <w:proofErr w:type="spellStart"/>
      <w:r>
        <w:t>tablaAlertas</w:t>
      </w:r>
      <w:proofErr w:type="spellEnd"/>
      <w:r>
        <w:t xml:space="preserve"> / </w:t>
      </w:r>
      <w:proofErr w:type="spellStart"/>
      <w:r>
        <w:t>tablaFAQ</w:t>
      </w:r>
      <w:proofErr w:type="spellEnd"/>
      <w:r>
        <w:t xml:space="preserve"> — contrastes y protocolos</w:t>
      </w:r>
    </w:p>
    <w:p w14:paraId="2F777508" w14:textId="77777777" w:rsidR="003E602E" w:rsidRDefault="00000000">
      <w:pPr>
        <w:pStyle w:val="Prrafodelista"/>
        <w:numPr>
          <w:ilvl w:val="0"/>
          <w:numId w:val="3"/>
        </w:numPr>
      </w:pPr>
      <w:proofErr w:type="spellStart"/>
      <w:r>
        <w:t>Ph</w:t>
      </w:r>
      <w:proofErr w:type="spellEnd"/>
      <w:r>
        <w:t xml:space="preserve"> + Pb + P / </w:t>
      </w:r>
      <w:proofErr w:type="spellStart"/>
      <w:r>
        <w:t>bullet</w:t>
      </w:r>
      <w:proofErr w:type="spellEnd"/>
      <w:r>
        <w:t xml:space="preserve"> — texto corrido jerarquizado</w:t>
      </w:r>
    </w:p>
    <w:p w14:paraId="14D18AC0" w14:textId="77777777" w:rsidR="003E602E" w:rsidRDefault="003E602E">
      <w:pPr>
        <w:spacing w:after="80"/>
      </w:pPr>
    </w:p>
    <w:p w14:paraId="45C4AF3B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6. Coherencia entre los tres entregables de una sesión</w:t>
      </w:r>
    </w:p>
    <w:p w14:paraId="25834F37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Los tres entregables de una misma sesión comparten el mismo contenido pero con diferente función, nivel de detalle y destinatario. Las reglas de coherencia evitan contradicciones y redundancias:</w:t>
      </w:r>
    </w:p>
    <w:p w14:paraId="3982B038" w14:textId="77777777" w:rsidR="003E602E" w:rsidRDefault="003E602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160"/>
        <w:gridCol w:w="2560"/>
        <w:gridCol w:w="2560"/>
      </w:tblGrid>
      <w:tr w:rsidR="003E602E" w14:paraId="6F5129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39DF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16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BFE93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PPTX</w:t>
            </w:r>
          </w:p>
        </w:tc>
        <w:tc>
          <w:tcPr>
            <w:tcW w:w="256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09B9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GF</w:t>
            </w:r>
          </w:p>
        </w:tc>
        <w:tc>
          <w:tcPr>
            <w:tcW w:w="2560" w:type="dxa"/>
            <w:tcBorders>
              <w:top w:val="single" w:sz="1" w:space="0" w:color="DA7052"/>
              <w:left w:val="single" w:sz="1" w:space="0" w:color="DA7052"/>
              <w:bottom w:val="single" w:sz="1" w:space="0" w:color="DA7052"/>
              <w:right w:val="single" w:sz="1" w:space="0" w:color="DA7052"/>
            </w:tcBorders>
            <w:shd w:val="clear" w:color="auto" w:fill="DA70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BBA26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GL</w:t>
            </w:r>
          </w:p>
        </w:tc>
      </w:tr>
      <w:tr w:rsidR="003E602E" w14:paraId="52368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0000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Datos numéricos del proyecto</w:t>
            </w:r>
          </w:p>
        </w:tc>
        <w:tc>
          <w:tcPr>
            <w:tcW w:w="21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B2E0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Stat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callout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visual — número grande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2208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Tabla de referencia con contexto completo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3A8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Tabla de referencia + explicación de dónde viene el número</w:t>
            </w:r>
          </w:p>
        </w:tc>
      </w:tr>
      <w:tr w:rsidR="003E602E" w14:paraId="4D5745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D305A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Frase literal de apertura</w:t>
            </w:r>
          </w:p>
        </w:tc>
        <w:tc>
          <w:tcPr>
            <w:tcW w:w="21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9DB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 aparece — el facilitador la tiene en la GF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ADED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fraseLiteral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 — script exacto con instrucción de uso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251B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 aparece — es herramienta del facilitador</w:t>
            </w:r>
          </w:p>
        </w:tc>
      </w:tr>
      <w:tr w:rsidR="003E602E" w14:paraId="72FFC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6D56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Dinámica / role-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play</w:t>
            </w:r>
            <w:proofErr w:type="spellEnd"/>
          </w:p>
        </w:tc>
        <w:tc>
          <w:tcPr>
            <w:tcW w:w="21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3E08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dinámica con instrucciones para el extensionista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7ED0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escenarioRolePlay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() completo con instrucciones para ambos roles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FDD76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 aparece — se vive en la sesión sincrónica</w:t>
            </w:r>
          </w:p>
        </w:tc>
      </w:tr>
      <w:tr w:rsidR="003E602E" w14:paraId="56BD7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8FB65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Conceptos técnicos</w:t>
            </w:r>
          </w:p>
        </w:tc>
        <w:tc>
          <w:tcPr>
            <w:tcW w:w="21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2D7A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Definición visual mínima — una frase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8EB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Lo que el facilitador debe saber para responder preguntas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E3D0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Explicación completa con contexto, aplicación y traducción al campo</w:t>
            </w:r>
          </w:p>
        </w:tc>
      </w:tr>
      <w:tr w:rsidR="003E602E" w14:paraId="75293B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7053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Pregunta de cierre</w:t>
            </w:r>
          </w:p>
        </w:tc>
        <w:tc>
          <w:tcPr>
            <w:tcW w:w="21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ED7A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de cierre con la pregunta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4C8C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Instrucción de cómo usar la pregunta (función diagnóstica vs. enganche)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478F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Preguntas de autoevaluación — versión para trabajo autónomo</w:t>
            </w:r>
          </w:p>
        </w:tc>
      </w:tr>
      <w:tr w:rsidR="003E602E" w14:paraId="01828C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1A84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3E4D58"/>
                <w:sz w:val="19"/>
                <w:szCs w:val="19"/>
              </w:rPr>
              <w:t>Lectura complementaria</w:t>
            </w:r>
          </w:p>
        </w:tc>
        <w:tc>
          <w:tcPr>
            <w:tcW w:w="21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27B9" w14:textId="77777777" w:rsidR="003E602E" w:rsidRDefault="00000000"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Slide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final con título de la GL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C205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Cajita de asignación de lectura post-sesión</w:t>
            </w:r>
          </w:p>
        </w:tc>
        <w:tc>
          <w:tcPr>
            <w:tcW w:w="256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9FD2E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Es el documento en sí — no se referencia a sí misma</w:t>
            </w:r>
          </w:p>
        </w:tc>
      </w:tr>
    </w:tbl>
    <w:p w14:paraId="0854EC96" w14:textId="77777777" w:rsidR="003E602E" w:rsidRDefault="003E602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"/>
        <w:gridCol w:w="9980"/>
      </w:tblGrid>
      <w:tr w:rsidR="003E602E" w14:paraId="08D8E0FA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04E10E" w14:textId="77777777" w:rsidR="003E602E" w:rsidRDefault="003E602E"/>
        </w:tc>
        <w:tc>
          <w:tcPr>
            <w:tcW w:w="998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3A9BA7" w14:textId="77777777" w:rsidR="003E602E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REGLA DE ORO DE COHERENCIA</w:t>
            </w:r>
          </w:p>
          <w:p w14:paraId="06725BCB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Si un dato, concepto o instrucción aparece en los tres entregables, debe ser idéntico en contenido.</w:t>
            </w:r>
          </w:p>
          <w:p w14:paraId="6C383377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Si aparece en dos de los tres, la versión más detallada es la GF o la GL — nunca el PPTX.</w:t>
            </w:r>
          </w:p>
          <w:p w14:paraId="431B4954" w14:textId="77777777" w:rsidR="003E602E" w:rsidRDefault="00000000">
            <w:pPr>
              <w:spacing w:after="60"/>
            </w:pPr>
            <w:r>
              <w:rPr>
                <w:rFonts w:ascii="Arial" w:eastAsia="Arial" w:hAnsi="Arial" w:cs="Arial"/>
                <w:color w:val="FFFFFF"/>
                <w:sz w:val="20"/>
                <w:szCs w:val="20"/>
              </w:rPr>
              <w:t>Si hay contradicción entre entregables, el Modelo Operativo del Extensionista v1.0 es la fuente de verdad.</w:t>
            </w:r>
          </w:p>
        </w:tc>
      </w:tr>
    </w:tbl>
    <w:p w14:paraId="033B98E9" w14:textId="77777777" w:rsidR="003E602E" w:rsidRDefault="003E602E">
      <w:pPr>
        <w:spacing w:after="80"/>
      </w:pPr>
    </w:p>
    <w:p w14:paraId="2065DE11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 xml:space="preserve">7. </w:t>
      </w:r>
      <w:proofErr w:type="spellStart"/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Checklist</w:t>
      </w:r>
      <w:proofErr w:type="spellEnd"/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 xml:space="preserve"> de calidad antes de entregar</w:t>
      </w:r>
    </w:p>
    <w:p w14:paraId="7F04E739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lastRenderedPageBreak/>
        <w:t>7.1  Presentación (PPTX)</w:t>
      </w:r>
    </w:p>
    <w:p w14:paraId="7A277DA0" w14:textId="77777777" w:rsidR="003E602E" w:rsidRDefault="00000000">
      <w:pPr>
        <w:pStyle w:val="Prrafodelista"/>
        <w:numPr>
          <w:ilvl w:val="0"/>
          <w:numId w:val="4"/>
        </w:numPr>
      </w:pPr>
      <w:proofErr w:type="spellStart"/>
      <w:r>
        <w:t>Slide</w:t>
      </w:r>
      <w:proofErr w:type="spellEnd"/>
      <w:r>
        <w:t xml:space="preserve"> 1 tiene </w:t>
      </w:r>
      <w:proofErr w:type="spellStart"/>
      <w:r>
        <w:t>pills</w:t>
      </w:r>
      <w:proofErr w:type="spellEnd"/>
      <w:r>
        <w:t xml:space="preserve"> de Módulo y Sesión, título en Georgia, semana y duración visibles</w:t>
      </w:r>
    </w:p>
    <w:p w14:paraId="580B4FFF" w14:textId="77777777" w:rsidR="003E602E" w:rsidRDefault="00000000">
      <w:pPr>
        <w:pStyle w:val="Prrafodelista"/>
        <w:numPr>
          <w:ilvl w:val="0"/>
          <w:numId w:val="4"/>
        </w:numPr>
      </w:pPr>
      <w:r>
        <w:t xml:space="preserve">Todas las </w:t>
      </w:r>
      <w:proofErr w:type="spellStart"/>
      <w:r>
        <w:t>slides</w:t>
      </w:r>
      <w:proofErr w:type="spellEnd"/>
      <w:r>
        <w:t xml:space="preserve"> tienen </w:t>
      </w:r>
      <w:proofErr w:type="spellStart"/>
      <w:r>
        <w:t>footer</w:t>
      </w:r>
      <w:proofErr w:type="spellEnd"/>
      <w:r>
        <w:t xml:space="preserve"> con identificación completa</w:t>
      </w:r>
    </w:p>
    <w:p w14:paraId="4508C0A1" w14:textId="77777777" w:rsidR="003E602E" w:rsidRDefault="00000000">
      <w:pPr>
        <w:pStyle w:val="Prrafodelista"/>
        <w:numPr>
          <w:ilvl w:val="0"/>
          <w:numId w:val="4"/>
        </w:numPr>
      </w:pPr>
      <w:r>
        <w:t xml:space="preserve">No hay texto corrido en párrafos en ninguna </w:t>
      </w:r>
      <w:proofErr w:type="spellStart"/>
      <w:r>
        <w:t>slide</w:t>
      </w:r>
      <w:proofErr w:type="spellEnd"/>
    </w:p>
    <w:p w14:paraId="7BD2B5E7" w14:textId="77777777" w:rsidR="003E602E" w:rsidRDefault="00000000">
      <w:pPr>
        <w:pStyle w:val="Prrafodelista"/>
        <w:numPr>
          <w:ilvl w:val="0"/>
          <w:numId w:val="4"/>
        </w:numPr>
      </w:pPr>
      <w:r>
        <w:t xml:space="preserve">La </w:t>
      </w:r>
      <w:proofErr w:type="spellStart"/>
      <w:r>
        <w:t>slide</w:t>
      </w:r>
      <w:proofErr w:type="spellEnd"/>
      <w:r>
        <w:t xml:space="preserve"> de dinámica tiene fondo teal y es visualmente distinta del resto</w:t>
      </w:r>
    </w:p>
    <w:p w14:paraId="5D9961D1" w14:textId="77777777" w:rsidR="003E602E" w:rsidRDefault="00000000">
      <w:pPr>
        <w:pStyle w:val="Prrafodelista"/>
        <w:numPr>
          <w:ilvl w:val="0"/>
          <w:numId w:val="4"/>
        </w:numPr>
      </w:pPr>
      <w:proofErr w:type="spellStart"/>
      <w:r>
        <w:t>Slide</w:t>
      </w:r>
      <w:proofErr w:type="spellEnd"/>
      <w:r>
        <w:t xml:space="preserve"> de cierre tiene pregunta de cierre + referencia a la guía de lectura</w:t>
      </w:r>
    </w:p>
    <w:p w14:paraId="604A755A" w14:textId="77777777" w:rsidR="003E602E" w:rsidRDefault="00000000">
      <w:pPr>
        <w:pStyle w:val="Prrafodelista"/>
        <w:numPr>
          <w:ilvl w:val="0"/>
          <w:numId w:val="4"/>
        </w:numPr>
      </w:pPr>
      <w:r>
        <w:t>Los datos numéricos coinciden con el Modelo Operativo v1.0 y el Plan de Formación v3</w:t>
      </w:r>
    </w:p>
    <w:p w14:paraId="2384E326" w14:textId="77777777" w:rsidR="003E602E" w:rsidRDefault="003E602E">
      <w:pPr>
        <w:spacing w:after="80"/>
      </w:pPr>
    </w:p>
    <w:p w14:paraId="3C0B0065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7.2  Guía del Facilitador (GF)</w:t>
      </w:r>
    </w:p>
    <w:p w14:paraId="0D1B097F" w14:textId="77777777" w:rsidR="003E602E" w:rsidRDefault="00000000">
      <w:pPr>
        <w:pStyle w:val="Prrafodelista"/>
        <w:numPr>
          <w:ilvl w:val="0"/>
          <w:numId w:val="4"/>
        </w:numPr>
      </w:pPr>
      <w:r>
        <w:t>Ficha técnica completa con los 5 campos: duración, modalidad, prerrequisito, herramientas, evaluación</w:t>
      </w:r>
    </w:p>
    <w:p w14:paraId="614808B4" w14:textId="77777777" w:rsidR="003E602E" w:rsidRDefault="00000000">
      <w:pPr>
        <w:pStyle w:val="Prrafodelista"/>
        <w:numPr>
          <w:ilvl w:val="0"/>
          <w:numId w:val="4"/>
        </w:numPr>
      </w:pPr>
      <w:r>
        <w:t>Agenda con todos los bloques y tiempos que suman exactamente 60 minutos</w:t>
      </w:r>
    </w:p>
    <w:p w14:paraId="2382CABE" w14:textId="77777777" w:rsidR="003E602E" w:rsidRDefault="00000000">
      <w:pPr>
        <w:pStyle w:val="Prrafodelista"/>
        <w:numPr>
          <w:ilvl w:val="0"/>
          <w:numId w:val="4"/>
        </w:numPr>
      </w:pPr>
      <w:r>
        <w:t xml:space="preserve">Cada bloque tiene su </w:t>
      </w:r>
      <w:proofErr w:type="spellStart"/>
      <w:r>
        <w:t>headerBloque</w:t>
      </w:r>
      <w:proofErr w:type="spellEnd"/>
      <w:r>
        <w:t>() con tiempo de inicio</w:t>
      </w:r>
    </w:p>
    <w:p w14:paraId="6BA89D55" w14:textId="77777777" w:rsidR="003E602E" w:rsidRDefault="00000000">
      <w:pPr>
        <w:pStyle w:val="Prrafodelista"/>
        <w:numPr>
          <w:ilvl w:val="0"/>
          <w:numId w:val="4"/>
        </w:numPr>
      </w:pPr>
      <w:r>
        <w:t xml:space="preserve">Al menos una </w:t>
      </w:r>
      <w:proofErr w:type="spellStart"/>
      <w:r>
        <w:t>fraseLiteral</w:t>
      </w:r>
      <w:proofErr w:type="spellEnd"/>
      <w:r>
        <w:t>() de apertura de sesión</w:t>
      </w:r>
    </w:p>
    <w:p w14:paraId="3EA8BC91" w14:textId="77777777" w:rsidR="003E602E" w:rsidRDefault="00000000">
      <w:pPr>
        <w:pStyle w:val="Prrafodelista"/>
        <w:numPr>
          <w:ilvl w:val="0"/>
          <w:numId w:val="4"/>
        </w:numPr>
      </w:pPr>
      <w:r>
        <w:t>El escenario de role-</w:t>
      </w:r>
      <w:proofErr w:type="spellStart"/>
      <w:r>
        <w:t>play</w:t>
      </w:r>
      <w:proofErr w:type="spellEnd"/>
      <w:r>
        <w:t xml:space="preserve"> tiene datos reales del clúster (litros, días, nombres)</w:t>
      </w:r>
    </w:p>
    <w:p w14:paraId="6A56D5B9" w14:textId="77777777" w:rsidR="003E602E" w:rsidRDefault="00000000">
      <w:pPr>
        <w:pStyle w:val="Prrafodelista"/>
        <w:numPr>
          <w:ilvl w:val="0"/>
          <w:numId w:val="4"/>
        </w:numPr>
      </w:pPr>
      <w:r>
        <w:t>Las instrucciones para el otro rol en el role-</w:t>
      </w:r>
      <w:proofErr w:type="spellStart"/>
      <w:r>
        <w:t>play</w:t>
      </w:r>
      <w:proofErr w:type="spellEnd"/>
      <w:r>
        <w:t xml:space="preserve"> están en </w:t>
      </w:r>
      <w:proofErr w:type="spellStart"/>
      <w:r>
        <w:t>cajaNota</w:t>
      </w:r>
      <w:proofErr w:type="spellEnd"/>
      <w:r>
        <w:t xml:space="preserve"> separada</w:t>
      </w:r>
    </w:p>
    <w:p w14:paraId="20520C40" w14:textId="77777777" w:rsidR="003E602E" w:rsidRDefault="00000000">
      <w:pPr>
        <w:pStyle w:val="Prrafodelista"/>
        <w:numPr>
          <w:ilvl w:val="0"/>
          <w:numId w:val="4"/>
        </w:numPr>
      </w:pPr>
      <w:r>
        <w:t>Tabla No Decir / Sí Decir presente en cualquier bloque de retroalimentación o ética</w:t>
      </w:r>
    </w:p>
    <w:p w14:paraId="06ACB843" w14:textId="77777777" w:rsidR="003E602E" w:rsidRDefault="00000000">
      <w:pPr>
        <w:pStyle w:val="Prrafodelista"/>
        <w:numPr>
          <w:ilvl w:val="0"/>
          <w:numId w:val="4"/>
        </w:numPr>
      </w:pPr>
      <w:r>
        <w:t>Apéndice de FAQ con mínimo 3 preguntas y respuestas en lenguaje de facilitador</w:t>
      </w:r>
    </w:p>
    <w:p w14:paraId="2B25A0FB" w14:textId="77777777" w:rsidR="003E602E" w:rsidRDefault="00000000">
      <w:pPr>
        <w:pStyle w:val="Prrafodelista"/>
        <w:numPr>
          <w:ilvl w:val="0"/>
          <w:numId w:val="4"/>
        </w:numPr>
      </w:pPr>
      <w:r>
        <w:t>Pie de documento con 'USO INTERNO'</w:t>
      </w:r>
    </w:p>
    <w:p w14:paraId="5D9D9154" w14:textId="77777777" w:rsidR="003E602E" w:rsidRDefault="003E602E">
      <w:pPr>
        <w:spacing w:after="80"/>
      </w:pPr>
    </w:p>
    <w:p w14:paraId="00DD1CAF" w14:textId="77777777" w:rsidR="003E602E" w:rsidRDefault="00000000">
      <w:pPr>
        <w:spacing w:before="200" w:after="60"/>
      </w:pPr>
      <w:r>
        <w:rPr>
          <w:rFonts w:ascii="Arial" w:eastAsia="Arial" w:hAnsi="Arial" w:cs="Arial"/>
          <w:b/>
          <w:bCs/>
          <w:color w:val="DA7052"/>
          <w:sz w:val="22"/>
          <w:szCs w:val="22"/>
        </w:rPr>
        <w:t>7.3  Guía de Lectura (GL)</w:t>
      </w:r>
    </w:p>
    <w:p w14:paraId="3DA21EE5" w14:textId="77777777" w:rsidR="003E602E" w:rsidRDefault="00000000">
      <w:pPr>
        <w:pStyle w:val="Prrafodelista"/>
        <w:numPr>
          <w:ilvl w:val="0"/>
          <w:numId w:val="4"/>
        </w:numPr>
      </w:pPr>
      <w:r>
        <w:t>Párrafo de propósito en las primeras 3 líneas — qué logra el extensionista con esta lectura</w:t>
      </w:r>
    </w:p>
    <w:p w14:paraId="0F880F50" w14:textId="77777777" w:rsidR="003E602E" w:rsidRDefault="00000000">
      <w:pPr>
        <w:pStyle w:val="Prrafodelista"/>
        <w:numPr>
          <w:ilvl w:val="0"/>
          <w:numId w:val="4"/>
        </w:numPr>
      </w:pPr>
      <w:r>
        <w:t>Cada sección sigue la secuencia: marco conceptual → aplicación al cafetal → dato del proyecto</w:t>
      </w:r>
    </w:p>
    <w:p w14:paraId="71C02004" w14:textId="77777777" w:rsidR="003E602E" w:rsidRDefault="00000000">
      <w:pPr>
        <w:pStyle w:val="Prrafodelista"/>
        <w:numPr>
          <w:ilvl w:val="0"/>
          <w:numId w:val="4"/>
        </w:numPr>
      </w:pPr>
      <w:r>
        <w:t xml:space="preserve">Al menos una </w:t>
      </w:r>
      <w:proofErr w:type="spellStart"/>
      <w:r>
        <w:t>cajaNota</w:t>
      </w:r>
      <w:proofErr w:type="spellEnd"/>
      <w:r>
        <w:t xml:space="preserve"> con el dato más importante de la sesión</w:t>
      </w:r>
    </w:p>
    <w:p w14:paraId="72991CE1" w14:textId="77777777" w:rsidR="003E602E" w:rsidRDefault="00000000">
      <w:pPr>
        <w:pStyle w:val="Prrafodelista"/>
        <w:numPr>
          <w:ilvl w:val="0"/>
          <w:numId w:val="4"/>
        </w:numPr>
      </w:pPr>
      <w:r>
        <w:t>Una 'Frase para el campo' — script exacto para el productor escéptico</w:t>
      </w:r>
    </w:p>
    <w:p w14:paraId="76F5E570" w14:textId="77777777" w:rsidR="003E602E" w:rsidRDefault="00000000">
      <w:pPr>
        <w:pStyle w:val="Prrafodelista"/>
        <w:numPr>
          <w:ilvl w:val="0"/>
          <w:numId w:val="4"/>
        </w:numPr>
      </w:pPr>
      <w:r>
        <w:t>5 preguntas de autoevaluación — mínimo 2 de aplicación práctica, no solo de memoria</w:t>
      </w:r>
    </w:p>
    <w:p w14:paraId="526FE3B6" w14:textId="77777777" w:rsidR="003E602E" w:rsidRDefault="00000000">
      <w:pPr>
        <w:pStyle w:val="Prrafodelista"/>
        <w:numPr>
          <w:ilvl w:val="0"/>
          <w:numId w:val="4"/>
        </w:numPr>
      </w:pPr>
      <w:r>
        <w:t>Pie de documento sin 'USO INTERNO'</w:t>
      </w:r>
    </w:p>
    <w:p w14:paraId="297F97DB" w14:textId="77777777" w:rsidR="003E602E" w:rsidRDefault="003E602E">
      <w:pPr>
        <w:spacing w:after="80"/>
      </w:pPr>
    </w:p>
    <w:p w14:paraId="1EF18520" w14:textId="77777777" w:rsidR="003E602E" w:rsidRDefault="00000000">
      <w:pPr>
        <w:pBdr>
          <w:bottom w:val="single" w:sz="6" w:space="3" w:color="DA7052"/>
        </w:pBdr>
        <w:spacing w:before="320" w:after="100"/>
      </w:pPr>
      <w:r>
        <w:rPr>
          <w:rFonts w:ascii="Georgia" w:eastAsia="Georgia" w:hAnsi="Georgia" w:cs="Georgia"/>
          <w:b/>
          <w:bCs/>
          <w:color w:val="3E4D58"/>
          <w:sz w:val="30"/>
          <w:szCs w:val="30"/>
        </w:rPr>
        <w:t>8. Variables por clúster — qué cambiar y qué no</w:t>
      </w:r>
    </w:p>
    <w:p w14:paraId="328CEAED" w14:textId="77777777" w:rsidR="003E602E" w:rsidRDefault="00000000">
      <w:pPr>
        <w:spacing w:before="40" w:after="80"/>
      </w:pPr>
      <w:r>
        <w:rPr>
          <w:rFonts w:ascii="Arial" w:eastAsia="Arial" w:hAnsi="Arial" w:cs="Arial"/>
          <w:color w:val="3E4D58"/>
          <w:sz w:val="20"/>
          <w:szCs w:val="20"/>
        </w:rPr>
        <w:t>Los entregables se producen con datos genéricos del proyecto y luego se adaptan por clúster. Las adaptaciones son siempre en los datos operativos — nunca en el contenido técnico ni en el diseño.</w:t>
      </w:r>
    </w:p>
    <w:p w14:paraId="631D58D1" w14:textId="77777777" w:rsidR="003E602E" w:rsidRDefault="003E602E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3E602E" w14:paraId="5231D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20" w:type="dxa"/>
            <w:tcBorders>
              <w:top w:val="single" w:sz="1" w:space="0" w:color="50827C"/>
              <w:left w:val="single" w:sz="1" w:space="0" w:color="50827C"/>
              <w:bottom w:val="single" w:sz="1" w:space="0" w:color="50827C"/>
              <w:right w:val="single" w:sz="1" w:space="0" w:color="50827C"/>
            </w:tcBorders>
            <w:shd w:val="clear" w:color="auto" w:fill="5082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3824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CONSTANTE — No modificar</w:t>
            </w:r>
          </w:p>
        </w:tc>
        <w:tc>
          <w:tcPr>
            <w:tcW w:w="4920" w:type="dxa"/>
            <w:tcBorders>
              <w:top w:val="single" w:sz="1" w:space="0" w:color="3E4D58"/>
              <w:left w:val="single" w:sz="1" w:space="0" w:color="3E4D58"/>
              <w:bottom w:val="single" w:sz="1" w:space="0" w:color="3E4D58"/>
              <w:right w:val="single" w:sz="1" w:space="0" w:color="3E4D58"/>
            </w:tcBorders>
            <w:shd w:val="clear" w:color="auto" w:fill="3E4D5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7C4B3" w14:textId="77777777" w:rsidR="003E602E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VARIABLE — Adaptar por clúster</w:t>
            </w:r>
          </w:p>
        </w:tc>
      </w:tr>
      <w:tr w:rsidR="003E602E" w14:paraId="22A11803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459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Todos los contenidos técnicos (pirólisis,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biochar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, ciclo del carbono,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KPIs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)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321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Nombre del municipio y veredas (Ataco · Huila · etc.)</w:t>
            </w:r>
          </w:p>
        </w:tc>
      </w:tr>
      <w:tr w:rsidR="003E602E" w14:paraId="392BCBB3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F06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El sistema de evaluación y los criterios de aprobación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5391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Número de productores activos en el clúster</w:t>
            </w:r>
          </w:p>
        </w:tc>
      </w:tr>
      <w:tr w:rsidR="003E602E" w14:paraId="12FD1ADF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26CC4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Los componentes visuales y la paleta de marca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73C6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Metas de producción del período en curso</w:t>
            </w:r>
          </w:p>
        </w:tc>
      </w:tr>
      <w:tr w:rsidR="003E602E" w14:paraId="06EFFC69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895F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Las frases literales de apertura y cierre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EC95D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Nombre del coordinador de clúster</w:t>
            </w:r>
          </w:p>
        </w:tc>
      </w:tr>
      <w:tr w:rsidR="003E602E" w14:paraId="7F4CB09D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2F2C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Los escenarios de role-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play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(estructura)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A3B2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Nombres de productores usados como ejemplos en el escenario</w:t>
            </w:r>
          </w:p>
        </w:tc>
      </w:tr>
      <w:tr w:rsidR="003E602E" w14:paraId="4CC6D43E" w14:textId="77777777">
        <w:tblPrEx>
          <w:tblCellMar>
            <w:top w:w="0" w:type="dxa"/>
            <w:bottom w:w="0" w:type="dxa"/>
          </w:tblCellMar>
        </w:tblPrEx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65C8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Los criterios de alerta temprana y escalamiento</w:t>
            </w:r>
          </w:p>
        </w:tc>
        <w:tc>
          <w:tcPr>
            <w:tcW w:w="4920" w:type="dxa"/>
            <w:tcBorders>
              <w:top w:val="single" w:sz="1" w:space="0" w:color="E8E4DF"/>
              <w:left w:val="single" w:sz="1" w:space="0" w:color="E8E4DF"/>
              <w:bottom w:val="single" w:sz="1" w:space="0" w:color="E8E4DF"/>
              <w:right w:val="single" w:sz="1" w:space="0" w:color="E8E4DF"/>
            </w:tcBorders>
            <w:shd w:val="clear" w:color="auto" w:fill="F7F5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D6EF7" w14:textId="77777777" w:rsidR="003E602E" w:rsidRDefault="00000000"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Fechas de </w:t>
            </w:r>
            <w:proofErr w:type="spellStart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>batch</w:t>
            </w:r>
            <w:proofErr w:type="spellEnd"/>
            <w:r>
              <w:rPr>
                <w:rFonts w:ascii="Arial" w:eastAsia="Arial" w:hAnsi="Arial" w:cs="Arial"/>
                <w:color w:val="3E4D58"/>
                <w:sz w:val="19"/>
                <w:szCs w:val="19"/>
              </w:rPr>
              <w:t xml:space="preserve"> actuales</w:t>
            </w:r>
          </w:p>
        </w:tc>
      </w:tr>
    </w:tbl>
    <w:p w14:paraId="02C9388D" w14:textId="77777777" w:rsidR="003E602E" w:rsidRDefault="003E602E">
      <w:pPr>
        <w:spacing w:after="80"/>
      </w:pPr>
    </w:p>
    <w:p w14:paraId="7C8B2D85" w14:textId="77777777" w:rsidR="003E602E" w:rsidRDefault="00000000">
      <w:pPr>
        <w:pBdr>
          <w:top w:val="single" w:sz="2" w:space="4" w:color="E8E4DF"/>
        </w:pBdr>
        <w:spacing w:before="280"/>
        <w:jc w:val="center"/>
      </w:pPr>
      <w:r>
        <w:rPr>
          <w:rFonts w:ascii="Arial" w:eastAsia="Arial" w:hAnsi="Arial" w:cs="Arial"/>
          <w:color w:val="6B7280"/>
          <w:sz w:val="15"/>
          <w:szCs w:val="15"/>
        </w:rPr>
        <w:lastRenderedPageBreak/>
        <w:t xml:space="preserve">BIODIVERSAL SAS BIC  —  Agricultura Regenerativa  |  Línea </w:t>
      </w:r>
      <w:proofErr w:type="spellStart"/>
      <w:r>
        <w:rPr>
          <w:rFonts w:ascii="Arial" w:eastAsia="Arial" w:hAnsi="Arial" w:cs="Arial"/>
          <w:color w:val="6B7280"/>
          <w:sz w:val="15"/>
          <w:szCs w:val="15"/>
        </w:rPr>
        <w:t>Bioimpacto</w:t>
      </w:r>
      <w:proofErr w:type="spellEnd"/>
      <w:r>
        <w:rPr>
          <w:rFonts w:ascii="Arial" w:eastAsia="Arial" w:hAnsi="Arial" w:cs="Arial"/>
          <w:color w:val="6B7280"/>
          <w:sz w:val="15"/>
          <w:szCs w:val="15"/>
        </w:rPr>
        <w:t xml:space="preserve">  |  Proyecto </w:t>
      </w:r>
      <w:proofErr w:type="spellStart"/>
      <w:r>
        <w:rPr>
          <w:rFonts w:ascii="Arial" w:eastAsia="Arial" w:hAnsi="Arial" w:cs="Arial"/>
          <w:color w:val="6B7280"/>
          <w:sz w:val="15"/>
          <w:szCs w:val="15"/>
        </w:rPr>
        <w:t>Coffee</w:t>
      </w:r>
      <w:proofErr w:type="spellEnd"/>
      <w:r>
        <w:rPr>
          <w:rFonts w:ascii="Arial" w:eastAsia="Arial" w:hAnsi="Arial" w:cs="Arial"/>
          <w:color w:val="6B7280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6B7280"/>
          <w:sz w:val="15"/>
          <w:szCs w:val="15"/>
        </w:rPr>
        <w:t>Biochar</w:t>
      </w:r>
      <w:proofErr w:type="spellEnd"/>
      <w:r>
        <w:rPr>
          <w:rFonts w:ascii="Arial" w:eastAsia="Arial" w:hAnsi="Arial" w:cs="Arial"/>
          <w:color w:val="6B7280"/>
          <w:sz w:val="15"/>
          <w:szCs w:val="15"/>
        </w:rPr>
        <w:t xml:space="preserve">  |  Documento Maestro de Estándares de Materiales  —  </w:t>
      </w:r>
      <w:proofErr w:type="spellStart"/>
      <w:r>
        <w:rPr>
          <w:rFonts w:ascii="Arial" w:eastAsia="Arial" w:hAnsi="Arial" w:cs="Arial"/>
          <w:color w:val="6B7280"/>
          <w:sz w:val="15"/>
          <w:szCs w:val="15"/>
        </w:rPr>
        <w:t>Coffee</w:t>
      </w:r>
      <w:proofErr w:type="spellEnd"/>
      <w:r>
        <w:rPr>
          <w:rFonts w:ascii="Arial" w:eastAsia="Arial" w:hAnsi="Arial" w:cs="Arial"/>
          <w:color w:val="6B7280"/>
          <w:sz w:val="15"/>
          <w:szCs w:val="15"/>
        </w:rPr>
        <w:t xml:space="preserve"> </w:t>
      </w:r>
      <w:proofErr w:type="spellStart"/>
      <w:r>
        <w:rPr>
          <w:rFonts w:ascii="Arial" w:eastAsia="Arial" w:hAnsi="Arial" w:cs="Arial"/>
          <w:color w:val="6B7280"/>
          <w:sz w:val="15"/>
          <w:szCs w:val="15"/>
        </w:rPr>
        <w:t>Biochar</w:t>
      </w:r>
      <w:proofErr w:type="spellEnd"/>
      <w:r>
        <w:rPr>
          <w:rFonts w:ascii="Arial" w:eastAsia="Arial" w:hAnsi="Arial" w:cs="Arial"/>
          <w:color w:val="6B7280"/>
          <w:sz w:val="15"/>
          <w:szCs w:val="15"/>
        </w:rPr>
        <w:t xml:space="preserve"> — Plan de Formación Extensionistas  |  v1.0  —  2025  |  USO INTERNO</w:t>
      </w:r>
    </w:p>
    <w:sectPr w:rsidR="003E602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F4E17"/>
    <w:multiLevelType w:val="hybridMultilevel"/>
    <w:tmpl w:val="299A4C66"/>
    <w:lvl w:ilvl="0" w:tplc="54103E16">
      <w:start w:val="1"/>
      <w:numFmt w:val="bullet"/>
      <w:lvlText w:val="●"/>
      <w:lvlJc w:val="left"/>
      <w:pPr>
        <w:ind w:left="720" w:hanging="360"/>
      </w:pPr>
    </w:lvl>
    <w:lvl w:ilvl="1" w:tplc="3114173A">
      <w:start w:val="1"/>
      <w:numFmt w:val="bullet"/>
      <w:lvlText w:val="○"/>
      <w:lvlJc w:val="left"/>
      <w:pPr>
        <w:ind w:left="1440" w:hanging="360"/>
      </w:pPr>
    </w:lvl>
    <w:lvl w:ilvl="2" w:tplc="946A4E2A">
      <w:start w:val="1"/>
      <w:numFmt w:val="bullet"/>
      <w:lvlText w:val="■"/>
      <w:lvlJc w:val="left"/>
      <w:pPr>
        <w:ind w:left="2160" w:hanging="360"/>
      </w:pPr>
    </w:lvl>
    <w:lvl w:ilvl="3" w:tplc="11543A34">
      <w:start w:val="1"/>
      <w:numFmt w:val="bullet"/>
      <w:lvlText w:val="●"/>
      <w:lvlJc w:val="left"/>
      <w:pPr>
        <w:ind w:left="2880" w:hanging="360"/>
      </w:pPr>
    </w:lvl>
    <w:lvl w:ilvl="4" w:tplc="28106D9A">
      <w:start w:val="1"/>
      <w:numFmt w:val="bullet"/>
      <w:lvlText w:val="○"/>
      <w:lvlJc w:val="left"/>
      <w:pPr>
        <w:ind w:left="3600" w:hanging="360"/>
      </w:pPr>
    </w:lvl>
    <w:lvl w:ilvl="5" w:tplc="186E7956">
      <w:start w:val="1"/>
      <w:numFmt w:val="bullet"/>
      <w:lvlText w:val="■"/>
      <w:lvlJc w:val="left"/>
      <w:pPr>
        <w:ind w:left="4320" w:hanging="360"/>
      </w:pPr>
    </w:lvl>
    <w:lvl w:ilvl="6" w:tplc="5E60EE46">
      <w:start w:val="1"/>
      <w:numFmt w:val="bullet"/>
      <w:lvlText w:val="●"/>
      <w:lvlJc w:val="left"/>
      <w:pPr>
        <w:ind w:left="5040" w:hanging="360"/>
      </w:pPr>
    </w:lvl>
    <w:lvl w:ilvl="7" w:tplc="AC281A04">
      <w:start w:val="1"/>
      <w:numFmt w:val="bullet"/>
      <w:lvlText w:val="●"/>
      <w:lvlJc w:val="left"/>
      <w:pPr>
        <w:ind w:left="5760" w:hanging="360"/>
      </w:pPr>
    </w:lvl>
    <w:lvl w:ilvl="8" w:tplc="6FA473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963656"/>
    <w:multiLevelType w:val="hybridMultilevel"/>
    <w:tmpl w:val="722A3CE6"/>
    <w:lvl w:ilvl="0" w:tplc="A53C6B6E">
      <w:start w:val="1"/>
      <w:numFmt w:val="bullet"/>
      <w:lvlText w:val="•"/>
      <w:lvlJc w:val="left"/>
      <w:pPr>
        <w:spacing w:before="40" w:after="60"/>
        <w:ind w:left="720" w:hanging="360"/>
      </w:pPr>
    </w:lvl>
    <w:lvl w:ilvl="1" w:tplc="BB322042">
      <w:numFmt w:val="decimal"/>
      <w:lvlText w:val=""/>
      <w:lvlJc w:val="left"/>
    </w:lvl>
    <w:lvl w:ilvl="2" w:tplc="D77A1FDC">
      <w:numFmt w:val="decimal"/>
      <w:lvlText w:val=""/>
      <w:lvlJc w:val="left"/>
    </w:lvl>
    <w:lvl w:ilvl="3" w:tplc="87845060">
      <w:numFmt w:val="decimal"/>
      <w:lvlText w:val=""/>
      <w:lvlJc w:val="left"/>
    </w:lvl>
    <w:lvl w:ilvl="4" w:tplc="FEBAF112">
      <w:numFmt w:val="decimal"/>
      <w:lvlText w:val=""/>
      <w:lvlJc w:val="left"/>
    </w:lvl>
    <w:lvl w:ilvl="5" w:tplc="FA28570E">
      <w:numFmt w:val="decimal"/>
      <w:lvlText w:val=""/>
      <w:lvlJc w:val="left"/>
    </w:lvl>
    <w:lvl w:ilvl="6" w:tplc="47E44780">
      <w:numFmt w:val="decimal"/>
      <w:lvlText w:val=""/>
      <w:lvlJc w:val="left"/>
    </w:lvl>
    <w:lvl w:ilvl="7" w:tplc="88301900">
      <w:numFmt w:val="decimal"/>
      <w:lvlText w:val=""/>
      <w:lvlJc w:val="left"/>
    </w:lvl>
    <w:lvl w:ilvl="8" w:tplc="69BEFB98">
      <w:numFmt w:val="decimal"/>
      <w:lvlText w:val=""/>
      <w:lvlJc w:val="left"/>
    </w:lvl>
  </w:abstractNum>
  <w:abstractNum w:abstractNumId="2" w15:restartNumberingAfterBreak="0">
    <w:nsid w:val="68432145"/>
    <w:multiLevelType w:val="hybridMultilevel"/>
    <w:tmpl w:val="345C2ED4"/>
    <w:lvl w:ilvl="0" w:tplc="D1728682">
      <w:start w:val="1"/>
      <w:numFmt w:val="decimal"/>
      <w:lvlText w:val="%1."/>
      <w:lvlJc w:val="left"/>
      <w:pPr>
        <w:spacing w:before="40" w:after="60"/>
        <w:ind w:left="720" w:hanging="360"/>
      </w:pPr>
    </w:lvl>
    <w:lvl w:ilvl="1" w:tplc="C42EC090">
      <w:numFmt w:val="decimal"/>
      <w:lvlText w:val=""/>
      <w:lvlJc w:val="left"/>
    </w:lvl>
    <w:lvl w:ilvl="2" w:tplc="01BC0744">
      <w:numFmt w:val="decimal"/>
      <w:lvlText w:val=""/>
      <w:lvlJc w:val="left"/>
    </w:lvl>
    <w:lvl w:ilvl="3" w:tplc="3E1C2528">
      <w:numFmt w:val="decimal"/>
      <w:lvlText w:val=""/>
      <w:lvlJc w:val="left"/>
    </w:lvl>
    <w:lvl w:ilvl="4" w:tplc="CC22B2BA">
      <w:numFmt w:val="decimal"/>
      <w:lvlText w:val=""/>
      <w:lvlJc w:val="left"/>
    </w:lvl>
    <w:lvl w:ilvl="5" w:tplc="0A0E09B4">
      <w:numFmt w:val="decimal"/>
      <w:lvlText w:val=""/>
      <w:lvlJc w:val="left"/>
    </w:lvl>
    <w:lvl w:ilvl="6" w:tplc="8684D506">
      <w:numFmt w:val="decimal"/>
      <w:lvlText w:val=""/>
      <w:lvlJc w:val="left"/>
    </w:lvl>
    <w:lvl w:ilvl="7" w:tplc="C5C6C862">
      <w:numFmt w:val="decimal"/>
      <w:lvlText w:val=""/>
      <w:lvlJc w:val="left"/>
    </w:lvl>
    <w:lvl w:ilvl="8" w:tplc="DECE1DDE">
      <w:numFmt w:val="decimal"/>
      <w:lvlText w:val=""/>
      <w:lvlJc w:val="left"/>
    </w:lvl>
  </w:abstractNum>
  <w:abstractNum w:abstractNumId="3" w15:restartNumberingAfterBreak="0">
    <w:nsid w:val="6C09690F"/>
    <w:multiLevelType w:val="hybridMultilevel"/>
    <w:tmpl w:val="7806223E"/>
    <w:lvl w:ilvl="0" w:tplc="00A89C88">
      <w:start w:val="1"/>
      <w:numFmt w:val="bullet"/>
      <w:lvlText w:val="□"/>
      <w:lvlJc w:val="left"/>
      <w:pPr>
        <w:spacing w:before="40" w:after="60"/>
        <w:ind w:left="720" w:hanging="360"/>
      </w:pPr>
    </w:lvl>
    <w:lvl w:ilvl="1" w:tplc="7766EE8A">
      <w:numFmt w:val="decimal"/>
      <w:lvlText w:val=""/>
      <w:lvlJc w:val="left"/>
    </w:lvl>
    <w:lvl w:ilvl="2" w:tplc="DB169A76">
      <w:numFmt w:val="decimal"/>
      <w:lvlText w:val=""/>
      <w:lvlJc w:val="left"/>
    </w:lvl>
    <w:lvl w:ilvl="3" w:tplc="0B4E1FC0">
      <w:numFmt w:val="decimal"/>
      <w:lvlText w:val=""/>
      <w:lvlJc w:val="left"/>
    </w:lvl>
    <w:lvl w:ilvl="4" w:tplc="80B4F6A2">
      <w:numFmt w:val="decimal"/>
      <w:lvlText w:val=""/>
      <w:lvlJc w:val="left"/>
    </w:lvl>
    <w:lvl w:ilvl="5" w:tplc="425C32EE">
      <w:numFmt w:val="decimal"/>
      <w:lvlText w:val=""/>
      <w:lvlJc w:val="left"/>
    </w:lvl>
    <w:lvl w:ilvl="6" w:tplc="349498BA">
      <w:numFmt w:val="decimal"/>
      <w:lvlText w:val=""/>
      <w:lvlJc w:val="left"/>
    </w:lvl>
    <w:lvl w:ilvl="7" w:tplc="9B9C5D4C">
      <w:numFmt w:val="decimal"/>
      <w:lvlText w:val=""/>
      <w:lvlJc w:val="left"/>
    </w:lvl>
    <w:lvl w:ilvl="8" w:tplc="9DC4DA4A">
      <w:numFmt w:val="decimal"/>
      <w:lvlText w:val=""/>
      <w:lvlJc w:val="left"/>
    </w:lvl>
  </w:abstractNum>
  <w:num w:numId="1" w16cid:durableId="1825782258">
    <w:abstractNumId w:val="0"/>
    <w:lvlOverride w:ilvl="0">
      <w:startOverride w:val="1"/>
    </w:lvlOverride>
  </w:num>
  <w:num w:numId="2" w16cid:durableId="1694302332">
    <w:abstractNumId w:val="1"/>
    <w:lvlOverride w:ilvl="0">
      <w:startOverride w:val="1"/>
    </w:lvlOverride>
  </w:num>
  <w:num w:numId="3" w16cid:durableId="1793208218">
    <w:abstractNumId w:val="2"/>
    <w:lvlOverride w:ilvl="0">
      <w:startOverride w:val="1"/>
    </w:lvlOverride>
  </w:num>
  <w:num w:numId="4" w16cid:durableId="44742845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02E"/>
    <w:rsid w:val="003E602E"/>
    <w:rsid w:val="00815052"/>
    <w:rsid w:val="0092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2A2642"/>
  <w15:docId w15:val="{98E6E16E-2821-F946-A473-352DF15E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E4D58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C0B"/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customStyle="1" w:styleId="s1">
    <w:name w:val="s1"/>
    <w:basedOn w:val="Fuentedeprrafopredeter"/>
    <w:rsid w:val="00925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2711</Words>
  <Characters>14916</Characters>
  <Application>Microsoft Office Word</Application>
  <DocSecurity>0</DocSecurity>
  <Lines>124</Lines>
  <Paragraphs>35</Paragraphs>
  <ScaleCrop>false</ScaleCrop>
  <Company/>
  <LinksUpToDate>false</LinksUpToDate>
  <CharactersWithSpaces>17592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Especialista de Negocios Verdes</cp:lastModifiedBy>
  <cp:revision>2</cp:revision>
  <dcterms:created xsi:type="dcterms:W3CDTF">2026-03-06T18:59:00Z</dcterms:created>
  <dcterms:modified xsi:type="dcterms:W3CDTF">2026-03-06T18:59:00Z</dcterms:modified>
</cp:coreProperties>
</file>