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A7052" w:val="clear"/>
        <w:spacing w:before="0" w:after="0"/>
        <w:ind w:left="480"/>
      </w:pPr>
      <w:r>
        <w:rPr>
          <w:rFonts w:ascii="Arial" w:cs="Arial" w:eastAsia="Arial" w:hAnsi="Arial"/>
          <w:b/>
          <w:bCs/>
          <w:caps/>
          <w:color w:val="FFFFFF"/>
          <w:spacing w:val="200"/>
          <w:sz w:val="20"/>
          <w:szCs w:val="20"/>
        </w:rPr>
        <w:t xml:space="preserve">BIOIMPACTO</w:t>
      </w:r>
    </w:p>
    <w:p>
      <w:pPr>
        <w:shd w:fill="DA7052" w:val="clear"/>
        <w:spacing w:before="0" w:after="0"/>
        <w:ind w:left="480"/>
      </w:pPr>
      <w:r>
        <w:rPr>
          <w:rFonts w:ascii="Arial" w:cs="Arial" w:eastAsia="Arial" w:hAnsi="Arial"/>
          <w:color w:val="FFFFFF"/>
          <w:sz w:val="16"/>
          <w:szCs w:val="16"/>
        </w:rPr>
        <w:t xml:space="preserve">Línea de impacto climático y carbono — Biodiversal SAS BIC</w:t>
      </w:r>
    </w:p>
    <w:p>
      <w:pPr>
        <w:shd w:fill="3E4D58" w:val="clear"/>
        <w:spacing w:before="0" w:after="0"/>
      </w:pPr>
      <w:r>
        <w:t xml:space="preserve"/>
      </w:r>
    </w:p>
    <w:p>
      <w:pPr>
        <w:shd w:fill="3E4D58" w:val="clear"/>
        <w:spacing w:before="0" w:after="0"/>
      </w:pPr>
      <w:r>
        <w:t xml:space="preserve"/>
      </w:r>
    </w:p>
    <w:p>
      <w:pPr>
        <w:shd w:fill="3E4D58" w:val="clear"/>
        <w:spacing w:before="0" w:after="0"/>
      </w:pPr>
      <w:r>
        <w:t xml:space="preserve"/>
      </w:r>
    </w:p>
    <w:p>
      <w:pPr>
        <w:shd w:fill="3E4D58" w:val="clear"/>
        <w:spacing w:before="600" w:after="0"/>
        <w:ind w:left="480"/>
        <w:jc w:val="left"/>
      </w:pPr>
      <w:r>
        <w:rPr>
          <w:rFonts w:ascii="Georgia" w:cs="Georgia" w:eastAsia="Georgia" w:hAnsi="Georgia"/>
          <w:b/>
          <w:bCs/>
          <w:color w:val="FFFFFF"/>
          <w:sz w:val="72"/>
          <w:szCs w:val="72"/>
        </w:rPr>
        <w:t xml:space="preserve">Plan de Formación</w:t>
      </w:r>
    </w:p>
    <w:p>
      <w:pPr>
        <w:shd w:fill="3E4D58" w:val="clear"/>
        <w:spacing w:before="0" w:after="0"/>
        <w:ind w:left="480"/>
        <w:jc w:val="left"/>
      </w:pPr>
      <w:r>
        <w:rPr>
          <w:rFonts w:ascii="Georgia" w:cs="Georgia" w:eastAsia="Georgia" w:hAnsi="Georgia"/>
          <w:b/>
          <w:bCs/>
          <w:color w:val="DA7052"/>
          <w:sz w:val="72"/>
          <w:szCs w:val="72"/>
        </w:rPr>
        <w:t xml:space="preserve">para Extensionistas</w:t>
      </w:r>
    </w:p>
    <w:p>
      <w:pPr>
        <w:shd w:fill="3E4D58" w:val="clear"/>
        <w:spacing w:before="180" w:after="0"/>
        <w:ind w:left="480"/>
      </w:pPr>
      <w:r>
        <w:rPr>
          <w:rFonts w:ascii="Georgia" w:cs="Georgia" w:eastAsia="Georgia" w:hAnsi="Georgia"/>
          <w:i/>
          <w:iCs/>
          <w:color w:val="BDE0D6"/>
          <w:sz w:val="30"/>
          <w:szCs w:val="30"/>
        </w:rPr>
        <w:t xml:space="preserve">Proyecto Coffee Biochar</w:t>
      </w:r>
    </w:p>
    <w:p>
      <w:pPr>
        <w:pBdr>
          <w:bottom w:val="single" w:color="DA7052" w:sz="12"/>
        </w:pBdr>
        <w:shd w:fill="3E4D58" w:val="clear"/>
        <w:spacing w:before="320" w:after="0"/>
        <w:ind w:left="480"/>
      </w:pPr>
      <w:r>
        <w:t xml:space="preserve"/>
      </w:r>
    </w:p>
    <w:p>
      <w:pPr>
        <w:shd w:fill="3E4D58" w:val="clear"/>
        <w:spacing w:before="200" w:after="0"/>
        <w:ind w:left="480"/>
      </w:pPr>
      <w:r>
        <w:rPr>
          <w:rFonts w:ascii="Arial" w:cs="Arial" w:eastAsia="Arial" w:hAnsi="Arial"/>
          <w:i/>
          <w:iCs/>
          <w:color w:val="CDC4B4"/>
          <w:sz w:val="20"/>
          <w:szCs w:val="20"/>
        </w:rPr>
        <w:t xml:space="preserve">Transformando la Zoca en Biochar — Transformando extensionistas en líderes de territorio</w:t>
      </w:r>
    </w:p>
    <w:p>
      <w:pPr>
        <w:shd w:fill="3E4D58" w:val="clear"/>
        <w:spacing w:before="0" w:after="0"/>
      </w:pPr>
      <w:r>
        <w:t xml:space="preserve"/>
      </w:r>
    </w:p>
    <w:p>
      <w:pPr>
        <w:shd w:fill="3E4D58" w:val="clear"/>
        <w:spacing w:before="0" w:after="0"/>
      </w:pPr>
      <w:r>
        <w:t xml:space="preserve"/>
      </w:r>
    </w:p>
    <w:p>
      <w:pPr>
        <w:shd w:fill="3E4D58" w:val="clear"/>
        <w:spacing w:before="0" w:after="0"/>
      </w:pPr>
      <w:r>
        <w:t xml:space="preserve"/>
      </w:r>
    </w:p>
    <w:p>
      <w:pPr>
        <w:shd w:fill="3E4D58" w:val="clear"/>
        <w:spacing w:before="0" w:after="0"/>
        <w:ind w:left="480"/>
        <w:jc w:val="left"/>
      </w:pPr>
      <w:r>
        <w:rPr>
          <w:rFonts w:ascii="Arial" w:cs="Arial" w:eastAsia="Arial" w:hAnsi="Arial"/>
          <w:color w:val="6B6B6B"/>
          <w:sz w:val="18"/>
          <w:szCs w:val="18"/>
        </w:rPr>
        <w:t xml:space="preserve">Biodiversal SAS BIC  ×  Cirkular Agro   |   Versión 1.0  —  2025</w:t>
      </w:r>
    </w:p>
    <w:p>
      <w:pPr>
        <w:shd w:fill="CDC4B4" w:val="clear"/>
        <w:spacing w:before="240" w:after="0"/>
      </w:pPr>
      <w:r>
        <w:t xml:space="preserve"/>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1. Introducción</w:t>
      </w:r>
    </w:p>
    <w:p>
      <w:pPr>
        <w:shd w:fill="3E4D58" w:val="clear"/>
        <w:spacing w:before="0" w:after="240"/>
        <w:ind w:left="240" w:right="240"/>
      </w:pPr>
      <w:r>
        <w:rPr>
          <w:rFonts w:ascii="Arial" w:cs="Arial" w:eastAsia="Arial" w:hAnsi="Arial"/>
          <w:color w:val="FFFFFF"/>
          <w:sz w:val="18"/>
          <w:szCs w:val="18"/>
        </w:rPr>
        <w:t xml:space="preserve">Por qué este plan existe y qué busca lograr</w:t>
      </w:r>
    </w:p>
    <w:p>
      <w:pPr>
        <w:spacing w:before="80" w:after="80"/>
      </w:pPr>
      <w:r>
        <w:rPr>
          <w:rFonts w:ascii="Arial" w:cs="Arial" w:eastAsia="Arial" w:hAnsi="Arial"/>
          <w:color w:val="1A1A1A"/>
          <w:sz w:val="22"/>
          <w:szCs w:val="22"/>
        </w:rPr>
        <w:t xml:space="preserve">El Proyecto Coffee Biochar, operado por Biodiversal SAS BIC dentro de la línea de negocio Bioimpacto, en alianza con Cirkular Agro, transforma la biomasa de la zoca del café en biochar usando hornos de pirólisis Kon-Tiki. El biochar producido se aplica al suelo y genera créditos de remoción de carbono verificados bajo el estándar Global Artisan C-Sink, los cuales se comercializan en el mercado voluntario de carbono.</w:t>
      </w:r>
    </w:p>
    <w:p>
      <w:pPr>
        <w:spacing w:before="80" w:after="80"/>
      </w:pPr>
      <w:r>
        <w:rPr>
          <w:rFonts w:ascii="Arial" w:cs="Arial" w:eastAsia="Arial" w:hAnsi="Arial"/>
          <w:color w:val="1A1A1A"/>
          <w:sz w:val="22"/>
          <w:szCs w:val="22"/>
        </w:rPr>
        <w:t xml:space="preserve">El extensionista es el actor más crítico del modelo: es el vínculo entre el protocolo técnico y el productor en campo. Su comprensión del proyecto, su disciplina operativa y su capacidad de relacionamiento determinan en gran medida si los KPIs se cumplen. Y cuando los KPIs se cumplen, la tasa de interés del financiamiento vinculado a impacto (Incofin Investment Management) baja — lo que se traduce directamente en mayor ingreso para los agricultores.</w:t>
      </w:r>
    </w:p>
    <w:p>
      <w:pPr>
        <w:pBdr>
          <w:left w:val="single" w:color="DA7052" w:sz="16"/>
        </w:pBdr>
        <w:shd w:fill="FAF0EC" w:val="clear"/>
        <w:spacing w:before="140" w:after="140"/>
        <w:ind w:left="240" w:right="240"/>
      </w:pPr>
      <w:r>
        <w:rPr>
          <w:rFonts w:ascii="Arial" w:cs="Arial" w:eastAsia="Arial" w:hAnsi="Arial"/>
          <w:i w:val="false"/>
          <w:iCs w:val="false"/>
          <w:color w:val="5C2B18"/>
          <w:sz w:val="22"/>
          <w:szCs w:val="22"/>
        </w:rPr>
        <w:t xml:space="preserve">Este plan de formación convierte al extensionista en un profesional capaz de entender el por qué profundo del proyecto, dominar la técnica de producción, defender con autoridad los beneficios agronómicos del biochar, garantizar la integridad de los datos y acompañar a los productores con habilidades humanas sólidas.</w:t>
      </w:r>
    </w:p>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1.1 Principios pedagógicos del plan</w:t>
      </w:r>
    </w:p>
    <w:p>
      <w:pPr>
        <w:spacing w:before="80" w:after="80"/>
      </w:pPr>
      <w:r>
        <w:rPr>
          <w:rFonts w:ascii="Arial" w:cs="Arial" w:eastAsia="Arial" w:hAnsi="Arial"/>
          <w:color w:val="1A1A1A"/>
          <w:sz w:val="22"/>
          <w:szCs w:val="22"/>
        </w:rPr>
        <w:t xml:space="preserve">El plan está diseñado considerando que el equipo de extensionistas tiene perfiles mixtos: técnicos o tecnólogos agropecuarios con experiencia en campo, y egresados recientes o estudiantes de último semestre de agronomía. Por ello, cada módulo parte de fundamentos conceptuales claros antes de avanzar hacia la aplicación práctica.</w:t>
      </w:r>
    </w:p>
    <w:p>
      <w:pPr>
        <w:pStyle w:val="ListParagraph"/>
        <w:numPr>
          <w:ilvl w:val="0"/>
          <w:numId w:val="2"/>
        </w:numPr>
        <w:spacing w:before="40" w:after="40"/>
      </w:pPr>
      <w:r>
        <w:rPr>
          <w:rFonts w:ascii="Arial" w:cs="Arial" w:eastAsia="Arial" w:hAnsi="Arial"/>
          <w:b/>
          <w:bCs/>
          <w:color w:val="DA7052"/>
          <w:sz w:val="22"/>
          <w:szCs w:val="22"/>
        </w:rPr>
        <w:t xml:space="preserve">Secuencia lógica: </w:t>
      </w:r>
      <w:r>
        <w:rPr>
          <w:rFonts w:ascii="Arial" w:cs="Arial" w:eastAsia="Arial" w:hAnsi="Arial"/>
          <w:color w:val="1A1A1A"/>
          <w:sz w:val="22"/>
          <w:szCs w:val="22"/>
        </w:rPr>
        <w:t xml:space="preserve">Primero el por qué, luego el cómo.</w:t>
      </w:r>
    </w:p>
    <w:p>
      <w:pPr>
        <w:pStyle w:val="ListParagraph"/>
        <w:numPr>
          <w:ilvl w:val="0"/>
          <w:numId w:val="2"/>
        </w:numPr>
        <w:spacing w:before="40" w:after="40"/>
      </w:pPr>
      <w:r>
        <w:rPr>
          <w:rFonts w:ascii="Arial" w:cs="Arial" w:eastAsia="Arial" w:hAnsi="Arial"/>
          <w:b/>
          <w:bCs/>
          <w:color w:val="DA7052"/>
          <w:sz w:val="22"/>
          <w:szCs w:val="22"/>
        </w:rPr>
        <w:t xml:space="preserve">Contextualización: </w:t>
      </w:r>
      <w:r>
        <w:rPr>
          <w:rFonts w:ascii="Arial" w:cs="Arial" w:eastAsia="Arial" w:hAnsi="Arial"/>
          <w:color w:val="1A1A1A"/>
          <w:sz w:val="22"/>
          <w:szCs w:val="22"/>
        </w:rPr>
        <w:t xml:space="preserve">Todos los módulos incluyen casos reales del proyecto (Cluster 1 Ataco y Cluster 2 Huila).</w:t>
      </w:r>
    </w:p>
    <w:p>
      <w:pPr>
        <w:pStyle w:val="ListParagraph"/>
        <w:numPr>
          <w:ilvl w:val="0"/>
          <w:numId w:val="2"/>
        </w:numPr>
        <w:spacing w:before="40" w:after="40"/>
      </w:pPr>
      <w:r>
        <w:rPr>
          <w:rFonts w:ascii="Arial" w:cs="Arial" w:eastAsia="Arial" w:hAnsi="Arial"/>
          <w:b/>
          <w:bCs/>
          <w:color w:val="DA7052"/>
          <w:sz w:val="22"/>
          <w:szCs w:val="22"/>
        </w:rPr>
        <w:t xml:space="preserve">Formato: </w:t>
      </w:r>
      <w:r>
        <w:rPr>
          <w:rFonts w:ascii="Arial" w:cs="Arial" w:eastAsia="Arial" w:hAnsi="Arial"/>
          <w:color w:val="1A1A1A"/>
          <w:sz w:val="22"/>
          <w:szCs w:val="22"/>
        </w:rPr>
        <w:t xml:space="preserve">Módulos virtuales sincrónicos semanales de 2 a 4 horas, complementados con guías escritas descargables.</w:t>
      </w:r>
    </w:p>
    <w:p>
      <w:pPr>
        <w:pStyle w:val="ListParagraph"/>
        <w:numPr>
          <w:ilvl w:val="0"/>
          <w:numId w:val="2"/>
        </w:numPr>
        <w:spacing w:before="40" w:after="40"/>
      </w:pPr>
      <w:r>
        <w:rPr>
          <w:rFonts w:ascii="Arial" w:cs="Arial" w:eastAsia="Arial" w:hAnsi="Arial"/>
          <w:b/>
          <w:bCs/>
          <w:color w:val="DA7052"/>
          <w:sz w:val="22"/>
          <w:szCs w:val="22"/>
        </w:rPr>
        <w:t xml:space="preserve">Evaluación continua: </w:t>
      </w:r>
      <w:r>
        <w:rPr>
          <w:rFonts w:ascii="Arial" w:cs="Arial" w:eastAsia="Arial" w:hAnsi="Arial"/>
          <w:color w:val="1A1A1A"/>
          <w:sz w:val="22"/>
          <w:szCs w:val="22"/>
        </w:rPr>
        <w:t xml:space="preserve">Evaluación de 10 preguntas al final de cada módulo. Nota mínima de aprobación: 70%.</w:t>
      </w:r>
    </w:p>
    <w:p>
      <w:pPr>
        <w:pStyle w:val="ListParagraph"/>
        <w:numPr>
          <w:ilvl w:val="0"/>
          <w:numId w:val="2"/>
        </w:numPr>
        <w:spacing w:before="40" w:after="40"/>
      </w:pPr>
      <w:r>
        <w:rPr>
          <w:rFonts w:ascii="Arial" w:cs="Arial" w:eastAsia="Arial" w:hAnsi="Arial"/>
          <w:b/>
          <w:bCs/>
          <w:color w:val="DA7052"/>
          <w:sz w:val="22"/>
          <w:szCs w:val="22"/>
        </w:rPr>
        <w:t xml:space="preserve">Escalabilidad: </w:t>
      </w:r>
      <w:r>
        <w:rPr>
          <w:rFonts w:ascii="Arial" w:cs="Arial" w:eastAsia="Arial" w:hAnsi="Arial"/>
          <w:color w:val="1A1A1A"/>
          <w:sz w:val="22"/>
          <w:szCs w:val="22"/>
        </w:rPr>
        <w:t xml:space="preserve">El plan es replicable en cualquier clúster con ajustes mínimos de datos locales.</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2. Resumen Ejecutivo del Plan</w:t>
      </w:r>
    </w:p>
    <w:p>
      <w:pPr>
        <w:shd w:fill="3E4D58" w:val="clear"/>
        <w:spacing w:before="0" w:after="240"/>
        <w:ind w:left="240" w:right="240"/>
      </w:pPr>
      <w:r>
        <w:rPr>
          <w:rFonts w:ascii="Arial" w:cs="Arial" w:eastAsia="Arial" w:hAnsi="Arial"/>
          <w:color w:val="FFFFFF"/>
          <w:sz w:val="18"/>
          <w:szCs w:val="18"/>
        </w:rPr>
        <w:t xml:space="preserve">16 semanas · 6 módulos · ~34 horas de formación sincrónica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360"/>
        <w:gridCol w:w="1500"/>
        <w:gridCol w:w="1600"/>
      </w:tblGrid>
      <w:tr>
        <w:trPr>
          <w:tblHeader/>
        </w:trPr>
        <w:tc>
          <w:tcPr>
            <w:tcW w:type="dxa" w:w="3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Módulo</w:t>
            </w:r>
          </w:p>
        </w:tc>
        <w:tc>
          <w:tcPr>
            <w:tcW w:type="dxa" w:w="15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Semanas</w:t>
            </w:r>
          </w:p>
        </w:tc>
        <w:tc>
          <w:tcPr>
            <w:tcW w:type="dxa" w:w="136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Horas</w:t>
            </w:r>
          </w:p>
        </w:tc>
        <w:tc>
          <w:tcPr>
            <w:tcW w:type="dxa" w:w="15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Sesiones</w:t>
            </w:r>
          </w:p>
        </w:tc>
        <w:tc>
          <w:tcPr>
            <w:tcW w:type="dxa" w:w="16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Evaluación</w:t>
            </w:r>
          </w:p>
        </w:tc>
      </w:tr>
      <w:tr>
        <w:tc>
          <w:tcPr>
            <w:tcW w:type="dxa" w:w="34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M1 — Habilidades del extensionista rural</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 – 2</w:t>
            </w:r>
          </w:p>
        </w:tc>
        <w:tc>
          <w:tcPr>
            <w:tcW w:type="dxa" w:w="13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4 h</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2</w:t>
            </w:r>
          </w:p>
        </w:tc>
        <w:tc>
          <w:tcPr>
            <w:tcW w:type="dxa" w:w="16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Evaluación práctica</w:t>
            </w:r>
          </w:p>
        </w:tc>
      </w:tr>
      <w:tr>
        <w:tc>
          <w:tcPr>
            <w:tcW w:type="dxa" w:w="34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M2 — Fundamentos del proyecto y carbono</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 – 5</w:t>
            </w:r>
          </w:p>
        </w:tc>
        <w:tc>
          <w:tcPr>
            <w:tcW w:type="dxa" w:w="13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6 h</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w:t>
            </w:r>
          </w:p>
        </w:tc>
        <w:tc>
          <w:tcPr>
            <w:tcW w:type="dxa" w:w="16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preguntas</w:t>
            </w:r>
          </w:p>
        </w:tc>
      </w:tr>
      <w:tr>
        <w:tc>
          <w:tcPr>
            <w:tcW w:type="dxa" w:w="34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M3 — Ciencia y tecnología del biochar</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6 – 8</w:t>
            </w:r>
          </w:p>
        </w:tc>
        <w:tc>
          <w:tcPr>
            <w:tcW w:type="dxa" w:w="13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6 h</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w:t>
            </w:r>
          </w:p>
        </w:tc>
        <w:tc>
          <w:tcPr>
            <w:tcW w:type="dxa" w:w="16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preguntas</w:t>
            </w:r>
          </w:p>
        </w:tc>
      </w:tr>
      <w:tr>
        <w:tc>
          <w:tcPr>
            <w:tcW w:type="dxa" w:w="34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M4 — Bases agronómicas del suelo</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9 – 11</w:t>
            </w:r>
          </w:p>
        </w:tc>
        <w:tc>
          <w:tcPr>
            <w:tcW w:type="dxa" w:w="13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6 h</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w:t>
            </w:r>
          </w:p>
        </w:tc>
        <w:tc>
          <w:tcPr>
            <w:tcW w:type="dxa" w:w="16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preguntas</w:t>
            </w:r>
          </w:p>
        </w:tc>
      </w:tr>
      <w:tr>
        <w:tc>
          <w:tcPr>
            <w:tcW w:type="dxa" w:w="34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M5 — Beneficios agronómicos del biochar</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12 – 14</w:t>
            </w:r>
          </w:p>
        </w:tc>
        <w:tc>
          <w:tcPr>
            <w:tcW w:type="dxa" w:w="13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6 h</w:t>
            </w:r>
          </w:p>
        </w:tc>
        <w:tc>
          <w:tcPr>
            <w:tcW w:type="dxa" w:w="15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w:t>
            </w:r>
          </w:p>
        </w:tc>
        <w:tc>
          <w:tcPr>
            <w:tcW w:type="dxa" w:w="16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preguntas</w:t>
            </w:r>
          </w:p>
        </w:tc>
      </w:tr>
      <w:tr>
        <w:tc>
          <w:tcPr>
            <w:tcW w:type="dxa" w:w="34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bCs/>
                <w:color w:val="3E4D58"/>
                <w:sz w:val="20"/>
                <w:szCs w:val="20"/>
              </w:rPr>
              <w:t xml:space="preserve">M6 — Disciplina operativa y dMRV</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15 – 16</w:t>
            </w:r>
          </w:p>
        </w:tc>
        <w:tc>
          <w:tcPr>
            <w:tcW w:type="dxa" w:w="13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bCs/>
                <w:color w:val="DA7052"/>
                <w:sz w:val="20"/>
                <w:szCs w:val="20"/>
              </w:rPr>
              <w:t xml:space="preserve">6 h</w:t>
            </w:r>
          </w:p>
        </w:tc>
        <w:tc>
          <w:tcPr>
            <w:tcW w:type="dxa" w:w="15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2</w:t>
            </w:r>
          </w:p>
        </w:tc>
        <w:tc>
          <w:tcPr>
            <w:tcW w:type="dxa" w:w="16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preguntas + simulacro</w:t>
            </w:r>
          </w:p>
        </w:tc>
      </w:tr>
      <w:tr>
        <w:tc>
          <w:tcPr>
            <w:tcW w:type="dxa" w:w="3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TOTAL</w:t>
            </w:r>
          </w:p>
        </w:tc>
        <w:tc>
          <w:tcPr>
            <w:tcW w:type="dxa" w:w="15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val="false"/>
                <w:bCs w:val="false"/>
                <w:color w:val="FFFFFF"/>
                <w:sz w:val="20"/>
                <w:szCs w:val="20"/>
              </w:rPr>
              <w:t xml:space="preserve">16 semanas</w:t>
            </w:r>
          </w:p>
        </w:tc>
        <w:tc>
          <w:tcPr>
            <w:tcW w:type="dxa" w:w="1360"/>
            <w:tcBorders>
              <w:top w:val="single" w:color="BDE0D6" w:sz="2"/>
              <w:left w:val="single" w:color="BDE0D6" w:sz="2"/>
              <w:bottom w:val="single" w:color="BDE0D6" w:sz="2"/>
              <w:right w:val="single" w:color="BDE0D6" w:sz="2"/>
            </w:tcBorders>
            <w:shd w:fill="DA705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~34 h</w:t>
            </w:r>
          </w:p>
        </w:tc>
        <w:tc>
          <w:tcPr>
            <w:tcW w:type="dxa" w:w="15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val="false"/>
                <w:bCs w:val="false"/>
                <w:color w:val="FFFFFF"/>
                <w:sz w:val="20"/>
                <w:szCs w:val="20"/>
              </w:rPr>
              <w:t xml:space="preserve">16</w:t>
            </w:r>
          </w:p>
        </w:tc>
        <w:tc>
          <w:tcPr>
            <w:tcW w:type="dxa" w:w="16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w:r>
          </w:p>
        </w:tc>
      </w:tr>
    </w:tbl>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1 — Habilidades del Extensionista Rural</w:t>
      </w:r>
    </w:p>
    <w:p>
      <w:pPr>
        <w:shd w:fill="3E4D58" w:val="clear"/>
        <w:spacing w:before="0" w:after="240"/>
        <w:ind w:left="240" w:right="240"/>
      </w:pPr>
      <w:r>
        <w:rPr>
          <w:rFonts w:ascii="Arial" w:cs="Arial" w:eastAsia="Arial" w:hAnsi="Arial"/>
          <w:color w:val="FFFFFF"/>
          <w:sz w:val="18"/>
          <w:szCs w:val="18"/>
        </w:rPr>
        <w:t xml:space="preserve">Semanas 1 a 2  ·  4 horas  ·  2 sesiones + evaluación práctica en campo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sesiones — 4 horas + evaluación práctica en campo</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M1 + Evaluación práctica de visita</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 las habilidades blandas son tan críticas como las técnicas</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Desarrollar las competencias relacionales, comunicativas y de liderazgo que permiten al extensionista construir confianza con los productores, manejar situaciones difíciles en campo y mantener la disciplina profesional que el proyecto exige. El mejor técnico de campo sin estas habilidades no logra que los productores cumplan.</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1.1 — Comunicación efectiva y liderazgo en territorio (2h)</w:t>
      </w:r>
    </w:p>
    <w:p>
      <w:pPr>
        <w:pStyle w:val="ListParagraph"/>
        <w:numPr>
          <w:ilvl w:val="0"/>
          <w:numId w:val="2"/>
        </w:numPr>
        <w:spacing w:before="40" w:after="40"/>
      </w:pPr>
      <w:r>
        <w:rPr>
          <w:rFonts w:ascii="Arial" w:cs="Arial" w:eastAsia="Arial" w:hAnsi="Arial"/>
          <w:color w:val="1A1A1A"/>
          <w:sz w:val="22"/>
          <w:szCs w:val="22"/>
        </w:rPr>
        <w:t xml:space="preserve">Escucha activa: la herramienta más poderosa del extensionista rural. Cómo escuchar para entender, no para responder.</w:t>
      </w:r>
    </w:p>
    <w:p>
      <w:pPr>
        <w:pStyle w:val="ListParagraph"/>
        <w:numPr>
          <w:ilvl w:val="0"/>
          <w:numId w:val="2"/>
        </w:numPr>
        <w:spacing w:before="40" w:after="40"/>
      </w:pPr>
      <w:r>
        <w:rPr>
          <w:rFonts w:ascii="Arial" w:cs="Arial" w:eastAsia="Arial" w:hAnsi="Arial"/>
          <w:color w:val="1A1A1A"/>
          <w:sz w:val="22"/>
          <w:szCs w:val="22"/>
        </w:rPr>
        <w:t xml:space="preserve">Lenguaje no técnico: cómo traducir conceptos como 'fracción PAC', 'CIC' o 'dMRV' a lenguaje que el productor cafetero entienda e integre a su experiencia cotidiana.</w:t>
      </w:r>
    </w:p>
    <w:p>
      <w:pPr>
        <w:pStyle w:val="ListParagraph"/>
        <w:numPr>
          <w:ilvl w:val="0"/>
          <w:numId w:val="2"/>
        </w:numPr>
        <w:spacing w:before="40" w:after="40"/>
      </w:pPr>
      <w:r>
        <w:rPr>
          <w:rFonts w:ascii="Arial" w:cs="Arial" w:eastAsia="Arial" w:hAnsi="Arial"/>
          <w:color w:val="1A1A1A"/>
          <w:sz w:val="22"/>
          <w:szCs w:val="22"/>
        </w:rPr>
        <w:t xml:space="preserve">Educación práctica: adultos aprenden haciendo, no escuchando. Cómo estructurar una demostración en campo que genere aprendizaje real.</w:t>
      </w:r>
    </w:p>
    <w:p>
      <w:pPr>
        <w:pStyle w:val="ListParagraph"/>
        <w:numPr>
          <w:ilvl w:val="0"/>
          <w:numId w:val="2"/>
        </w:numPr>
        <w:spacing w:before="40" w:after="40"/>
      </w:pPr>
      <w:r>
        <w:rPr>
          <w:rFonts w:ascii="Arial" w:cs="Arial" w:eastAsia="Arial" w:hAnsi="Arial"/>
          <w:color w:val="1A1A1A"/>
          <w:sz w:val="22"/>
          <w:szCs w:val="22"/>
        </w:rPr>
        <w:t xml:space="preserve">Manejo de resistencia: el cambio de hábito (de quemar la zoca a producir biochar) es culturalmente complejo. Cómo identificar las fuentes de resistencia y trabajarlas sin confrontar.</w:t>
      </w:r>
    </w:p>
    <w:p>
      <w:pPr>
        <w:pStyle w:val="ListParagraph"/>
        <w:numPr>
          <w:ilvl w:val="0"/>
          <w:numId w:val="2"/>
        </w:numPr>
        <w:spacing w:before="40" w:after="40"/>
      </w:pPr>
      <w:r>
        <w:rPr>
          <w:rFonts w:ascii="Arial" w:cs="Arial" w:eastAsia="Arial" w:hAnsi="Arial"/>
          <w:color w:val="1A1A1A"/>
          <w:sz w:val="22"/>
          <w:szCs w:val="22"/>
        </w:rPr>
        <w:t xml:space="preserve">Construcción de confianza en comunidades rurales: consistencia, respeto por el saber previo del agricultor, cumplimiento de compromisos. La confianza se construye visita a visita.</w:t>
      </w:r>
    </w:p>
    <w:p>
      <w:pPr>
        <w:pStyle w:val="ListParagraph"/>
        <w:numPr>
          <w:ilvl w:val="0"/>
          <w:numId w:val="2"/>
        </w:numPr>
        <w:spacing w:before="40" w:after="40"/>
      </w:pPr>
      <w:r>
        <w:rPr>
          <w:rFonts w:ascii="Arial" w:cs="Arial" w:eastAsia="Arial" w:hAnsi="Arial"/>
          <w:color w:val="1A1A1A"/>
          <w:sz w:val="22"/>
          <w:szCs w:val="22"/>
        </w:rPr>
        <w:t xml:space="preserve">Manejo de conflicto: cómo actuar cuando hay tensión entre productores o con el proyecto. Cuándo escalar y a quién.</w:t>
      </w:r>
    </w:p>
    <w:p>
      <w:pPr>
        <w:pStyle w:val="Heading3"/>
        <w:spacing w:before="240" w:after="80"/>
      </w:pPr>
      <w:r>
        <w:rPr>
          <w:rFonts w:ascii="Arial" w:cs="Arial" w:eastAsia="Arial" w:hAnsi="Arial"/>
          <w:b/>
          <w:bCs/>
          <w:color w:val="50827C"/>
          <w:sz w:val="24"/>
          <w:szCs w:val="24"/>
        </w:rPr>
        <w:t xml:space="preserve">Sesión 1.2 — Disciplina profesional y seguimiento estructurado (2h)</w:t>
      </w:r>
    </w:p>
    <w:p>
      <w:pPr>
        <w:pStyle w:val="ListParagraph"/>
        <w:numPr>
          <w:ilvl w:val="0"/>
          <w:numId w:val="2"/>
        </w:numPr>
        <w:spacing w:before="40" w:after="40"/>
      </w:pPr>
      <w:r>
        <w:rPr>
          <w:rFonts w:ascii="Arial" w:cs="Arial" w:eastAsia="Arial" w:hAnsi="Arial"/>
          <w:color w:val="1A1A1A"/>
          <w:sz w:val="22"/>
          <w:szCs w:val="22"/>
        </w:rPr>
        <w:t xml:space="preserve">Gestión del tiempo en campo: cómo planificar una semana de visitas para maximizar el impacto y cubrir todos los productores del clúster.</w:t>
      </w:r>
    </w:p>
    <w:p>
      <w:pPr>
        <w:pStyle w:val="ListParagraph"/>
        <w:numPr>
          <w:ilvl w:val="0"/>
          <w:numId w:val="2"/>
        </w:numPr>
        <w:spacing w:before="40" w:after="40"/>
      </w:pPr>
      <w:r>
        <w:rPr>
          <w:rFonts w:ascii="Arial" w:cs="Arial" w:eastAsia="Arial" w:hAnsi="Arial"/>
          <w:color w:val="1A1A1A"/>
          <w:sz w:val="22"/>
          <w:szCs w:val="22"/>
        </w:rPr>
        <w:t xml:space="preserve">Estructura de una visita técnica efectiva: observación → diagnóstico → acción → registro → retroalimentación.</w:t>
      </w:r>
    </w:p>
    <w:p>
      <w:pPr>
        <w:pStyle w:val="ListParagraph"/>
        <w:numPr>
          <w:ilvl w:val="0"/>
          <w:numId w:val="2"/>
        </w:numPr>
        <w:spacing w:before="40" w:after="40"/>
      </w:pPr>
      <w:r>
        <w:rPr>
          <w:rFonts w:ascii="Arial" w:cs="Arial" w:eastAsia="Arial" w:hAnsi="Arial"/>
          <w:color w:val="1A1A1A"/>
          <w:sz w:val="22"/>
          <w:szCs w:val="22"/>
        </w:rPr>
        <w:t xml:space="preserve">Seguimiento estructurado: cómo llevar un registro de estado de cada productor (producción, aplicación, datos en app, cumplimiento de compromisos).</w:t>
      </w:r>
    </w:p>
    <w:p>
      <w:pPr>
        <w:pStyle w:val="ListParagraph"/>
        <w:numPr>
          <w:ilvl w:val="0"/>
          <w:numId w:val="2"/>
        </w:numPr>
        <w:spacing w:before="40" w:after="40"/>
      </w:pPr>
      <w:r>
        <w:rPr>
          <w:rFonts w:ascii="Arial" w:cs="Arial" w:eastAsia="Arial" w:hAnsi="Arial"/>
          <w:color w:val="1A1A1A"/>
          <w:sz w:val="22"/>
          <w:szCs w:val="22"/>
        </w:rPr>
        <w:t xml:space="preserve">Cultura de cumplimiento: el extensionista modela la disciplina que espera del productor. Si el extensionista no registra a tiempo, el productor no registra a tiempo.</w:t>
      </w:r>
    </w:p>
    <w:p>
      <w:pPr>
        <w:pStyle w:val="ListParagraph"/>
        <w:numPr>
          <w:ilvl w:val="0"/>
          <w:numId w:val="2"/>
        </w:numPr>
        <w:spacing w:before="40" w:after="40"/>
      </w:pPr>
      <w:r>
        <w:rPr>
          <w:rFonts w:ascii="Arial" w:cs="Arial" w:eastAsia="Arial" w:hAnsi="Arial"/>
          <w:color w:val="1A1A1A"/>
          <w:sz w:val="22"/>
          <w:szCs w:val="22"/>
        </w:rPr>
        <w:t xml:space="preserve">Cómo dar retroalimentación constructiva al productor que no está cumpliendo los KPIs: sin señalar, sin confrontar, con soluciones concretas.</w:t>
      </w:r>
    </w:p>
    <w:p>
      <w:pPr>
        <w:pStyle w:val="ListParagraph"/>
        <w:numPr>
          <w:ilvl w:val="0"/>
          <w:numId w:val="2"/>
        </w:numPr>
        <w:spacing w:before="40" w:after="40"/>
      </w:pPr>
      <w:r>
        <w:rPr>
          <w:rFonts w:ascii="Arial" w:cs="Arial" w:eastAsia="Arial" w:hAnsi="Arial"/>
          <w:color w:val="1A1A1A"/>
          <w:sz w:val="22"/>
          <w:szCs w:val="22"/>
        </w:rPr>
        <w:t xml:space="preserve">Gestión de KPIs propios: el extensionista debe saber en todo momento cuál es el estado de su clúster vs. los targets del período.</w:t>
      </w:r>
    </w:p>
    <w:p>
      <w:pPr>
        <w:pStyle w:val="ListParagraph"/>
        <w:numPr>
          <w:ilvl w:val="0"/>
          <w:numId w:val="2"/>
        </w:numPr>
        <w:spacing w:before="40" w:after="40"/>
      </w:pPr>
      <w:r>
        <w:rPr>
          <w:rFonts w:ascii="Arial" w:cs="Arial" w:eastAsia="Arial" w:hAnsi="Arial"/>
          <w:color w:val="1A1A1A"/>
          <w:sz w:val="22"/>
          <w:szCs w:val="22"/>
        </w:rPr>
        <w:t xml:space="preserve">Escalamiento de alertas tempranas: cuándo y cómo reportar al coordinador situaciones que el extensionista no puede resolver solo.</w:t>
      </w:r>
    </w:p>
    <w:p>
      <w:pPr>
        <w:pStyle w:val="ListParagraph"/>
        <w:numPr>
          <w:ilvl w:val="0"/>
          <w:numId w:val="2"/>
        </w:numPr>
        <w:spacing w:before="40" w:after="40"/>
      </w:pPr>
      <w:r>
        <w:rPr>
          <w:rFonts w:ascii="Arial" w:cs="Arial" w:eastAsia="Arial" w:hAnsi="Arial"/>
          <w:color w:val="1A1A1A"/>
          <w:sz w:val="22"/>
          <w:szCs w:val="22"/>
        </w:rPr>
        <w:t xml:space="preserve">Ética e integridad: el extensionista representa a Biodiversal. Confidencialidad de la información, honestidad en el reporte, manejo de situaciones de conflicto de interés.</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Role-play: dos extensionistas simulan una visita técnica completa. El resto del grupo observa y da retroalimentación usando la guía de evaluación de visita.</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práctica — Módulo 1</w:t>
      </w:r>
    </w:p>
    <w:p>
      <w:pPr>
        <w:spacing w:before="80" w:after="80"/>
      </w:pPr>
      <w:r>
        <w:rPr>
          <w:rFonts w:ascii="Arial" w:cs="Arial" w:eastAsia="Arial" w:hAnsi="Arial"/>
          <w:color w:val="1A1A1A"/>
          <w:sz w:val="22"/>
          <w:szCs w:val="22"/>
        </w:rPr>
        <w:t xml:space="preserve">A los 30 días post-formación, el coordinador del clúster acompaña al extensionista en una visita técnica real y evalúa su desempeño con la rúbrica de visita técnica. Los criterios incluyen: preparación previa, calidad de la comunicación con el productor, diagnóstico técnico, registro correcto en la app y seguimiento de compromisos.</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1</w:t>
      </w:r>
    </w:p>
    <w:p>
      <w:pPr>
        <w:pStyle w:val="ListParagraph"/>
        <w:numPr>
          <w:ilvl w:val="0"/>
          <w:numId w:val="2"/>
        </w:numPr>
        <w:spacing w:before="40" w:after="40"/>
      </w:pPr>
      <w:r>
        <w:rPr>
          <w:rFonts w:ascii="Arial" w:cs="Arial" w:eastAsia="Arial" w:hAnsi="Arial"/>
          <w:color w:val="1A1A1A"/>
          <w:sz w:val="22"/>
          <w:szCs w:val="22"/>
        </w:rPr>
        <w:t xml:space="preserve">Guía escrita M1: Guía de la visita técnica al productor (estructura, preguntas clave, checklist de observación).</w:t>
      </w:r>
    </w:p>
    <w:p>
      <w:pPr>
        <w:pStyle w:val="ListParagraph"/>
        <w:numPr>
          <w:ilvl w:val="0"/>
          <w:numId w:val="2"/>
        </w:numPr>
        <w:spacing w:before="40" w:after="40"/>
      </w:pPr>
      <w:r>
        <w:rPr>
          <w:rFonts w:ascii="Arial" w:cs="Arial" w:eastAsia="Arial" w:hAnsi="Arial"/>
          <w:color w:val="1A1A1A"/>
          <w:sz w:val="22"/>
          <w:szCs w:val="22"/>
        </w:rPr>
        <w:t xml:space="preserve">Check-list de seguimiento semanal por finca.</w:t>
      </w:r>
    </w:p>
    <w:p>
      <w:pPr>
        <w:pStyle w:val="ListParagraph"/>
        <w:numPr>
          <w:ilvl w:val="0"/>
          <w:numId w:val="2"/>
        </w:numPr>
        <w:spacing w:before="40" w:after="40"/>
      </w:pPr>
      <w:r>
        <w:rPr>
          <w:rFonts w:ascii="Arial" w:cs="Arial" w:eastAsia="Arial" w:hAnsi="Arial"/>
          <w:color w:val="1A1A1A"/>
          <w:sz w:val="22"/>
          <w:szCs w:val="22"/>
        </w:rPr>
        <w:t xml:space="preserve">Rúbrica de evaluación de visita técnica (para uso del coordinador).</w:t>
      </w:r>
    </w:p>
    <w:p>
      <w:pPr>
        <w:pStyle w:val="ListParagraph"/>
        <w:numPr>
          <w:ilvl w:val="0"/>
          <w:numId w:val="2"/>
        </w:numPr>
        <w:spacing w:before="40" w:after="40"/>
      </w:pPr>
      <w:r>
        <w:rPr>
          <w:rFonts w:ascii="Arial" w:cs="Arial" w:eastAsia="Arial" w:hAnsi="Arial"/>
          <w:color w:val="1A1A1A"/>
          <w:sz w:val="22"/>
          <w:szCs w:val="22"/>
        </w:rPr>
        <w:t xml:space="preserve">Tarjeta de frases: cómo explicar el proyecto en 3 minutos al productor más escéptico.</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2 — Fundamentos del Proyecto y Carbono</w:t>
      </w:r>
    </w:p>
    <w:p>
      <w:pPr>
        <w:shd w:fill="3E4D58" w:val="clear"/>
        <w:spacing w:before="0" w:after="240"/>
        <w:ind w:left="240" w:right="240"/>
      </w:pPr>
      <w:r>
        <w:rPr>
          <w:rFonts w:ascii="Arial" w:cs="Arial" w:eastAsia="Arial" w:hAnsi="Arial"/>
          <w:color w:val="FFFFFF"/>
          <w:sz w:val="18"/>
          <w:szCs w:val="18"/>
        </w:rPr>
        <w:t xml:space="preserve">Semanas 3 a 5  ·  6 horas  ·  3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sesiones — 6 horas en total</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M2</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(técnicos y recién egresados)</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Que el extensionista comprenda el por qué profundo del proyecto antes de operar cualquier horno. Un extensionista que entiende el problema global que está ayudando a resolver transmite convicción al productor y toma decisiones más responsables en campo.</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2.1 — Cambio climático y el rol del suelo (2h)</w:t>
      </w:r>
    </w:p>
    <w:p>
      <w:pPr>
        <w:pStyle w:val="ListParagraph"/>
        <w:numPr>
          <w:ilvl w:val="0"/>
          <w:numId w:val="2"/>
        </w:numPr>
        <w:spacing w:before="40" w:after="40"/>
      </w:pPr>
      <w:r>
        <w:rPr>
          <w:rFonts w:ascii="Arial" w:cs="Arial" w:eastAsia="Arial" w:hAnsi="Arial"/>
          <w:color w:val="1A1A1A"/>
          <w:sz w:val="22"/>
          <w:szCs w:val="22"/>
        </w:rPr>
        <w:t xml:space="preserve">Qué es el efecto invernadero y por qué el CO₂ importa: cifras clave del IPCC.</w:t>
      </w:r>
    </w:p>
    <w:p>
      <w:pPr>
        <w:pStyle w:val="ListParagraph"/>
        <w:numPr>
          <w:ilvl w:val="0"/>
          <w:numId w:val="2"/>
        </w:numPr>
        <w:spacing w:before="40" w:after="40"/>
      </w:pPr>
      <w:r>
        <w:rPr>
          <w:rFonts w:ascii="Arial" w:cs="Arial" w:eastAsia="Arial" w:hAnsi="Arial"/>
          <w:color w:val="1A1A1A"/>
          <w:sz w:val="22"/>
          <w:szCs w:val="22"/>
        </w:rPr>
        <w:t xml:space="preserve">El ciclo del carbono en sistemas agrícolas: cómo el suelo puede ser sumidero o fuente de emisiones.</w:t>
      </w:r>
    </w:p>
    <w:p>
      <w:pPr>
        <w:pStyle w:val="ListParagraph"/>
        <w:numPr>
          <w:ilvl w:val="0"/>
          <w:numId w:val="2"/>
        </w:numPr>
        <w:spacing w:before="40" w:after="40"/>
      </w:pPr>
      <w:r>
        <w:rPr>
          <w:rFonts w:ascii="Arial" w:cs="Arial" w:eastAsia="Arial" w:hAnsi="Arial"/>
          <w:color w:val="1A1A1A"/>
          <w:sz w:val="22"/>
          <w:szCs w:val="22"/>
        </w:rPr>
        <w:t xml:space="preserve">Agricultura regenerativa como respuesta: de problema a solución.</w:t>
      </w:r>
    </w:p>
    <w:p>
      <w:pPr>
        <w:pStyle w:val="ListParagraph"/>
        <w:numPr>
          <w:ilvl w:val="0"/>
          <w:numId w:val="2"/>
        </w:numPr>
        <w:spacing w:before="40" w:after="40"/>
      </w:pPr>
      <w:r>
        <w:rPr>
          <w:rFonts w:ascii="Arial" w:cs="Arial" w:eastAsia="Arial" w:hAnsi="Arial"/>
          <w:color w:val="1A1A1A"/>
          <w:sz w:val="22"/>
          <w:szCs w:val="22"/>
        </w:rPr>
        <w:t xml:space="preserve">Qué es el mercado voluntario de carbono (MVC) y cómo funciona: oferta, demanda, verificación.</w:t>
      </w:r>
    </w:p>
    <w:p>
      <w:pPr>
        <w:pStyle w:val="ListParagraph"/>
        <w:numPr>
          <w:ilvl w:val="0"/>
          <w:numId w:val="2"/>
        </w:numPr>
        <w:spacing w:before="40" w:after="40"/>
      </w:pPr>
      <w:r>
        <w:rPr>
          <w:rFonts w:ascii="Arial" w:cs="Arial" w:eastAsia="Arial" w:hAnsi="Arial"/>
          <w:color w:val="1A1A1A"/>
          <w:sz w:val="22"/>
          <w:szCs w:val="22"/>
        </w:rPr>
        <w:t xml:space="preserve">Por qué Colombia y por qué el café: contexto específico del proyecto.</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Dinámica sugerida: mapa mental colectivo sobre el ciclo del carbono. El extensionista debe poder explicarlo con sus propias palabras al finalizar la sesión.</w:t>
      </w:r>
    </w:p>
    <w:p>
      <w:pPr>
        <w:pStyle w:val="Heading3"/>
        <w:spacing w:before="240" w:after="80"/>
      </w:pPr>
      <w:r>
        <w:rPr>
          <w:rFonts w:ascii="Arial" w:cs="Arial" w:eastAsia="Arial" w:hAnsi="Arial"/>
          <w:b/>
          <w:bCs/>
          <w:color w:val="50827C"/>
          <w:sz w:val="24"/>
          <w:szCs w:val="24"/>
        </w:rPr>
        <w:t xml:space="preserve">Sesión 2.2 — El modelo Coffee Biochar de inicio a fin (2h)</w:t>
      </w:r>
    </w:p>
    <w:p>
      <w:pPr>
        <w:pStyle w:val="ListParagraph"/>
        <w:numPr>
          <w:ilvl w:val="0"/>
          <w:numId w:val="2"/>
        </w:numPr>
        <w:spacing w:before="40" w:after="40"/>
      </w:pPr>
      <w:r>
        <w:rPr>
          <w:rFonts w:ascii="Arial" w:cs="Arial" w:eastAsia="Arial" w:hAnsi="Arial"/>
          <w:color w:val="1A1A1A"/>
          <w:sz w:val="22"/>
          <w:szCs w:val="22"/>
        </w:rPr>
        <w:t xml:space="preserve">Los 8 pasos del proceso: desde la comunidad de 110 hectáreas hasta el pago al productor.</w:t>
      </w:r>
    </w:p>
    <w:p>
      <w:pPr>
        <w:pStyle w:val="ListParagraph"/>
        <w:numPr>
          <w:ilvl w:val="0"/>
          <w:numId w:val="2"/>
        </w:numPr>
        <w:spacing w:before="40" w:after="40"/>
      </w:pPr>
      <w:r>
        <w:rPr>
          <w:rFonts w:ascii="Arial" w:cs="Arial" w:eastAsia="Arial" w:hAnsi="Arial"/>
          <w:color w:val="1A1A1A"/>
          <w:sz w:val="22"/>
          <w:szCs w:val="22"/>
        </w:rPr>
        <w:t xml:space="preserve">Actores y sus roles: Biodiversal (C-Sink Manager), Cirkular Agro, Planboo (dMRV), Carbon Standards International (CSI), Certifier, Incofin.</w:t>
      </w:r>
    </w:p>
    <w:p>
      <w:pPr>
        <w:pStyle w:val="ListParagraph"/>
        <w:numPr>
          <w:ilvl w:val="0"/>
          <w:numId w:val="2"/>
        </w:numPr>
        <w:spacing w:before="40" w:after="40"/>
      </w:pPr>
      <w:r>
        <w:rPr>
          <w:rFonts w:ascii="Arial" w:cs="Arial" w:eastAsia="Arial" w:hAnsi="Arial"/>
          <w:color w:val="1A1A1A"/>
          <w:sz w:val="22"/>
          <w:szCs w:val="22"/>
        </w:rPr>
        <w:t xml:space="preserve">El estándar Global Artisan C-Sink: qué certifica, qué exige y por qué es la columna vertebral del proyecto.</w:t>
      </w:r>
    </w:p>
    <w:p>
      <w:pPr>
        <w:pStyle w:val="ListParagraph"/>
        <w:numPr>
          <w:ilvl w:val="0"/>
          <w:numId w:val="2"/>
        </w:numPr>
        <w:spacing w:before="40" w:after="40"/>
      </w:pPr>
      <w:r>
        <w:rPr>
          <w:rFonts w:ascii="Arial" w:cs="Arial" w:eastAsia="Arial" w:hAnsi="Arial"/>
          <w:color w:val="1A1A1A"/>
          <w:sz w:val="22"/>
          <w:szCs w:val="22"/>
        </w:rPr>
        <w:t xml:space="preserve">Cómo se calcula un crédito de carbono: 1 tonelada de biochar aplicada al suelo = 2.1 tCO₂e removidas.</w:t>
      </w:r>
    </w:p>
    <w:p>
      <w:pPr>
        <w:pStyle w:val="ListParagraph"/>
        <w:numPr>
          <w:ilvl w:val="0"/>
          <w:numId w:val="2"/>
        </w:numPr>
        <w:spacing w:before="40" w:after="40"/>
      </w:pPr>
      <w:r>
        <w:rPr>
          <w:rFonts w:ascii="Arial" w:cs="Arial" w:eastAsia="Arial" w:hAnsi="Arial"/>
          <w:color w:val="1A1A1A"/>
          <w:sz w:val="22"/>
          <w:szCs w:val="22"/>
        </w:rPr>
        <w:t xml:space="preserve">La estructura de financiamiento vinculado a impacto: si los KPIs se cumplen, la tasa baja → el productor gana más.</w:t>
      </w:r>
    </w:p>
    <w:p>
      <w:pPr>
        <w:pStyle w:val="Heading3"/>
        <w:spacing w:before="240" w:after="80"/>
      </w:pPr>
      <w:r>
        <w:rPr>
          <w:rFonts w:ascii="Arial" w:cs="Arial" w:eastAsia="Arial" w:hAnsi="Arial"/>
          <w:b/>
          <w:bCs/>
          <w:color w:val="50827C"/>
          <w:sz w:val="24"/>
          <w:szCs w:val="24"/>
        </w:rPr>
        <w:t xml:space="preserve">Sesión 2.3 — El rol del extensionista en la integridad del carbono (2h)</w:t>
      </w:r>
    </w:p>
    <w:p>
      <w:pPr>
        <w:pStyle w:val="ListParagraph"/>
        <w:numPr>
          <w:ilvl w:val="0"/>
          <w:numId w:val="2"/>
        </w:numPr>
        <w:spacing w:before="40" w:after="40"/>
      </w:pPr>
      <w:r>
        <w:rPr>
          <w:rFonts w:ascii="Arial" w:cs="Arial" w:eastAsia="Arial" w:hAnsi="Arial"/>
          <w:color w:val="1A1A1A"/>
          <w:sz w:val="22"/>
          <w:szCs w:val="22"/>
        </w:rPr>
        <w:t xml:space="preserve">Qué significa ser C-Sink Farmer y cuál es la diferencia entre el productor y el extensionista.</w:t>
      </w:r>
    </w:p>
    <w:p>
      <w:pPr>
        <w:pStyle w:val="ListParagraph"/>
        <w:numPr>
          <w:ilvl w:val="0"/>
          <w:numId w:val="2"/>
        </w:numPr>
        <w:spacing w:before="40" w:after="40"/>
      </w:pPr>
      <w:r>
        <w:rPr>
          <w:rFonts w:ascii="Arial" w:cs="Arial" w:eastAsia="Arial" w:hAnsi="Arial"/>
          <w:color w:val="1A1A1A"/>
          <w:sz w:val="22"/>
          <w:szCs w:val="22"/>
        </w:rPr>
        <w:t xml:space="preserve">La cadena de responsabilidad: extensionista → coordinador de clúster → Director de Operaciones.</w:t>
      </w:r>
    </w:p>
    <w:p>
      <w:pPr>
        <w:pStyle w:val="ListParagraph"/>
        <w:numPr>
          <w:ilvl w:val="0"/>
          <w:numId w:val="2"/>
        </w:numPr>
        <w:spacing w:before="40" w:after="40"/>
      </w:pPr>
      <w:r>
        <w:rPr>
          <w:rFonts w:ascii="Arial" w:cs="Arial" w:eastAsia="Arial" w:hAnsi="Arial"/>
          <w:color w:val="1A1A1A"/>
          <w:sz w:val="22"/>
          <w:szCs w:val="22"/>
        </w:rPr>
        <w:t xml:space="preserve">Integridad del dato como valor fundamental: un dato falso invalida un crédito, y un crédito inválido reduce el ingreso del productor.</w:t>
      </w:r>
    </w:p>
    <w:p>
      <w:pPr>
        <w:pStyle w:val="ListParagraph"/>
        <w:numPr>
          <w:ilvl w:val="0"/>
          <w:numId w:val="2"/>
        </w:numPr>
        <w:spacing w:before="40" w:after="40"/>
      </w:pPr>
      <w:r>
        <w:rPr>
          <w:rFonts w:ascii="Arial" w:cs="Arial" w:eastAsia="Arial" w:hAnsi="Arial"/>
          <w:color w:val="1A1A1A"/>
          <w:sz w:val="22"/>
          <w:szCs w:val="22"/>
        </w:rPr>
        <w:t xml:space="preserve">Declaración de honor (no quema de residuos): qué implica legalmente y cómo el extensionista orienta al productor.</w:t>
      </w:r>
    </w:p>
    <w:p>
      <w:pPr>
        <w:pStyle w:val="ListParagraph"/>
        <w:numPr>
          <w:ilvl w:val="0"/>
          <w:numId w:val="2"/>
        </w:numPr>
        <w:spacing w:before="40" w:after="40"/>
      </w:pPr>
      <w:r>
        <w:rPr>
          <w:rFonts w:ascii="Arial" w:cs="Arial" w:eastAsia="Arial" w:hAnsi="Arial"/>
          <w:color w:val="1A1A1A"/>
          <w:sz w:val="22"/>
          <w:szCs w:val="22"/>
        </w:rPr>
        <w:t xml:space="preserve">Auditorías del CSI: qué revisan, qué pueden encontrar, cómo el extensionista contribuye a pasar una auditoría.</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Ejercicio: estudio de caso — qué pasa si un extensionista registra datos incorrectos. Consecuencias en cadena para el productor, el crédito y el proyecto.</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2</w:t>
      </w:r>
    </w:p>
    <w:p>
      <w:pPr>
        <w:pStyle w:val="ListParagraph"/>
        <w:numPr>
          <w:ilvl w:val="0"/>
          <w:numId w:val="2"/>
        </w:numPr>
        <w:spacing w:before="40" w:after="40"/>
      </w:pPr>
      <w:r>
        <w:rPr>
          <w:rFonts w:ascii="Arial" w:cs="Arial" w:eastAsia="Arial" w:hAnsi="Arial"/>
          <w:color w:val="1A1A1A"/>
          <w:sz w:val="22"/>
          <w:szCs w:val="22"/>
        </w:rPr>
        <w:t xml:space="preserve">Guía escrita M2: Mapa de actores del proyecto + Flujograma de los 8 pasos con responsables por etapa.</w:t>
      </w:r>
    </w:p>
    <w:p>
      <w:pPr>
        <w:pStyle w:val="ListParagraph"/>
        <w:numPr>
          <w:ilvl w:val="0"/>
          <w:numId w:val="2"/>
        </w:numPr>
        <w:spacing w:before="40" w:after="40"/>
      </w:pPr>
      <w:r>
        <w:rPr>
          <w:rFonts w:ascii="Arial" w:cs="Arial" w:eastAsia="Arial" w:hAnsi="Arial"/>
          <w:color w:val="1A1A1A"/>
          <w:sz w:val="22"/>
          <w:szCs w:val="22"/>
        </w:rPr>
        <w:t xml:space="preserve">Infografía: El ciclo del carbono en el cultivo de café.</w:t>
      </w:r>
    </w:p>
    <w:p>
      <w:pPr>
        <w:pStyle w:val="ListParagraph"/>
        <w:numPr>
          <w:ilvl w:val="0"/>
          <w:numId w:val="2"/>
        </w:numPr>
        <w:spacing w:before="40" w:after="40"/>
      </w:pPr>
      <w:r>
        <w:rPr>
          <w:rFonts w:ascii="Arial" w:cs="Arial" w:eastAsia="Arial" w:hAnsi="Arial"/>
          <w:color w:val="1A1A1A"/>
          <w:sz w:val="22"/>
          <w:szCs w:val="22"/>
        </w:rPr>
        <w:t xml:space="preserve">Ficha resumen: Cómo se construye un crédito de carbono paso a paso.</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 Módulo 2</w:t>
      </w:r>
    </w:p>
    <w:p>
      <w:pPr>
        <w:spacing w:before="80" w:after="80"/>
      </w:pPr>
      <w:r>
        <w:rPr>
          <w:rFonts w:ascii="Arial" w:cs="Arial" w:eastAsia="Arial" w:hAnsi="Arial"/>
          <w:color w:val="1A1A1A"/>
          <w:sz w:val="22"/>
          <w:szCs w:val="22"/>
        </w:rPr>
        <w:t xml:space="preserve">10 preguntas mixtas (conceptuales y de aplicación). Nota mínima de aprobación: 70%. Temas: ciclo del carbono, actores del proyecto, estándar C-Sink, rol del extensionista, consecuencias del dato incorrecto.</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3 — Ciencia y Tecnología del Biochar</w:t>
      </w:r>
    </w:p>
    <w:p>
      <w:pPr>
        <w:shd w:fill="3E4D58" w:val="clear"/>
        <w:spacing w:before="0" w:after="240"/>
        <w:ind w:left="240" w:right="240"/>
      </w:pPr>
      <w:r>
        <w:rPr>
          <w:rFonts w:ascii="Arial" w:cs="Arial" w:eastAsia="Arial" w:hAnsi="Arial"/>
          <w:color w:val="FFFFFF"/>
          <w:sz w:val="18"/>
          <w:szCs w:val="18"/>
        </w:rPr>
        <w:t xml:space="preserve">Semanas 6 a 8  ·  6 horas  ·  3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sesiones — 6 horas en total</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M3 + video de demostración</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con énfasis en quienes no tienen base en fisicoquímica</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Eliminar la debilidad técnica en la comprensión del proceso de producción. El extensionista debe entender qué sucede físicamente y químicamente dentro del horno Kon-Tiki, por qué las variables de proceso importan y cómo verificar la calidad del biochar producido. Sin esta base, la operación se convierte en rutina ciega.</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3.1 — Pirólisis: la ciencia detrás del biochar (2h)</w:t>
      </w:r>
    </w:p>
    <w:p>
      <w:pPr>
        <w:pStyle w:val="ListParagraph"/>
        <w:numPr>
          <w:ilvl w:val="0"/>
          <w:numId w:val="2"/>
        </w:numPr>
        <w:spacing w:before="40" w:after="40"/>
      </w:pPr>
      <w:r>
        <w:rPr>
          <w:rFonts w:ascii="Arial" w:cs="Arial" w:eastAsia="Arial" w:hAnsi="Arial"/>
          <w:color w:val="1A1A1A"/>
          <w:sz w:val="22"/>
          <w:szCs w:val="22"/>
        </w:rPr>
        <w:t xml:space="preserve">Qué es la pirólisis: degradación termoquímica de la biomasa en ausencia de oxígeno.</w:t>
      </w:r>
    </w:p>
    <w:p>
      <w:pPr>
        <w:pStyle w:val="ListParagraph"/>
        <w:numPr>
          <w:ilvl w:val="0"/>
          <w:numId w:val="2"/>
        </w:numPr>
        <w:spacing w:before="40" w:after="40"/>
      </w:pPr>
      <w:r>
        <w:rPr>
          <w:rFonts w:ascii="Arial" w:cs="Arial" w:eastAsia="Arial" w:hAnsi="Arial"/>
          <w:color w:val="1A1A1A"/>
          <w:sz w:val="22"/>
          <w:szCs w:val="22"/>
        </w:rPr>
        <w:t xml:space="preserve">Variables críticas del proceso:</w:t>
      </w:r>
    </w:p>
    <w:p>
      <w:pPr>
        <w:pStyle w:val="ListParagraph"/>
        <w:numPr>
          <w:ilvl w:val="0"/>
          <w:numId w:val="3"/>
        </w:numPr>
        <w:spacing w:before="20" w:after="20"/>
      </w:pPr>
      <w:r>
        <w:rPr>
          <w:rFonts w:ascii="Arial" w:cs="Arial" w:eastAsia="Arial" w:hAnsi="Arial"/>
          <w:color w:val="4A4A4A"/>
          <w:sz w:val="21"/>
          <w:szCs w:val="21"/>
        </w:rPr>
        <w:t xml:space="preserve">Temperatura: el Kon-Tiki alcanza más de 650°C en la zona de pirólisis activa.</w:t>
      </w:r>
    </w:p>
    <w:p>
      <w:pPr>
        <w:pStyle w:val="ListParagraph"/>
        <w:numPr>
          <w:ilvl w:val="0"/>
          <w:numId w:val="3"/>
        </w:numPr>
        <w:spacing w:before="20" w:after="20"/>
      </w:pPr>
      <w:r>
        <w:rPr>
          <w:rFonts w:ascii="Arial" w:cs="Arial" w:eastAsia="Arial" w:hAnsi="Arial"/>
          <w:color w:val="4A4A4A"/>
          <w:sz w:val="21"/>
          <w:szCs w:val="21"/>
        </w:rPr>
        <w:t xml:space="preserve">Tiempo de residencia: cuánto tiempo permanece la biomasa en la zona caliente.</w:t>
      </w:r>
    </w:p>
    <w:p>
      <w:pPr>
        <w:pStyle w:val="ListParagraph"/>
        <w:numPr>
          <w:ilvl w:val="0"/>
          <w:numId w:val="3"/>
        </w:numPr>
        <w:spacing w:before="20" w:after="20"/>
      </w:pPr>
      <w:r>
        <w:rPr>
          <w:rFonts w:ascii="Arial" w:cs="Arial" w:eastAsia="Arial" w:hAnsi="Arial"/>
          <w:color w:val="4A4A4A"/>
          <w:sz w:val="21"/>
          <w:szCs w:val="21"/>
        </w:rPr>
        <w:t xml:space="preserve">Oxígeno: la cortina de llama (flame curtain) protege la zona de pirólisis.</w:t>
      </w:r>
    </w:p>
    <w:p>
      <w:pPr>
        <w:pStyle w:val="ListParagraph"/>
        <w:numPr>
          <w:ilvl w:val="0"/>
          <w:numId w:val="2"/>
        </w:numPr>
        <w:spacing w:before="40" w:after="40"/>
      </w:pPr>
      <w:r>
        <w:rPr>
          <w:rFonts w:ascii="Arial" w:cs="Arial" w:eastAsia="Arial" w:hAnsi="Arial"/>
          <w:color w:val="1A1A1A"/>
          <w:sz w:val="22"/>
          <w:szCs w:val="22"/>
        </w:rPr>
        <w:t xml:space="preserve">Diferencia entre biochar, carbón vegetal y ceniza: por qué solo el biochar califica bajo el estándar CSI.</w:t>
      </w:r>
    </w:p>
    <w:p>
      <w:pPr>
        <w:pStyle w:val="ListParagraph"/>
        <w:numPr>
          <w:ilvl w:val="0"/>
          <w:numId w:val="2"/>
        </w:numPr>
        <w:spacing w:before="40" w:after="40"/>
      </w:pPr>
      <w:r>
        <w:rPr>
          <w:rFonts w:ascii="Arial" w:cs="Arial" w:eastAsia="Arial" w:hAnsi="Arial"/>
          <w:color w:val="1A1A1A"/>
          <w:sz w:val="22"/>
          <w:szCs w:val="22"/>
        </w:rPr>
        <w:t xml:space="preserve">Rendimiento típico del Kon-Tiki: 14 ± 3% de materia seca del feedstock se convierte en biochar.</w:t>
      </w:r>
    </w:p>
    <w:p>
      <w:pPr>
        <w:pStyle w:val="ListParagraph"/>
        <w:numPr>
          <w:ilvl w:val="0"/>
          <w:numId w:val="2"/>
        </w:numPr>
        <w:spacing w:before="40" w:after="40"/>
      </w:pPr>
      <w:r>
        <w:rPr>
          <w:rFonts w:ascii="Arial" w:cs="Arial" w:eastAsia="Arial" w:hAnsi="Arial"/>
          <w:color w:val="1A1A1A"/>
          <w:sz w:val="22"/>
          <w:szCs w:val="22"/>
        </w:rPr>
        <w:t xml:space="preserve">Emisiones del Kon-Tiki vs. quema a campo abierto: 7× menos CO, 4× menos material particulado, 33× menos NOx.</w:t>
      </w:r>
    </w:p>
    <w:p>
      <w:pPr>
        <w:pStyle w:val="Heading3"/>
        <w:spacing w:before="240" w:after="80"/>
      </w:pPr>
      <w:r>
        <w:rPr>
          <w:rFonts w:ascii="Arial" w:cs="Arial" w:eastAsia="Arial" w:hAnsi="Arial"/>
          <w:b/>
          <w:bCs/>
          <w:color w:val="50827C"/>
          <w:sz w:val="24"/>
          <w:szCs w:val="24"/>
        </w:rPr>
        <w:t xml:space="preserve">Sesión 3.2 — Estabilidad del carbono y persistencia en suelo (2h)</w:t>
      </w:r>
    </w:p>
    <w:p>
      <w:pPr>
        <w:pStyle w:val="ListParagraph"/>
        <w:numPr>
          <w:ilvl w:val="0"/>
          <w:numId w:val="2"/>
        </w:numPr>
        <w:spacing w:before="40" w:after="40"/>
      </w:pPr>
      <w:r>
        <w:rPr>
          <w:rFonts w:ascii="Arial" w:cs="Arial" w:eastAsia="Arial" w:hAnsi="Arial"/>
          <w:color w:val="1A1A1A"/>
          <w:sz w:val="22"/>
          <w:szCs w:val="22"/>
        </w:rPr>
        <w:t xml:space="preserve">Fracción PAC (Carbono Aromático Persistente): persiste más de 1,000 años en suelo. En biochar Kon-Tiki: mínimo 75%.</w:t>
      </w:r>
    </w:p>
    <w:p>
      <w:pPr>
        <w:pStyle w:val="ListParagraph"/>
        <w:numPr>
          <w:ilvl w:val="0"/>
          <w:numId w:val="2"/>
        </w:numPr>
        <w:spacing w:before="40" w:after="40"/>
      </w:pPr>
      <w:r>
        <w:rPr>
          <w:rFonts w:ascii="Arial" w:cs="Arial" w:eastAsia="Arial" w:hAnsi="Arial"/>
          <w:color w:val="1A1A1A"/>
          <w:sz w:val="22"/>
          <w:szCs w:val="22"/>
        </w:rPr>
        <w:t xml:space="preserve">Fracción SPC (Carbono Semi-Persistente): se degrada en los primeros 1,000 años. Vida media: ~50 años. Constituye el 25% restante.</w:t>
      </w:r>
    </w:p>
    <w:p>
      <w:pPr>
        <w:pStyle w:val="ListParagraph"/>
        <w:numPr>
          <w:ilvl w:val="0"/>
          <w:numId w:val="2"/>
        </w:numPr>
        <w:spacing w:before="40" w:after="40"/>
      </w:pPr>
      <w:r>
        <w:rPr>
          <w:rFonts w:ascii="Arial" w:cs="Arial" w:eastAsia="Arial" w:hAnsi="Arial"/>
          <w:color w:val="1A1A1A"/>
          <w:sz w:val="22"/>
          <w:szCs w:val="22"/>
        </w:rPr>
        <w:t xml:space="preserve">Por qué la ratio H/C es el indicador clave de estabilidad: H/C &lt; 0.4 garantiza PAC ≥ 75%.</w:t>
      </w:r>
    </w:p>
    <w:p>
      <w:pPr>
        <w:pStyle w:val="ListParagraph"/>
        <w:numPr>
          <w:ilvl w:val="0"/>
          <w:numId w:val="2"/>
        </w:numPr>
        <w:spacing w:before="40" w:after="40"/>
      </w:pPr>
      <w:r>
        <w:rPr>
          <w:rFonts w:ascii="Arial" w:cs="Arial" w:eastAsia="Arial" w:hAnsi="Arial"/>
          <w:color w:val="1A1A1A"/>
          <w:sz w:val="22"/>
          <w:szCs w:val="22"/>
        </w:rPr>
        <w:t xml:space="preserve">Qué pasa con el carbono del biochar en el suelo a largo plazo: importancia para la integridad del crédito de carbono a 10 años.</w:t>
      </w:r>
    </w:p>
    <w:p>
      <w:pPr>
        <w:pStyle w:val="ListParagraph"/>
        <w:numPr>
          <w:ilvl w:val="0"/>
          <w:numId w:val="2"/>
        </w:numPr>
        <w:spacing w:before="40" w:after="40"/>
      </w:pPr>
      <w:r>
        <w:rPr>
          <w:rFonts w:ascii="Arial" w:cs="Arial" w:eastAsia="Arial" w:hAnsi="Arial"/>
          <w:color w:val="1A1A1A"/>
          <w:sz w:val="22"/>
          <w:szCs w:val="22"/>
        </w:rPr>
        <w:t xml:space="preserve">Biomasa elegible: criterios de calidad de la zoca del café (humedad, ausencia de contaminantes, tamaño de partícula).</w:t>
      </w:r>
    </w:p>
    <w:p>
      <w:pPr>
        <w:pStyle w:val="Heading3"/>
        <w:spacing w:before="240" w:after="80"/>
      </w:pPr>
      <w:r>
        <w:rPr>
          <w:rFonts w:ascii="Arial" w:cs="Arial" w:eastAsia="Arial" w:hAnsi="Arial"/>
          <w:b/>
          <w:bCs/>
          <w:color w:val="50827C"/>
          <w:sz w:val="24"/>
          <w:szCs w:val="24"/>
        </w:rPr>
        <w:t xml:space="preserve">Sesión 3.3 — Caracterización básica del biochar y riesgos operativos (2h)</w:t>
      </w:r>
    </w:p>
    <w:p>
      <w:pPr>
        <w:pStyle w:val="ListParagraph"/>
        <w:numPr>
          <w:ilvl w:val="0"/>
          <w:numId w:val="2"/>
        </w:numPr>
        <w:spacing w:before="40" w:after="40"/>
      </w:pPr>
      <w:r>
        <w:rPr>
          <w:rFonts w:ascii="Arial" w:cs="Arial" w:eastAsia="Arial" w:hAnsi="Arial"/>
          <w:color w:val="1A1A1A"/>
          <w:sz w:val="22"/>
          <w:szCs w:val="22"/>
        </w:rPr>
        <w:t xml:space="preserve">Los 5 parámetros básicos que el extensionista debe conocer e interpretar:</w:t>
      </w:r>
    </w:p>
    <w:p>
      <w:pPr>
        <w:pStyle w:val="ListParagraph"/>
        <w:numPr>
          <w:ilvl w:val="0"/>
          <w:numId w:val="3"/>
        </w:numPr>
        <w:spacing w:before="20" w:after="20"/>
      </w:pPr>
      <w:r>
        <w:rPr>
          <w:rFonts w:ascii="Arial" w:cs="Arial" w:eastAsia="Arial" w:hAnsi="Arial"/>
          <w:color w:val="4A4A4A"/>
          <w:sz w:val="21"/>
          <w:szCs w:val="21"/>
        </w:rPr>
        <w:t xml:space="preserve">Moisture (humedad): biochar húmedo pesa más pero no sequestra más. Afecta el cálculo del crédito.</w:t>
      </w:r>
    </w:p>
    <w:p>
      <w:pPr>
        <w:pStyle w:val="ListParagraph"/>
        <w:numPr>
          <w:ilvl w:val="0"/>
          <w:numId w:val="3"/>
        </w:numPr>
        <w:spacing w:before="20" w:after="20"/>
      </w:pPr>
      <w:r>
        <w:rPr>
          <w:rFonts w:ascii="Arial" w:cs="Arial" w:eastAsia="Arial" w:hAnsi="Arial"/>
          <w:color w:val="4A4A4A"/>
          <w:sz w:val="21"/>
          <w:szCs w:val="21"/>
        </w:rPr>
        <w:t xml:space="preserve">Ash 550°C (cenizas): indicador de la cantidad de mineral inorgánico. Varía según biomasa.</w:t>
      </w:r>
    </w:p>
    <w:p>
      <w:pPr>
        <w:pStyle w:val="ListParagraph"/>
        <w:numPr>
          <w:ilvl w:val="0"/>
          <w:numId w:val="3"/>
        </w:numPr>
        <w:spacing w:before="20" w:after="20"/>
      </w:pPr>
      <w:r>
        <w:rPr>
          <w:rFonts w:ascii="Arial" w:cs="Arial" w:eastAsia="Arial" w:hAnsi="Arial"/>
          <w:color w:val="4A4A4A"/>
          <w:sz w:val="21"/>
          <w:szCs w:val="21"/>
        </w:rPr>
        <w:t xml:space="preserve">Carbon (C%): contenido de carbono orgánico total. En biochar de buena calidad: &gt;82%.</w:t>
      </w:r>
    </w:p>
    <w:p>
      <w:pPr>
        <w:pStyle w:val="ListParagraph"/>
        <w:numPr>
          <w:ilvl w:val="0"/>
          <w:numId w:val="3"/>
        </w:numPr>
        <w:spacing w:before="20" w:after="20"/>
      </w:pPr>
      <w:r>
        <w:rPr>
          <w:rFonts w:ascii="Arial" w:cs="Arial" w:eastAsia="Arial" w:hAnsi="Arial"/>
          <w:color w:val="4A4A4A"/>
          <w:sz w:val="21"/>
          <w:szCs w:val="21"/>
        </w:rPr>
        <w:t xml:space="preserve">Bulk Density (densidad aparente): relevante para calcular dosis de aplicación por hectárea.</w:t>
      </w:r>
    </w:p>
    <w:p>
      <w:pPr>
        <w:pStyle w:val="ListParagraph"/>
        <w:numPr>
          <w:ilvl w:val="0"/>
          <w:numId w:val="3"/>
        </w:numPr>
        <w:spacing w:before="20" w:after="20"/>
      </w:pPr>
      <w:r>
        <w:rPr>
          <w:rFonts w:ascii="Arial" w:cs="Arial" w:eastAsia="Arial" w:hAnsi="Arial"/>
          <w:color w:val="4A4A4A"/>
          <w:sz w:val="21"/>
          <w:szCs w:val="21"/>
        </w:rPr>
        <w:t xml:space="preserve">pH: el biochar de Kon-Tiki es generalmente alcalino. Importa para decidir dosis en suelos con pH específico.</w:t>
      </w:r>
    </w:p>
    <w:p>
      <w:pPr>
        <w:pStyle w:val="ListParagraph"/>
        <w:numPr>
          <w:ilvl w:val="0"/>
          <w:numId w:val="2"/>
        </w:numPr>
        <w:spacing w:before="40" w:after="40"/>
      </w:pPr>
      <w:r>
        <w:rPr>
          <w:rFonts w:ascii="Arial" w:cs="Arial" w:eastAsia="Arial" w:hAnsi="Arial"/>
          <w:color w:val="1A1A1A"/>
          <w:sz w:val="22"/>
          <w:szCs w:val="22"/>
        </w:rPr>
        <w:t xml:space="preserve">Riesgos operativos más comunes:</w:t>
      </w:r>
    </w:p>
    <w:p>
      <w:pPr>
        <w:pStyle w:val="ListParagraph"/>
        <w:numPr>
          <w:ilvl w:val="0"/>
          <w:numId w:val="3"/>
        </w:numPr>
        <w:spacing w:before="20" w:after="20"/>
      </w:pPr>
      <w:r>
        <w:rPr>
          <w:rFonts w:ascii="Arial" w:cs="Arial" w:eastAsia="Arial" w:hAnsi="Arial"/>
          <w:color w:val="4A4A4A"/>
          <w:sz w:val="21"/>
          <w:szCs w:val="21"/>
        </w:rPr>
        <w:t xml:space="preserve">Quench insuficiente: biochar que sigue ardiendo = pérdida de producción y riesgo de incendio.</w:t>
      </w:r>
    </w:p>
    <w:p>
      <w:pPr>
        <w:pStyle w:val="ListParagraph"/>
        <w:numPr>
          <w:ilvl w:val="0"/>
          <w:numId w:val="3"/>
        </w:numPr>
        <w:spacing w:before="20" w:after="20"/>
      </w:pPr>
      <w:r>
        <w:rPr>
          <w:rFonts w:ascii="Arial" w:cs="Arial" w:eastAsia="Arial" w:hAnsi="Arial"/>
          <w:color w:val="4A4A4A"/>
          <w:sz w:val="21"/>
          <w:szCs w:val="21"/>
        </w:rPr>
        <w:t xml:space="preserve">Biomasa húmeda: produce biochar de baja calidad y reduce rendimiento.</w:t>
      </w:r>
    </w:p>
    <w:p>
      <w:pPr>
        <w:pStyle w:val="ListParagraph"/>
        <w:numPr>
          <w:ilvl w:val="0"/>
          <w:numId w:val="3"/>
        </w:numPr>
        <w:spacing w:before="20" w:after="20"/>
      </w:pPr>
      <w:r>
        <w:rPr>
          <w:rFonts w:ascii="Arial" w:cs="Arial" w:eastAsia="Arial" w:hAnsi="Arial"/>
          <w:color w:val="4A4A4A"/>
          <w:sz w:val="21"/>
          <w:szCs w:val="21"/>
        </w:rPr>
        <w:t xml:space="preserve">Sobrecarga del horno: afecta la homogeneidad de la pirólisis.</w:t>
      </w:r>
    </w:p>
    <w:p>
      <w:pPr>
        <w:pStyle w:val="ListParagraph"/>
        <w:numPr>
          <w:ilvl w:val="0"/>
          <w:numId w:val="3"/>
        </w:numPr>
        <w:spacing w:before="20" w:after="20"/>
      </w:pPr>
      <w:r>
        <w:rPr>
          <w:rFonts w:ascii="Arial" w:cs="Arial" w:eastAsia="Arial" w:hAnsi="Arial"/>
          <w:color w:val="4A4A4A"/>
          <w:sz w:val="21"/>
          <w:szCs w:val="21"/>
        </w:rPr>
        <w:t xml:space="preserve">Mezcla con tierra o ceniza antes de pesaje: altera el registro de producción.</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Práctica recomendada: revisión de fichas de caracterización de biochar del proyecto. El extensionista aprende a leer los reportes de calidad y a explicarlos al productor.</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3</w:t>
      </w:r>
    </w:p>
    <w:p>
      <w:pPr>
        <w:pStyle w:val="ListParagraph"/>
        <w:numPr>
          <w:ilvl w:val="0"/>
          <w:numId w:val="2"/>
        </w:numPr>
        <w:spacing w:before="40" w:after="40"/>
      </w:pPr>
      <w:r>
        <w:rPr>
          <w:rFonts w:ascii="Arial" w:cs="Arial" w:eastAsia="Arial" w:hAnsi="Arial"/>
          <w:color w:val="1A1A1A"/>
          <w:sz w:val="22"/>
          <w:szCs w:val="22"/>
        </w:rPr>
        <w:t xml:space="preserve">Guía escrita M3: Protocolo operativo del horno Kon-Tiki (formato visual paso a paso).</w:t>
      </w:r>
    </w:p>
    <w:p>
      <w:pPr>
        <w:pStyle w:val="ListParagraph"/>
        <w:numPr>
          <w:ilvl w:val="0"/>
          <w:numId w:val="2"/>
        </w:numPr>
        <w:spacing w:before="40" w:after="40"/>
      </w:pPr>
      <w:r>
        <w:rPr>
          <w:rFonts w:ascii="Arial" w:cs="Arial" w:eastAsia="Arial" w:hAnsi="Arial"/>
          <w:color w:val="1A1A1A"/>
          <w:sz w:val="22"/>
          <w:szCs w:val="22"/>
        </w:rPr>
        <w:t xml:space="preserve">Ficha de caracterización: tabla de parámetros de calidad del biochar con valores de referencia del proyecto.</w:t>
      </w:r>
    </w:p>
    <w:p>
      <w:pPr>
        <w:pStyle w:val="ListParagraph"/>
        <w:numPr>
          <w:ilvl w:val="0"/>
          <w:numId w:val="2"/>
        </w:numPr>
        <w:spacing w:before="40" w:after="40"/>
      </w:pPr>
      <w:r>
        <w:rPr>
          <w:rFonts w:ascii="Arial" w:cs="Arial" w:eastAsia="Arial" w:hAnsi="Arial"/>
          <w:color w:val="1A1A1A"/>
          <w:sz w:val="22"/>
          <w:szCs w:val="22"/>
        </w:rPr>
        <w:t xml:space="preserve">Video de demostración: operación completa de una quema (encendido, alimentación, quench, pesaje).</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 Módulo 3</w:t>
      </w:r>
    </w:p>
    <w:p>
      <w:pPr>
        <w:spacing w:before="80" w:after="80"/>
      </w:pPr>
      <w:r>
        <w:rPr>
          <w:rFonts w:ascii="Arial" w:cs="Arial" w:eastAsia="Arial" w:hAnsi="Arial"/>
          <w:color w:val="1A1A1A"/>
          <w:sz w:val="22"/>
          <w:szCs w:val="22"/>
        </w:rPr>
        <w:t xml:space="preserve">10 preguntas mixtas. Temas: principios de pirólisis, variables críticas, diferencia PAC/SPC, parámetros de caracterización, riesgos operativos y cómo identificarlos.</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4 — Bases Agronómicas del Suelo</w:t>
      </w:r>
    </w:p>
    <w:p>
      <w:pPr>
        <w:shd w:fill="3E4D58" w:val="clear"/>
        <w:spacing w:before="0" w:after="240"/>
        <w:ind w:left="240" w:right="240"/>
      </w:pPr>
      <w:r>
        <w:rPr>
          <w:rFonts w:ascii="Arial" w:cs="Arial" w:eastAsia="Arial" w:hAnsi="Arial"/>
          <w:color w:val="FFFFFF"/>
          <w:sz w:val="18"/>
          <w:szCs w:val="18"/>
        </w:rPr>
        <w:t xml:space="preserve">Semanas 9 a 11  ·  6 horas  ·  3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sesiones — 6 horas en total</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M4</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profundidad ajustada al perfil de cada grupo</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Que el extensionista entienda el suelo antes de hablar de biochar. El biochar no existe en el vacío: su efecto depende del suelo al que se aplica. Un extensionista sin base agronómica sólida no puede evaluar si la aplicación está funcionando ni responder preguntas del productor sobre su suelo específico.</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4.1 — Física del suelo (2h)</w:t>
      </w:r>
    </w:p>
    <w:p>
      <w:pPr>
        <w:pStyle w:val="ListParagraph"/>
        <w:numPr>
          <w:ilvl w:val="0"/>
          <w:numId w:val="2"/>
        </w:numPr>
        <w:spacing w:before="40" w:after="40"/>
      </w:pPr>
      <w:r>
        <w:rPr>
          <w:rFonts w:ascii="Arial" w:cs="Arial" w:eastAsia="Arial" w:hAnsi="Arial"/>
          <w:color w:val="1A1A1A"/>
          <w:sz w:val="22"/>
          <w:szCs w:val="22"/>
        </w:rPr>
        <w:t xml:space="preserve">Estructura del suelo: partículas (arena, limo, arcilla), agregados y poros.</w:t>
      </w:r>
    </w:p>
    <w:p>
      <w:pPr>
        <w:pStyle w:val="ListParagraph"/>
        <w:numPr>
          <w:ilvl w:val="0"/>
          <w:numId w:val="2"/>
        </w:numPr>
        <w:spacing w:before="40" w:after="40"/>
      </w:pPr>
      <w:r>
        <w:rPr>
          <w:rFonts w:ascii="Arial" w:cs="Arial" w:eastAsia="Arial" w:hAnsi="Arial"/>
          <w:color w:val="1A1A1A"/>
          <w:sz w:val="22"/>
          <w:szCs w:val="22"/>
        </w:rPr>
        <w:t xml:space="preserve">Porosidad: macroporos (aire y agua de gravedad) vs. microporos (agua disponible para la planta).</w:t>
      </w:r>
    </w:p>
    <w:p>
      <w:pPr>
        <w:pStyle w:val="ListParagraph"/>
        <w:numPr>
          <w:ilvl w:val="0"/>
          <w:numId w:val="2"/>
        </w:numPr>
        <w:spacing w:before="40" w:after="40"/>
      </w:pPr>
      <w:r>
        <w:rPr>
          <w:rFonts w:ascii="Arial" w:cs="Arial" w:eastAsia="Arial" w:hAnsi="Arial"/>
          <w:color w:val="1A1A1A"/>
          <w:sz w:val="22"/>
          <w:szCs w:val="22"/>
        </w:rPr>
        <w:t xml:space="preserve">Textura vs. estructura: por qué la estructura se puede mejorar y la textura no.</w:t>
      </w:r>
    </w:p>
    <w:p>
      <w:pPr>
        <w:pStyle w:val="ListParagraph"/>
        <w:numPr>
          <w:ilvl w:val="0"/>
          <w:numId w:val="2"/>
        </w:numPr>
        <w:spacing w:before="40" w:after="40"/>
      </w:pPr>
      <w:r>
        <w:rPr>
          <w:rFonts w:ascii="Arial" w:cs="Arial" w:eastAsia="Arial" w:hAnsi="Arial"/>
          <w:color w:val="1A1A1A"/>
          <w:sz w:val="22"/>
          <w:szCs w:val="22"/>
        </w:rPr>
        <w:t xml:space="preserve">Compactación: cómo se genera, cómo afecta el cultivo de café y cómo el biochar puede ayudar.</w:t>
      </w:r>
    </w:p>
    <w:p>
      <w:pPr>
        <w:pStyle w:val="ListParagraph"/>
        <w:numPr>
          <w:ilvl w:val="0"/>
          <w:numId w:val="2"/>
        </w:numPr>
        <w:spacing w:before="40" w:after="40"/>
      </w:pPr>
      <w:r>
        <w:rPr>
          <w:rFonts w:ascii="Arial" w:cs="Arial" w:eastAsia="Arial" w:hAnsi="Arial"/>
          <w:color w:val="1A1A1A"/>
          <w:sz w:val="22"/>
          <w:szCs w:val="22"/>
        </w:rPr>
        <w:t xml:space="preserve">Densidad aparente y su relación con la labranza y la aireación del suelo.</w:t>
      </w:r>
    </w:p>
    <w:p>
      <w:pPr>
        <w:pStyle w:val="ListParagraph"/>
        <w:numPr>
          <w:ilvl w:val="0"/>
          <w:numId w:val="2"/>
        </w:numPr>
        <w:spacing w:before="40" w:after="40"/>
      </w:pPr>
      <w:r>
        <w:rPr>
          <w:rFonts w:ascii="Arial" w:cs="Arial" w:eastAsia="Arial" w:hAnsi="Arial"/>
          <w:color w:val="1A1A1A"/>
          <w:sz w:val="22"/>
          <w:szCs w:val="22"/>
        </w:rPr>
        <w:t xml:space="preserve">Problemáticas físicas típicas en cafetales de ladera en Tolima y Huila: erosión, compactación, pérdida de horizonte orgánico.</w:t>
      </w:r>
    </w:p>
    <w:p>
      <w:pPr>
        <w:pStyle w:val="Heading3"/>
        <w:spacing w:before="240" w:after="80"/>
      </w:pPr>
      <w:r>
        <w:rPr>
          <w:rFonts w:ascii="Arial" w:cs="Arial" w:eastAsia="Arial" w:hAnsi="Arial"/>
          <w:b/>
          <w:bCs/>
          <w:color w:val="50827C"/>
          <w:sz w:val="24"/>
          <w:szCs w:val="24"/>
        </w:rPr>
        <w:t xml:space="preserve">Sesión 4.2 — Química del suelo (2h)</w:t>
      </w:r>
    </w:p>
    <w:p>
      <w:pPr>
        <w:pStyle w:val="ListParagraph"/>
        <w:numPr>
          <w:ilvl w:val="0"/>
          <w:numId w:val="2"/>
        </w:numPr>
        <w:spacing w:before="40" w:after="40"/>
      </w:pPr>
      <w:r>
        <w:rPr>
          <w:rFonts w:ascii="Arial" w:cs="Arial" w:eastAsia="Arial" w:hAnsi="Arial"/>
          <w:color w:val="1A1A1A"/>
          <w:sz w:val="22"/>
          <w:szCs w:val="22"/>
        </w:rPr>
        <w:t xml:space="preserve">pH del suelo: qué es, cómo se mide y por qué importa para el café (rango óptimo: 5.5–6.5).</w:t>
      </w:r>
    </w:p>
    <w:p>
      <w:pPr>
        <w:pStyle w:val="ListParagraph"/>
        <w:numPr>
          <w:ilvl w:val="0"/>
          <w:numId w:val="2"/>
        </w:numPr>
        <w:spacing w:before="40" w:after="40"/>
      </w:pPr>
      <w:r>
        <w:rPr>
          <w:rFonts w:ascii="Arial" w:cs="Arial" w:eastAsia="Arial" w:hAnsi="Arial"/>
          <w:color w:val="1A1A1A"/>
          <w:sz w:val="22"/>
          <w:szCs w:val="22"/>
        </w:rPr>
        <w:t xml:space="preserve">Capacidad de Intercambio Catiónico (CIC / CEC): qué determina la fertilidad y la retención de nutrientes.</w:t>
      </w:r>
    </w:p>
    <w:p>
      <w:pPr>
        <w:pStyle w:val="ListParagraph"/>
        <w:numPr>
          <w:ilvl w:val="0"/>
          <w:numId w:val="2"/>
        </w:numPr>
        <w:spacing w:before="40" w:after="40"/>
      </w:pPr>
      <w:r>
        <w:rPr>
          <w:rFonts w:ascii="Arial" w:cs="Arial" w:eastAsia="Arial" w:hAnsi="Arial"/>
          <w:color w:val="1A1A1A"/>
          <w:sz w:val="22"/>
          <w:szCs w:val="22"/>
        </w:rPr>
        <w:t xml:space="preserve">Macronutrientes (N, P, K) y micronutrientes clave para el café: función y síntomas de deficiencia.</w:t>
      </w:r>
    </w:p>
    <w:p>
      <w:pPr>
        <w:pStyle w:val="ListParagraph"/>
        <w:numPr>
          <w:ilvl w:val="0"/>
          <w:numId w:val="2"/>
        </w:numPr>
        <w:spacing w:before="40" w:after="40"/>
      </w:pPr>
      <w:r>
        <w:rPr>
          <w:rFonts w:ascii="Arial" w:cs="Arial" w:eastAsia="Arial" w:hAnsi="Arial"/>
          <w:color w:val="1A1A1A"/>
          <w:sz w:val="22"/>
          <w:szCs w:val="22"/>
        </w:rPr>
        <w:t xml:space="preserve">Materia orgánica: su rol en la biología, química y física del suelo. Por qué el SOC (carbono orgánico del suelo) es el indicador más relevante del proyecto.</w:t>
      </w:r>
    </w:p>
    <w:p>
      <w:pPr>
        <w:pStyle w:val="ListParagraph"/>
        <w:numPr>
          <w:ilvl w:val="0"/>
          <w:numId w:val="2"/>
        </w:numPr>
        <w:spacing w:before="40" w:after="40"/>
      </w:pPr>
      <w:r>
        <w:rPr>
          <w:rFonts w:ascii="Arial" w:cs="Arial" w:eastAsia="Arial" w:hAnsi="Arial"/>
          <w:color w:val="1A1A1A"/>
          <w:sz w:val="22"/>
          <w:szCs w:val="22"/>
        </w:rPr>
        <w:t xml:space="preserve">Cómo leer un análisis básico de suelo: los datos que el proyecto usa (moisture, ash, carbon, bulk density, pH).</w:t>
      </w:r>
    </w:p>
    <w:p>
      <w:pPr>
        <w:pStyle w:val="ListParagraph"/>
        <w:numPr>
          <w:ilvl w:val="0"/>
          <w:numId w:val="2"/>
        </w:numPr>
        <w:spacing w:before="40" w:after="40"/>
      </w:pPr>
      <w:r>
        <w:rPr>
          <w:rFonts w:ascii="Arial" w:cs="Arial" w:eastAsia="Arial" w:hAnsi="Arial"/>
          <w:color w:val="1A1A1A"/>
          <w:sz w:val="22"/>
          <w:szCs w:val="22"/>
        </w:rPr>
        <w:t xml:space="preserve">Lixiviación de nutrientes: qué es, cuándo ocurre y por qué es un problema en zonas de alta pluviosidad.</w:t>
      </w:r>
    </w:p>
    <w:p>
      <w:pPr>
        <w:pStyle w:val="Heading3"/>
        <w:spacing w:before="240" w:after="80"/>
      </w:pPr>
      <w:r>
        <w:rPr>
          <w:rFonts w:ascii="Arial" w:cs="Arial" w:eastAsia="Arial" w:hAnsi="Arial"/>
          <w:b/>
          <w:bCs/>
          <w:color w:val="50827C"/>
          <w:sz w:val="24"/>
          <w:szCs w:val="24"/>
        </w:rPr>
        <w:t xml:space="preserve">Sesión 4.3 — Biología del suelo (2h)</w:t>
      </w:r>
    </w:p>
    <w:p>
      <w:pPr>
        <w:pStyle w:val="ListParagraph"/>
        <w:numPr>
          <w:ilvl w:val="0"/>
          <w:numId w:val="2"/>
        </w:numPr>
        <w:spacing w:before="40" w:after="40"/>
      </w:pPr>
      <w:r>
        <w:rPr>
          <w:rFonts w:ascii="Arial" w:cs="Arial" w:eastAsia="Arial" w:hAnsi="Arial"/>
          <w:color w:val="1A1A1A"/>
          <w:sz w:val="22"/>
          <w:szCs w:val="22"/>
        </w:rPr>
        <w:t xml:space="preserve">El suelo como ecosistema vivo: bacterias, hongos, nemátodos, lombrices. Quiénes son y qué hacen.</w:t>
      </w:r>
    </w:p>
    <w:p>
      <w:pPr>
        <w:pStyle w:val="ListParagraph"/>
        <w:numPr>
          <w:ilvl w:val="0"/>
          <w:numId w:val="2"/>
        </w:numPr>
        <w:spacing w:before="40" w:after="40"/>
      </w:pPr>
      <w:r>
        <w:rPr>
          <w:rFonts w:ascii="Arial" w:cs="Arial" w:eastAsia="Arial" w:hAnsi="Arial"/>
          <w:color w:val="1A1A1A"/>
          <w:sz w:val="22"/>
          <w:szCs w:val="22"/>
        </w:rPr>
        <w:t xml:space="preserve">Microbioma rizosférico: cómo las raíces del café interactúan con los microorganismos del suelo.</w:t>
      </w:r>
    </w:p>
    <w:p>
      <w:pPr>
        <w:pStyle w:val="ListParagraph"/>
        <w:numPr>
          <w:ilvl w:val="0"/>
          <w:numId w:val="2"/>
        </w:numPr>
        <w:spacing w:before="40" w:after="40"/>
      </w:pPr>
      <w:r>
        <w:rPr>
          <w:rFonts w:ascii="Arial" w:cs="Arial" w:eastAsia="Arial" w:hAnsi="Arial"/>
          <w:color w:val="1A1A1A"/>
          <w:sz w:val="22"/>
          <w:szCs w:val="22"/>
        </w:rPr>
        <w:t xml:space="preserve">Hongos micorrícicos arbusculares (HMA): qué son, cómo potencian la absorción de nutrientes y cómo el biochar puede favorecerlos.</w:t>
      </w:r>
    </w:p>
    <w:p>
      <w:pPr>
        <w:pStyle w:val="ListParagraph"/>
        <w:numPr>
          <w:ilvl w:val="0"/>
          <w:numId w:val="2"/>
        </w:numPr>
        <w:spacing w:before="40" w:after="40"/>
      </w:pPr>
      <w:r>
        <w:rPr>
          <w:rFonts w:ascii="Arial" w:cs="Arial" w:eastAsia="Arial" w:hAnsi="Arial"/>
          <w:color w:val="1A1A1A"/>
          <w:sz w:val="22"/>
          <w:szCs w:val="22"/>
        </w:rPr>
        <w:t xml:space="preserve">Ciclo de nutrientes mediado por microorganismos: mineralización del nitrógeno, solubilización del fósforo.</w:t>
      </w:r>
    </w:p>
    <w:p>
      <w:pPr>
        <w:pStyle w:val="ListParagraph"/>
        <w:numPr>
          <w:ilvl w:val="0"/>
          <w:numId w:val="2"/>
        </w:numPr>
        <w:spacing w:before="40" w:after="40"/>
      </w:pPr>
      <w:r>
        <w:rPr>
          <w:rFonts w:ascii="Arial" w:cs="Arial" w:eastAsia="Arial" w:hAnsi="Arial"/>
          <w:color w:val="1A1A1A"/>
          <w:sz w:val="22"/>
          <w:szCs w:val="22"/>
        </w:rPr>
        <w:t xml:space="preserve">Por qué el uso excesivo de agroquímicos daña la biología del suelo y cómo la aplicación de biochar puede ayudar a recuperarla.</w:t>
      </w:r>
    </w:p>
    <w:p>
      <w:pPr>
        <w:pStyle w:val="ListParagraph"/>
        <w:numPr>
          <w:ilvl w:val="0"/>
          <w:numId w:val="2"/>
        </w:numPr>
        <w:spacing w:before="40" w:after="40"/>
      </w:pPr>
      <w:r>
        <w:rPr>
          <w:rFonts w:ascii="Arial" w:cs="Arial" w:eastAsia="Arial" w:hAnsi="Arial"/>
          <w:color w:val="1A1A1A"/>
          <w:sz w:val="22"/>
          <w:szCs w:val="22"/>
        </w:rPr>
        <w:t xml:space="preserve">Indicadores biológicos simples que el extensionista puede observar en campo: presencia de lombrices, olor del suelo, color.</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Ejercicio de campo sugerido: toma de muestra de suelo y registro fotográfico de indicadores biológicos. El extensionista aprende a observar el suelo con ojos técnicos.</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4</w:t>
      </w:r>
    </w:p>
    <w:p>
      <w:pPr>
        <w:pStyle w:val="ListParagraph"/>
        <w:numPr>
          <w:ilvl w:val="0"/>
          <w:numId w:val="2"/>
        </w:numPr>
        <w:spacing w:before="40" w:after="40"/>
      </w:pPr>
      <w:r>
        <w:rPr>
          <w:rFonts w:ascii="Arial" w:cs="Arial" w:eastAsia="Arial" w:hAnsi="Arial"/>
          <w:color w:val="1A1A1A"/>
          <w:sz w:val="22"/>
          <w:szCs w:val="22"/>
        </w:rPr>
        <w:t xml:space="preserve">Guía escrita M4: Cómo leer un análisis de suelo — interpretación de los parámetros del proyecto.</w:t>
      </w:r>
    </w:p>
    <w:p>
      <w:pPr>
        <w:pStyle w:val="ListParagraph"/>
        <w:numPr>
          <w:ilvl w:val="0"/>
          <w:numId w:val="2"/>
        </w:numPr>
        <w:spacing w:before="40" w:after="40"/>
      </w:pPr>
      <w:r>
        <w:rPr>
          <w:rFonts w:ascii="Arial" w:cs="Arial" w:eastAsia="Arial" w:hAnsi="Arial"/>
          <w:color w:val="1A1A1A"/>
          <w:sz w:val="22"/>
          <w:szCs w:val="22"/>
        </w:rPr>
        <w:t xml:space="preserve">Ficha de diagnóstico rápido de suelo en campo (indicadores físicos, químicos y biológicos observables sin laboratorio).</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 Módulo 4</w:t>
      </w:r>
    </w:p>
    <w:p>
      <w:pPr>
        <w:spacing w:before="80" w:after="80"/>
      </w:pPr>
      <w:r>
        <w:rPr>
          <w:rFonts w:ascii="Arial" w:cs="Arial" w:eastAsia="Arial" w:hAnsi="Arial"/>
          <w:color w:val="1A1A1A"/>
          <w:sz w:val="22"/>
          <w:szCs w:val="22"/>
        </w:rPr>
        <w:t xml:space="preserve">10 preguntas mixtas. Temas: física, química y biología del suelo, interpretación de análisis de laboratorio, problemáticas típicas de suelos cafeteros en la región.</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5 — Beneficios Agronómicos del Biochar</w:t>
      </w:r>
    </w:p>
    <w:p>
      <w:pPr>
        <w:shd w:fill="3E4D58" w:val="clear"/>
        <w:spacing w:before="0" w:after="240"/>
        <w:ind w:left="240" w:right="240"/>
      </w:pPr>
      <w:r>
        <w:rPr>
          <w:rFonts w:ascii="Arial" w:cs="Arial" w:eastAsia="Arial" w:hAnsi="Arial"/>
          <w:color w:val="FFFFFF"/>
          <w:sz w:val="18"/>
          <w:szCs w:val="18"/>
        </w:rPr>
        <w:t xml:space="preserve">Semanas 12 a 14  ·  6 horas  ·  3 sesiones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sesiones — 6 horas en total</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M5</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 módulo de mayor relevancia para el trabajo con productores</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Que el extensionista pueda defender con autoridad técnica y científica el impacto agronómico del biochar, conectando cada beneficio con los mecanismos aprendidos en el Módulo 4. Este módulo habilita al extensionista para responder preguntas difíciles del productor y detectar en campo si la aplicación está generando los efectos esperados.</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5.1 — Mejora de la fertilidad y retención de nutrientes (2h)</w:t>
      </w:r>
    </w:p>
    <w:p>
      <w:pPr>
        <w:pStyle w:val="ListParagraph"/>
        <w:numPr>
          <w:ilvl w:val="0"/>
          <w:numId w:val="2"/>
        </w:numPr>
        <w:spacing w:before="40" w:after="40"/>
      </w:pPr>
      <w:r>
        <w:rPr>
          <w:rFonts w:ascii="Arial" w:cs="Arial" w:eastAsia="Arial" w:hAnsi="Arial"/>
          <w:color w:val="1A1A1A"/>
          <w:sz w:val="22"/>
          <w:szCs w:val="22"/>
        </w:rPr>
        <w:t xml:space="preserve">+45% de nutrientes disponibles en suelo: mecanismo CEC — el biochar aumenta la capacidad del suelo para retener cationes (Ca²⁺, Mg²⁺, K⁺, NH₄⁺) y evitar que se pierdan por lixiviación.</w:t>
      </w:r>
    </w:p>
    <w:p>
      <w:pPr>
        <w:pStyle w:val="ListParagraph"/>
        <w:numPr>
          <w:ilvl w:val="0"/>
          <w:numId w:val="2"/>
        </w:numPr>
        <w:spacing w:before="40" w:after="40"/>
      </w:pPr>
      <w:r>
        <w:rPr>
          <w:rFonts w:ascii="Arial" w:cs="Arial" w:eastAsia="Arial" w:hAnsi="Arial"/>
          <w:color w:val="1A1A1A"/>
          <w:sz w:val="22"/>
          <w:szCs w:val="22"/>
        </w:rPr>
        <w:t xml:space="preserve">Reducción de lixiviación: la estructura porosa del biochar retiene nutrientes solubles que de otro modo se perderían con las lluvias — especialmente relevante en zonas de alta pluviosidad de Tolima y Huila.</w:t>
      </w:r>
    </w:p>
    <w:p>
      <w:pPr>
        <w:pStyle w:val="ListParagraph"/>
        <w:numPr>
          <w:ilvl w:val="0"/>
          <w:numId w:val="2"/>
        </w:numPr>
        <w:spacing w:before="40" w:after="40"/>
      </w:pPr>
      <w:r>
        <w:rPr>
          <w:rFonts w:ascii="Arial" w:cs="Arial" w:eastAsia="Arial" w:hAnsi="Arial"/>
          <w:color w:val="1A1A1A"/>
          <w:sz w:val="22"/>
          <w:szCs w:val="22"/>
        </w:rPr>
        <w:t xml:space="preserve">+16% en productividad de la planta y +13% en productividad del cultivo: evidencia científica (Lehmann &amp; Joseph, 2009; Singh et al., 2023) y cómo se expresa en el cultivo de café.</w:t>
      </w:r>
    </w:p>
    <w:p>
      <w:pPr>
        <w:pStyle w:val="ListParagraph"/>
        <w:numPr>
          <w:ilvl w:val="0"/>
          <w:numId w:val="2"/>
        </w:numPr>
        <w:spacing w:before="40" w:after="40"/>
      </w:pPr>
      <w:r>
        <w:rPr>
          <w:rFonts w:ascii="Arial" w:cs="Arial" w:eastAsia="Arial" w:hAnsi="Arial"/>
          <w:color w:val="1A1A1A"/>
          <w:sz w:val="22"/>
          <w:szCs w:val="22"/>
        </w:rPr>
        <w:t xml:space="preserve">Interacción biochar–fertilizante: el biochar no reemplaza la fertilización, la potencia. Cómo ajustar recomendaciones cuando hay biochar en el suelo.</w:t>
      </w:r>
    </w:p>
    <w:p>
      <w:pPr>
        <w:pStyle w:val="Heading3"/>
        <w:spacing w:before="240" w:after="80"/>
      </w:pPr>
      <w:r>
        <w:rPr>
          <w:rFonts w:ascii="Arial" w:cs="Arial" w:eastAsia="Arial" w:hAnsi="Arial"/>
          <w:b/>
          <w:bCs/>
          <w:color w:val="50827C"/>
          <w:sz w:val="24"/>
          <w:szCs w:val="24"/>
        </w:rPr>
        <w:t xml:space="preserve">Sesión 5.2 — Agua, microbiología y resiliencia climática (2h)</w:t>
      </w:r>
    </w:p>
    <w:p>
      <w:pPr>
        <w:pStyle w:val="ListParagraph"/>
        <w:numPr>
          <w:ilvl w:val="0"/>
          <w:numId w:val="2"/>
        </w:numPr>
        <w:spacing w:before="40" w:after="40"/>
      </w:pPr>
      <w:r>
        <w:rPr>
          <w:rFonts w:ascii="Arial" w:cs="Arial" w:eastAsia="Arial" w:hAnsi="Arial"/>
          <w:color w:val="1A1A1A"/>
          <w:sz w:val="22"/>
          <w:szCs w:val="22"/>
        </w:rPr>
        <w:t xml:space="preserve">+15% en retención de agua en la planta: los microporos del biochar actúan como reservorios de agua disponible para la raíz, especialmente en períodos de estrés hídrico.</w:t>
      </w:r>
    </w:p>
    <w:p>
      <w:pPr>
        <w:pStyle w:val="ListParagraph"/>
        <w:numPr>
          <w:ilvl w:val="0"/>
          <w:numId w:val="2"/>
        </w:numPr>
        <w:spacing w:before="40" w:after="40"/>
      </w:pPr>
      <w:r>
        <w:rPr>
          <w:rFonts w:ascii="Arial" w:cs="Arial" w:eastAsia="Arial" w:hAnsi="Arial"/>
          <w:color w:val="1A1A1A"/>
          <w:sz w:val="22"/>
          <w:szCs w:val="22"/>
        </w:rPr>
        <w:t xml:space="preserve">Activación microbiológica: el biochar crea hábitat para bacterias y hongos beneficiosos. La biomasa microbiana aumenta en suelos enmendados con biochar (Lehmann et al., 2011). Conexión con HMA del Módulo 3.</w:t>
      </w:r>
    </w:p>
    <w:p>
      <w:pPr>
        <w:pStyle w:val="ListParagraph"/>
        <w:numPr>
          <w:ilvl w:val="0"/>
          <w:numId w:val="2"/>
        </w:numPr>
        <w:spacing w:before="40" w:after="40"/>
      </w:pPr>
      <w:r>
        <w:rPr>
          <w:rFonts w:ascii="Arial" w:cs="Arial" w:eastAsia="Arial" w:hAnsi="Arial"/>
          <w:color w:val="1A1A1A"/>
          <w:sz w:val="22"/>
          <w:szCs w:val="22"/>
        </w:rPr>
        <w:t xml:space="preserve">Protección contra desecación: los microporos del biochar mantienen microambientes húmedos que permiten la supervivencia de microorganismos en períodos secos.</w:t>
      </w:r>
    </w:p>
    <w:p>
      <w:pPr>
        <w:pStyle w:val="ListParagraph"/>
        <w:numPr>
          <w:ilvl w:val="0"/>
          <w:numId w:val="2"/>
        </w:numPr>
        <w:spacing w:before="40" w:after="40"/>
      </w:pPr>
      <w:r>
        <w:rPr>
          <w:rFonts w:ascii="Arial" w:cs="Arial" w:eastAsia="Arial" w:hAnsi="Arial"/>
          <w:color w:val="1A1A1A"/>
          <w:sz w:val="22"/>
          <w:szCs w:val="22"/>
        </w:rPr>
        <w:t xml:space="preserve">-29% de absorción de metales pesados por la planta: el biochar sorbe metales (cadmio, plomo) que afectarían la calidad del café.</w:t>
      </w:r>
    </w:p>
    <w:p>
      <w:pPr>
        <w:pStyle w:val="ListParagraph"/>
        <w:numPr>
          <w:ilvl w:val="0"/>
          <w:numId w:val="2"/>
        </w:numPr>
        <w:spacing w:before="40" w:after="40"/>
      </w:pPr>
      <w:r>
        <w:rPr>
          <w:rFonts w:ascii="Arial" w:cs="Arial" w:eastAsia="Arial" w:hAnsi="Arial"/>
          <w:color w:val="1A1A1A"/>
          <w:sz w:val="22"/>
          <w:szCs w:val="22"/>
        </w:rPr>
        <w:t xml:space="preserve">+39% de carbono orgánico en suelo (SOC): el indicador más relevante para el crédito de carbono. Cómo comunicarlo al productor de manera comprensible.</w:t>
      </w:r>
    </w:p>
    <w:p>
      <w:pPr>
        <w:pStyle w:val="ListParagraph"/>
        <w:numPr>
          <w:ilvl w:val="0"/>
          <w:numId w:val="2"/>
        </w:numPr>
        <w:spacing w:before="40" w:after="40"/>
      </w:pPr>
      <w:r>
        <w:rPr>
          <w:rFonts w:ascii="Arial" w:cs="Arial" w:eastAsia="Arial" w:hAnsi="Arial"/>
          <w:color w:val="1A1A1A"/>
          <w:sz w:val="22"/>
          <w:szCs w:val="22"/>
        </w:rPr>
        <w:t xml:space="preserve">Resiliencia climática: la combinación de mejor retención hídrica, mayor fertilidad y mayor actividad microbiana hace que el cultivo sea más resistente a eventos climáticos extremos.</w:t>
      </w:r>
    </w:p>
    <w:p>
      <w:pPr>
        <w:pStyle w:val="Heading3"/>
        <w:spacing w:before="240" w:after="80"/>
      </w:pPr>
      <w:r>
        <w:rPr>
          <w:rFonts w:ascii="Arial" w:cs="Arial" w:eastAsia="Arial" w:hAnsi="Arial"/>
          <w:b/>
          <w:bCs/>
          <w:color w:val="50827C"/>
          <w:sz w:val="24"/>
          <w:szCs w:val="24"/>
        </w:rPr>
        <w:t xml:space="preserve">Sesión 5.3 — Aplicación correcta del biochar en campo (2h)</w:t>
      </w:r>
    </w:p>
    <w:p>
      <w:pPr>
        <w:pStyle w:val="ListParagraph"/>
        <w:numPr>
          <w:ilvl w:val="0"/>
          <w:numId w:val="2"/>
        </w:numPr>
        <w:spacing w:before="40" w:after="40"/>
      </w:pPr>
      <w:r>
        <w:rPr>
          <w:rFonts w:ascii="Arial" w:cs="Arial" w:eastAsia="Arial" w:hAnsi="Arial"/>
          <w:color w:val="1A1A1A"/>
          <w:sz w:val="22"/>
          <w:szCs w:val="22"/>
        </w:rPr>
        <w:t xml:space="preserve">Dosis recomendada por hectárea según el estándar del proyecto.</w:t>
      </w:r>
    </w:p>
    <w:p>
      <w:pPr>
        <w:pStyle w:val="ListParagraph"/>
        <w:numPr>
          <w:ilvl w:val="0"/>
          <w:numId w:val="2"/>
        </w:numPr>
        <w:spacing w:before="40" w:after="40"/>
      </w:pPr>
      <w:r>
        <w:rPr>
          <w:rFonts w:ascii="Arial" w:cs="Arial" w:eastAsia="Arial" w:hAnsi="Arial"/>
          <w:color w:val="1A1A1A"/>
          <w:sz w:val="22"/>
          <w:szCs w:val="22"/>
        </w:rPr>
        <w:t xml:space="preserve">Métodos de incorporación: superficial con materia orgánica, mezclado con compost, aplicación en hoyo de siembra.</w:t>
      </w:r>
    </w:p>
    <w:p>
      <w:pPr>
        <w:pStyle w:val="ListParagraph"/>
        <w:numPr>
          <w:ilvl w:val="0"/>
          <w:numId w:val="2"/>
        </w:numPr>
        <w:spacing w:before="40" w:after="40"/>
      </w:pPr>
      <w:r>
        <w:rPr>
          <w:rFonts w:ascii="Arial" w:cs="Arial" w:eastAsia="Arial" w:hAnsi="Arial"/>
          <w:color w:val="1A1A1A"/>
          <w:sz w:val="22"/>
          <w:szCs w:val="22"/>
        </w:rPr>
        <w:t xml:space="preserve">Momento óptimo: etapa de zoca como ventana de aplicación ideal — la perturbación del suelo facilita la incorporación.</w:t>
      </w:r>
    </w:p>
    <w:p>
      <w:pPr>
        <w:pStyle w:val="ListParagraph"/>
        <w:numPr>
          <w:ilvl w:val="0"/>
          <w:numId w:val="2"/>
        </w:numPr>
        <w:spacing w:before="40" w:after="40"/>
      </w:pPr>
      <w:r>
        <w:rPr>
          <w:rFonts w:ascii="Arial" w:cs="Arial" w:eastAsia="Arial" w:hAnsi="Arial"/>
          <w:color w:val="1A1A1A"/>
          <w:sz w:val="22"/>
          <w:szCs w:val="22"/>
        </w:rPr>
        <w:t xml:space="preserve">Errores comunes que reducen la efectividad:</w:t>
      </w:r>
    </w:p>
    <w:p>
      <w:pPr>
        <w:pStyle w:val="ListParagraph"/>
        <w:numPr>
          <w:ilvl w:val="0"/>
          <w:numId w:val="3"/>
        </w:numPr>
        <w:spacing w:before="20" w:after="20"/>
      </w:pPr>
      <w:r>
        <w:rPr>
          <w:rFonts w:ascii="Arial" w:cs="Arial" w:eastAsia="Arial" w:hAnsi="Arial"/>
          <w:color w:val="4A4A4A"/>
          <w:sz w:val="21"/>
          <w:szCs w:val="21"/>
        </w:rPr>
        <w:t xml:space="preserve">Aplicación superficial sin incorporación: el biochar se va con la escorrentía.</w:t>
      </w:r>
    </w:p>
    <w:p>
      <w:pPr>
        <w:pStyle w:val="ListParagraph"/>
        <w:numPr>
          <w:ilvl w:val="0"/>
          <w:numId w:val="3"/>
        </w:numPr>
        <w:spacing w:before="20" w:after="20"/>
      </w:pPr>
      <w:r>
        <w:rPr>
          <w:rFonts w:ascii="Arial" w:cs="Arial" w:eastAsia="Arial" w:hAnsi="Arial"/>
          <w:color w:val="4A4A4A"/>
          <w:sz w:val="21"/>
          <w:szCs w:val="21"/>
        </w:rPr>
        <w:t xml:space="preserve">Aplicación en suelo completamente seco: reduce contacto con microorganismos.</w:t>
      </w:r>
    </w:p>
    <w:p>
      <w:pPr>
        <w:pStyle w:val="ListParagraph"/>
        <w:numPr>
          <w:ilvl w:val="0"/>
          <w:numId w:val="3"/>
        </w:numPr>
        <w:spacing w:before="20" w:after="20"/>
      </w:pPr>
      <w:r>
        <w:rPr>
          <w:rFonts w:ascii="Arial" w:cs="Arial" w:eastAsia="Arial" w:hAnsi="Arial"/>
          <w:color w:val="4A4A4A"/>
          <w:sz w:val="21"/>
          <w:szCs w:val="21"/>
        </w:rPr>
        <w:t xml:space="preserve">Subdosificación: no genera los efectos esperados. Sobredosis: puede alterar temporalmente el pH.</w:t>
      </w:r>
    </w:p>
    <w:p>
      <w:pPr>
        <w:pStyle w:val="ListParagraph"/>
        <w:numPr>
          <w:ilvl w:val="0"/>
          <w:numId w:val="2"/>
        </w:numPr>
        <w:spacing w:before="40" w:after="40"/>
      </w:pPr>
      <w:r>
        <w:rPr>
          <w:rFonts w:ascii="Arial" w:cs="Arial" w:eastAsia="Arial" w:hAnsi="Arial"/>
          <w:color w:val="1A1A1A"/>
          <w:sz w:val="22"/>
          <w:szCs w:val="22"/>
        </w:rPr>
        <w:t xml:space="preserve">Cómo documentar la aplicación para la trazabilidad del crédito: registro fotográfico, GPS, fecha, cantidad.</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Ejercicio: el extensionista prepara una explicación de 5 minutos sobre los beneficios del biochar para un productor que nunca ha escuchado el término. Se practica el lenguaje no técnico.</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5</w:t>
      </w:r>
    </w:p>
    <w:p>
      <w:pPr>
        <w:pStyle w:val="ListParagraph"/>
        <w:numPr>
          <w:ilvl w:val="0"/>
          <w:numId w:val="2"/>
        </w:numPr>
        <w:spacing w:before="40" w:after="40"/>
      </w:pPr>
      <w:r>
        <w:rPr>
          <w:rFonts w:ascii="Arial" w:cs="Arial" w:eastAsia="Arial" w:hAnsi="Arial"/>
          <w:color w:val="1A1A1A"/>
          <w:sz w:val="22"/>
          <w:szCs w:val="22"/>
        </w:rPr>
        <w:t xml:space="preserve">Guía escrita M5: Ficha técnica de beneficios agronómicos (versión productor y versión técnica).</w:t>
      </w:r>
    </w:p>
    <w:p>
      <w:pPr>
        <w:pStyle w:val="ListParagraph"/>
        <w:numPr>
          <w:ilvl w:val="0"/>
          <w:numId w:val="2"/>
        </w:numPr>
        <w:spacing w:before="40" w:after="40"/>
      </w:pPr>
      <w:r>
        <w:rPr>
          <w:rFonts w:ascii="Arial" w:cs="Arial" w:eastAsia="Arial" w:hAnsi="Arial"/>
          <w:color w:val="1A1A1A"/>
          <w:sz w:val="22"/>
          <w:szCs w:val="22"/>
        </w:rPr>
        <w:t xml:space="preserve">Protocolo de aplicación en campo: dosis, métodos, momento y registro.</w:t>
      </w:r>
    </w:p>
    <w:p>
      <w:pPr>
        <w:pStyle w:val="ListParagraph"/>
        <w:numPr>
          <w:ilvl w:val="0"/>
          <w:numId w:val="2"/>
        </w:numPr>
        <w:spacing w:before="40" w:after="40"/>
      </w:pPr>
      <w:r>
        <w:rPr>
          <w:rFonts w:ascii="Arial" w:cs="Arial" w:eastAsia="Arial" w:hAnsi="Arial"/>
          <w:color w:val="1A1A1A"/>
          <w:sz w:val="22"/>
          <w:szCs w:val="22"/>
        </w:rPr>
        <w:t xml:space="preserve">Tarjeta de bolsillo: Los 6 beneficios del biochar en lenguaje campesino.</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 Módulo 5</w:t>
      </w:r>
    </w:p>
    <w:p>
      <w:pPr>
        <w:spacing w:before="80" w:after="80"/>
      </w:pPr>
      <w:r>
        <w:rPr>
          <w:rFonts w:ascii="Arial" w:cs="Arial" w:eastAsia="Arial" w:hAnsi="Arial"/>
          <w:color w:val="1A1A1A"/>
          <w:sz w:val="22"/>
          <w:szCs w:val="22"/>
        </w:rPr>
        <w:t xml:space="preserve">10 preguntas mixtas. Temas: mecanismos de cada beneficio agronómico, conexión con biología y química del suelo, aplicación correcta, documentación de la aplicación.</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Módulo 6 — Disciplina Operativa y dMRV</w:t>
      </w:r>
    </w:p>
    <w:p>
      <w:pPr>
        <w:shd w:fill="3E4D58" w:val="clear"/>
        <w:spacing w:before="0" w:after="240"/>
        <w:ind w:left="240" w:right="240"/>
      </w:pPr>
      <w:r>
        <w:rPr>
          <w:rFonts w:ascii="Arial" w:cs="Arial" w:eastAsia="Arial" w:hAnsi="Arial"/>
          <w:color w:val="FFFFFF"/>
          <w:sz w:val="18"/>
          <w:szCs w:val="18"/>
        </w:rPr>
        <w:t xml:space="preserve">Semanas 15 a 16  ·  6 horas  ·  2 sesiones + simulacro de auditoría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Duración</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 sesiones — 6 horas en total (incluyendo simulacro)</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Modalidad</w:t>
            </w:r>
          </w:p>
        </w:tc>
        <w:tc>
          <w:tcPr>
            <w:tcW w:type="dxa" w:w="6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Virtual sincrónica + Guía escrita M6 + Simulacro de auditoría</w:t>
            </w:r>
          </w:p>
        </w:tc>
      </w:tr>
      <w:tr>
        <w:tc>
          <w:tcPr>
            <w:tcW w:type="dxa" w:w="24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Perfil objetivo</w:t>
            </w:r>
          </w:p>
        </w:tc>
        <w:tc>
          <w:tcPr>
            <w:tcW w:type="dxa" w:w="6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Todos los extensionistas — módulo crítico para la integridad del proyecto</w:t>
            </w:r>
          </w:p>
        </w:tc>
      </w:tr>
    </w:tbl>
    <w:p>
      <w:pPr>
        <w:spacing w:before="12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Objetivo del módulo</w:t>
      </w:r>
    </w:p>
    <w:p>
      <w:pPr>
        <w:pBdr>
          <w:left w:val="single" w:color="50827C" w:sz="16"/>
        </w:pBdr>
        <w:shd w:fill="EBF5F3" w:val="clear"/>
        <w:spacing w:before="140" w:after="140"/>
        <w:ind w:left="240" w:right="240"/>
      </w:pPr>
      <w:r>
        <w:rPr>
          <w:rFonts w:ascii="Arial" w:cs="Arial" w:eastAsia="Arial" w:hAnsi="Arial"/>
          <w:color w:val="1F3D39"/>
          <w:sz w:val="22"/>
          <w:szCs w:val="22"/>
        </w:rPr>
        <w:t xml:space="preserve">Atacar directamente el problema de disciplina operativa y calidad de los datos. El sistema dMRV (digital Monitoring, Reporting and Verification) de Planboo es la columna vertebral técnica del crédito de carbono. Un extensionista que no registra bien, no registra a tiempo, o registra datos inexactos compromete la certificación de todo el clúster.</w:t>
      </w:r>
    </w:p>
    <w:p>
      <w:pPr>
        <w:pStyle w:val="Heading2"/>
        <w:pBdr>
          <w:bottom w:val="single" w:color="DA7052" w:sz="6"/>
        </w:pBdr>
        <w:spacing w:before="320" w:after="100"/>
      </w:pPr>
      <w:r>
        <w:rPr>
          <w:rFonts w:ascii="Georgia" w:cs="Georgia" w:eastAsia="Georgia" w:hAnsi="Georgia"/>
          <w:b/>
          <w:bCs/>
          <w:color w:val="3E4D58"/>
          <w:sz w:val="30"/>
          <w:szCs w:val="30"/>
        </w:rPr>
        <w:t xml:space="preserve">Contenidos por sesión</w:t>
      </w:r>
    </w:p>
    <w:p>
      <w:pPr>
        <w:pStyle w:val="Heading3"/>
        <w:spacing w:before="240" w:after="80"/>
      </w:pPr>
      <w:r>
        <w:rPr>
          <w:rFonts w:ascii="Arial" w:cs="Arial" w:eastAsia="Arial" w:hAnsi="Arial"/>
          <w:b/>
          <w:bCs/>
          <w:color w:val="50827C"/>
          <w:sz w:val="24"/>
          <w:szCs w:val="24"/>
        </w:rPr>
        <w:t xml:space="preserve">Sesión 6.1 — Flujo completo del proyecto y responsabilidad legal del dato (3h)</w:t>
      </w:r>
    </w:p>
    <w:p>
      <w:pPr>
        <w:pStyle w:val="ListParagraph"/>
        <w:numPr>
          <w:ilvl w:val="0"/>
          <w:numId w:val="2"/>
        </w:numPr>
        <w:spacing w:before="40" w:after="40"/>
      </w:pPr>
      <w:r>
        <w:rPr>
          <w:rFonts w:ascii="Arial" w:cs="Arial" w:eastAsia="Arial" w:hAnsi="Arial"/>
          <w:color w:val="1A1A1A"/>
          <w:sz w:val="22"/>
          <w:szCs w:val="22"/>
        </w:rPr>
        <w:t xml:space="preserve">Flujo end-to-end: desde la recolección de biomasa hasta la emisión del crédito en el Global C-Sink Registry.</w:t>
      </w:r>
    </w:p>
    <w:p>
      <w:pPr>
        <w:pStyle w:val="ListParagraph"/>
        <w:numPr>
          <w:ilvl w:val="0"/>
          <w:numId w:val="2"/>
        </w:numPr>
        <w:spacing w:before="40" w:after="40"/>
      </w:pPr>
      <w:r>
        <w:rPr>
          <w:rFonts w:ascii="Arial" w:cs="Arial" w:eastAsia="Arial" w:hAnsi="Arial"/>
          <w:color w:val="1A1A1A"/>
          <w:sz w:val="22"/>
          <w:szCs w:val="22"/>
        </w:rPr>
        <w:t xml:space="preserve">Qué datos se registran en cada etapa y quién es responsable de registrarlos.</w:t>
      </w:r>
    </w:p>
    <w:p>
      <w:pPr>
        <w:pStyle w:val="ListParagraph"/>
        <w:numPr>
          <w:ilvl w:val="0"/>
          <w:numId w:val="2"/>
        </w:numPr>
        <w:spacing w:before="40" w:after="40"/>
      </w:pPr>
      <w:r>
        <w:rPr>
          <w:rFonts w:ascii="Arial" w:cs="Arial" w:eastAsia="Arial" w:hAnsi="Arial"/>
          <w:color w:val="1A1A1A"/>
          <w:sz w:val="22"/>
          <w:szCs w:val="22"/>
        </w:rPr>
        <w:t xml:space="preserve">La app Planboo: funcionalidades, campos obligatorios, registro fotográfico con GPS y timestamp.</w:t>
      </w:r>
    </w:p>
    <w:p>
      <w:pPr>
        <w:pStyle w:val="ListParagraph"/>
        <w:numPr>
          <w:ilvl w:val="0"/>
          <w:numId w:val="2"/>
        </w:numPr>
        <w:spacing w:before="40" w:after="40"/>
      </w:pPr>
      <w:r>
        <w:rPr>
          <w:rFonts w:ascii="Arial" w:cs="Arial" w:eastAsia="Arial" w:hAnsi="Arial"/>
          <w:color w:val="1A1A1A"/>
          <w:sz w:val="22"/>
          <w:szCs w:val="22"/>
        </w:rPr>
        <w:t xml:space="preserve">Responsabilidad legal del dato: el dato registrado tiene valor legal ante Carbon Standards International y ante el Certifier. Un dato alterado puede resultar en la descertificación del clúster.</w:t>
      </w:r>
    </w:p>
    <w:p>
      <w:pPr>
        <w:pStyle w:val="ListParagraph"/>
        <w:numPr>
          <w:ilvl w:val="0"/>
          <w:numId w:val="2"/>
        </w:numPr>
        <w:spacing w:before="40" w:after="40"/>
      </w:pPr>
      <w:r>
        <w:rPr>
          <w:rFonts w:ascii="Arial" w:cs="Arial" w:eastAsia="Arial" w:hAnsi="Arial"/>
          <w:color w:val="1A1A1A"/>
          <w:sz w:val="22"/>
          <w:szCs w:val="22"/>
        </w:rPr>
        <w:t xml:space="preserve">Retención de datos: el ICSM exige conservar el dataset completo durante mínimo 10 años.</w:t>
      </w:r>
    </w:p>
    <w:p>
      <w:pPr>
        <w:pStyle w:val="ListParagraph"/>
        <w:numPr>
          <w:ilvl w:val="0"/>
          <w:numId w:val="2"/>
        </w:numPr>
        <w:spacing w:before="40" w:after="40"/>
      </w:pPr>
      <w:r>
        <w:rPr>
          <w:rFonts w:ascii="Arial" w:cs="Arial" w:eastAsia="Arial" w:hAnsi="Arial"/>
          <w:color w:val="1A1A1A"/>
          <w:sz w:val="22"/>
          <w:szCs w:val="22"/>
        </w:rPr>
        <w:t xml:space="preserve">Tipos de auditoría a los que puede estar sujeto el extensionista:</w:t>
      </w:r>
    </w:p>
    <w:p>
      <w:pPr>
        <w:pStyle w:val="ListParagraph"/>
        <w:numPr>
          <w:ilvl w:val="0"/>
          <w:numId w:val="3"/>
        </w:numPr>
        <w:spacing w:before="20" w:after="20"/>
      </w:pPr>
      <w:r>
        <w:rPr>
          <w:rFonts w:ascii="Arial" w:cs="Arial" w:eastAsia="Arial" w:hAnsi="Arial"/>
          <w:color w:val="4A4A4A"/>
          <w:sz w:val="21"/>
          <w:szCs w:val="21"/>
        </w:rPr>
        <w:t xml:space="preserve">Auditorías anunciadas del CSI: revisión documental completa.</w:t>
      </w:r>
    </w:p>
    <w:p>
      <w:pPr>
        <w:pStyle w:val="ListParagraph"/>
        <w:numPr>
          <w:ilvl w:val="0"/>
          <w:numId w:val="3"/>
        </w:numPr>
        <w:spacing w:before="20" w:after="20"/>
      </w:pPr>
      <w:r>
        <w:rPr>
          <w:rFonts w:ascii="Arial" w:cs="Arial" w:eastAsia="Arial" w:hAnsi="Arial"/>
          <w:color w:val="4A4A4A"/>
          <w:sz w:val="21"/>
          <w:szCs w:val="21"/>
        </w:rPr>
        <w:t xml:space="preserve">Spot checks (visitas sorpresa): inspección de biomasa, producción y aplicación.</w:t>
      </w:r>
    </w:p>
    <w:p>
      <w:pPr>
        <w:pStyle w:val="ListParagraph"/>
        <w:numPr>
          <w:ilvl w:val="0"/>
          <w:numId w:val="3"/>
        </w:numPr>
        <w:spacing w:before="20" w:after="20"/>
      </w:pPr>
      <w:r>
        <w:rPr>
          <w:rFonts w:ascii="Arial" w:cs="Arial" w:eastAsia="Arial" w:hAnsi="Arial"/>
          <w:color w:val="4A4A4A"/>
          <w:sz w:val="21"/>
          <w:szCs w:val="21"/>
        </w:rPr>
        <w:t xml:space="preserve">dMRV data reviews: análisis de inconsistencias en datos enviados por la app.</w:t>
      </w:r>
    </w:p>
    <w:p>
      <w:pPr>
        <w:pStyle w:val="ListParagraph"/>
        <w:numPr>
          <w:ilvl w:val="0"/>
          <w:numId w:val="3"/>
        </w:numPr>
        <w:spacing w:before="20" w:after="20"/>
      </w:pPr>
      <w:r>
        <w:rPr>
          <w:rFonts w:ascii="Arial" w:cs="Arial" w:eastAsia="Arial" w:hAnsi="Arial"/>
          <w:color w:val="4A4A4A"/>
          <w:sz w:val="21"/>
          <w:szCs w:val="21"/>
        </w:rPr>
        <w:t xml:space="preserve">Feedback comunitario: canal abierto para que productores y vecinos reporten irregularidades.</w:t>
      </w:r>
    </w:p>
    <w:p>
      <w:pPr>
        <w:pStyle w:val="ListParagraph"/>
        <w:numPr>
          <w:ilvl w:val="0"/>
          <w:numId w:val="2"/>
        </w:numPr>
        <w:spacing w:before="40" w:after="40"/>
      </w:pPr>
      <w:r>
        <w:rPr>
          <w:rFonts w:ascii="Arial" w:cs="Arial" w:eastAsia="Arial" w:hAnsi="Arial"/>
          <w:color w:val="1A1A1A"/>
          <w:sz w:val="22"/>
          <w:szCs w:val="22"/>
        </w:rPr>
        <w:t xml:space="preserve">Errores más comunes en campo y cómo evitarlos:</w:t>
      </w:r>
    </w:p>
    <w:p>
      <w:pPr>
        <w:pStyle w:val="ListParagraph"/>
        <w:numPr>
          <w:ilvl w:val="0"/>
          <w:numId w:val="3"/>
        </w:numPr>
        <w:spacing w:before="20" w:after="20"/>
      </w:pPr>
      <w:r>
        <w:rPr>
          <w:rFonts w:ascii="Arial" w:cs="Arial" w:eastAsia="Arial" w:hAnsi="Arial"/>
          <w:color w:val="4A4A4A"/>
          <w:sz w:val="21"/>
          <w:szCs w:val="21"/>
        </w:rPr>
        <w:t xml:space="preserve">Registrar producción antes de pesar (estimación vs. dato real).</w:t>
      </w:r>
    </w:p>
    <w:p>
      <w:pPr>
        <w:pStyle w:val="ListParagraph"/>
        <w:numPr>
          <w:ilvl w:val="0"/>
          <w:numId w:val="3"/>
        </w:numPr>
        <w:spacing w:before="20" w:after="20"/>
      </w:pPr>
      <w:r>
        <w:rPr>
          <w:rFonts w:ascii="Arial" w:cs="Arial" w:eastAsia="Arial" w:hAnsi="Arial"/>
          <w:color w:val="4A4A4A"/>
          <w:sz w:val="21"/>
          <w:szCs w:val="21"/>
        </w:rPr>
        <w:t xml:space="preserve">Subir fotos sin GPS activado o con fotos genéricas no del lote.</w:t>
      </w:r>
    </w:p>
    <w:p>
      <w:pPr>
        <w:pStyle w:val="ListParagraph"/>
        <w:numPr>
          <w:ilvl w:val="0"/>
          <w:numId w:val="3"/>
        </w:numPr>
        <w:spacing w:before="20" w:after="20"/>
      </w:pPr>
      <w:r>
        <w:rPr>
          <w:rFonts w:ascii="Arial" w:cs="Arial" w:eastAsia="Arial" w:hAnsi="Arial"/>
          <w:color w:val="4A4A4A"/>
          <w:sz w:val="21"/>
          <w:szCs w:val="21"/>
        </w:rPr>
        <w:t xml:space="preserve">No registrar una quema porque 'fue pequeña' — todas las quemas deben registrarse.</w:t>
      </w:r>
    </w:p>
    <w:p>
      <w:pPr>
        <w:pStyle w:val="ListParagraph"/>
        <w:numPr>
          <w:ilvl w:val="0"/>
          <w:numId w:val="3"/>
        </w:numPr>
        <w:spacing w:before="20" w:after="20"/>
      </w:pPr>
      <w:r>
        <w:rPr>
          <w:rFonts w:ascii="Arial" w:cs="Arial" w:eastAsia="Arial" w:hAnsi="Arial"/>
          <w:color w:val="4A4A4A"/>
          <w:sz w:val="21"/>
          <w:szCs w:val="21"/>
        </w:rPr>
        <w:t xml:space="preserve">Confundir la fecha de producción con la de registro en la app.</w:t>
      </w:r>
    </w:p>
    <w:p>
      <w:pPr>
        <w:pStyle w:val="Heading3"/>
        <w:spacing w:before="240" w:after="80"/>
      </w:pPr>
      <w:r>
        <w:rPr>
          <w:rFonts w:ascii="Arial" w:cs="Arial" w:eastAsia="Arial" w:hAnsi="Arial"/>
          <w:b/>
          <w:bCs/>
          <w:color w:val="50827C"/>
          <w:sz w:val="24"/>
          <w:szCs w:val="24"/>
        </w:rPr>
        <w:t xml:space="preserve">Sesión 6.2 — Simulacro de auditoría (3h)</w:t>
      </w:r>
    </w:p>
    <w:p>
      <w:pPr>
        <w:spacing w:before="80" w:after="80"/>
      </w:pPr>
      <w:r>
        <w:rPr>
          <w:rFonts w:ascii="Arial" w:cs="Arial" w:eastAsia="Arial" w:hAnsi="Arial"/>
          <w:color w:val="1A1A1A"/>
          <w:sz w:val="22"/>
          <w:szCs w:val="22"/>
        </w:rPr>
        <w:t xml:space="preserve">Esta sesión replica una auditoría sorpresa. El facilitador asume el rol de auditor del CSI y el grupo de extensionistas responde preguntas, presenta registros y justifica decisiones operativas. Se trabaja con casos reales de los clústeres del proyecto.</w:t>
      </w:r>
    </w:p>
    <w:p>
      <w:pPr>
        <w:pStyle w:val="ListParagraph"/>
        <w:numPr>
          <w:ilvl w:val="0"/>
          <w:numId w:val="2"/>
        </w:numPr>
        <w:spacing w:before="40" w:after="40"/>
      </w:pPr>
      <w:r>
        <w:rPr>
          <w:rFonts w:ascii="Arial" w:cs="Arial" w:eastAsia="Arial" w:hAnsi="Arial"/>
          <w:color w:val="1A1A1A"/>
          <w:sz w:val="22"/>
          <w:szCs w:val="22"/>
        </w:rPr>
        <w:t xml:space="preserve">Escenario 1: El auditor detecta una discrepancia entre el peso registrado en la app y el peso en la hoja de campo. ¿Qué hizo mal el extensionista? ¿Cómo se corrige?</w:t>
      </w:r>
    </w:p>
    <w:p>
      <w:pPr>
        <w:pStyle w:val="ListParagraph"/>
        <w:numPr>
          <w:ilvl w:val="0"/>
          <w:numId w:val="2"/>
        </w:numPr>
        <w:spacing w:before="40" w:after="40"/>
      </w:pPr>
      <w:r>
        <w:rPr>
          <w:rFonts w:ascii="Arial" w:cs="Arial" w:eastAsia="Arial" w:hAnsi="Arial"/>
          <w:color w:val="1A1A1A"/>
          <w:sz w:val="22"/>
          <w:szCs w:val="22"/>
        </w:rPr>
        <w:t xml:space="preserve">Escenario 2: El productor declara haber quemado residuos en una parte de su finca. ¿Qué implicaciones tiene esto según el estándar CSI? ¿Qué debe hacer el extensionista?</w:t>
      </w:r>
    </w:p>
    <w:p>
      <w:pPr>
        <w:pStyle w:val="ListParagraph"/>
        <w:numPr>
          <w:ilvl w:val="0"/>
          <w:numId w:val="2"/>
        </w:numPr>
        <w:spacing w:before="40" w:after="40"/>
      </w:pPr>
      <w:r>
        <w:rPr>
          <w:rFonts w:ascii="Arial" w:cs="Arial" w:eastAsia="Arial" w:hAnsi="Arial"/>
          <w:color w:val="1A1A1A"/>
          <w:sz w:val="22"/>
          <w:szCs w:val="22"/>
        </w:rPr>
        <w:t xml:space="preserve">Escenario 3: Hay inconsistencias en las fechas de aplicación del biochar. El auditor pregunta por el registro fotográfico. ¿Cómo se documenta correctamente una aplicación?</w:t>
      </w:r>
    </w:p>
    <w:p>
      <w:pPr>
        <w:pBdr>
          <w:left w:val="single" w:color="3E4D58" w:sz="16"/>
        </w:pBdr>
        <w:shd w:fill="F5F2EE" w:val="clear"/>
        <w:spacing w:before="120" w:after="120"/>
        <w:ind w:left="240" w:right="240"/>
      </w:pPr>
      <w:r>
        <w:rPr>
          <w:rFonts w:ascii="Arial" w:cs="Arial" w:eastAsia="Arial" w:hAnsi="Arial"/>
          <w:i/>
          <w:iCs/>
          <w:color w:val="3E4D58"/>
          <w:sz w:val="22"/>
          <w:szCs w:val="22"/>
        </w:rPr>
        <w:t xml:space="preserve">Al finalizar el simulacro, cada extensionista recibe retroalimentación individual sobre sus fortalezas y áreas de mejora en la gestión de datos.</w:t>
      </w:r>
    </w:p>
    <w:p>
      <w:pPr>
        <w:pStyle w:val="Heading2"/>
        <w:pBdr>
          <w:bottom w:val="single" w:color="DA7052" w:sz="6"/>
        </w:pBdr>
        <w:spacing w:before="320" w:after="100"/>
      </w:pPr>
      <w:r>
        <w:rPr>
          <w:rFonts w:ascii="Georgia" w:cs="Georgia" w:eastAsia="Georgia" w:hAnsi="Georgia"/>
          <w:b/>
          <w:bCs/>
          <w:color w:val="3E4D58"/>
          <w:sz w:val="30"/>
          <w:szCs w:val="30"/>
        </w:rPr>
        <w:t xml:space="preserve">Materiales de apoyo — Módulo 6</w:t>
      </w:r>
    </w:p>
    <w:p>
      <w:pPr>
        <w:pStyle w:val="ListParagraph"/>
        <w:numPr>
          <w:ilvl w:val="0"/>
          <w:numId w:val="2"/>
        </w:numPr>
        <w:spacing w:before="40" w:after="40"/>
      </w:pPr>
      <w:r>
        <w:rPr>
          <w:rFonts w:ascii="Arial" w:cs="Arial" w:eastAsia="Arial" w:hAnsi="Arial"/>
          <w:color w:val="1A1A1A"/>
          <w:sz w:val="22"/>
          <w:szCs w:val="22"/>
        </w:rPr>
        <w:t xml:space="preserve">Guía escrita M6: Check-list de disciplina operativa semanal por productor.</w:t>
      </w:r>
    </w:p>
    <w:p>
      <w:pPr>
        <w:pStyle w:val="ListParagraph"/>
        <w:numPr>
          <w:ilvl w:val="0"/>
          <w:numId w:val="2"/>
        </w:numPr>
        <w:spacing w:before="40" w:after="40"/>
      </w:pPr>
      <w:r>
        <w:rPr>
          <w:rFonts w:ascii="Arial" w:cs="Arial" w:eastAsia="Arial" w:hAnsi="Arial"/>
          <w:color w:val="1A1A1A"/>
          <w:sz w:val="22"/>
          <w:szCs w:val="22"/>
        </w:rPr>
        <w:t xml:space="preserve">Protocolo de respuesta ante auditoría: qué documentos tener listos, cómo responder preguntas del auditor.</w:t>
      </w:r>
    </w:p>
    <w:p>
      <w:pPr>
        <w:pStyle w:val="ListParagraph"/>
        <w:numPr>
          <w:ilvl w:val="0"/>
          <w:numId w:val="2"/>
        </w:numPr>
        <w:spacing w:before="40" w:after="40"/>
      </w:pPr>
      <w:r>
        <w:rPr>
          <w:rFonts w:ascii="Arial" w:cs="Arial" w:eastAsia="Arial" w:hAnsi="Arial"/>
          <w:color w:val="1A1A1A"/>
          <w:sz w:val="22"/>
          <w:szCs w:val="22"/>
        </w:rPr>
        <w:t xml:space="preserve">Ficha de errores comunes en campo y cómo corregirlos.</w:t>
      </w:r>
    </w:p>
    <w:p>
      <w:pPr>
        <w:pStyle w:val="Heading2"/>
        <w:pBdr>
          <w:bottom w:val="single" w:color="DA7052" w:sz="6"/>
        </w:pBdr>
        <w:spacing w:before="320" w:after="100"/>
      </w:pPr>
      <w:r>
        <w:rPr>
          <w:rFonts w:ascii="Georgia" w:cs="Georgia" w:eastAsia="Georgia" w:hAnsi="Georgia"/>
          <w:b/>
          <w:bCs/>
          <w:color w:val="3E4D58"/>
          <w:sz w:val="30"/>
          <w:szCs w:val="30"/>
        </w:rPr>
        <w:t xml:space="preserve">Evaluación — Módulo 6</w:t>
      </w:r>
    </w:p>
    <w:p>
      <w:pPr>
        <w:spacing w:before="80" w:after="80"/>
      </w:pPr>
      <w:r>
        <w:rPr>
          <w:rFonts w:ascii="Arial" w:cs="Arial" w:eastAsia="Arial" w:hAnsi="Arial"/>
          <w:color w:val="1A1A1A"/>
          <w:sz w:val="22"/>
          <w:szCs w:val="22"/>
        </w:rPr>
        <w:t xml:space="preserve">10 preguntas + simulacro calificado con rúbrica de desempeño. Temas: flujo del proyecto, responsabilidades del ICSM, uso correcto de la app, errores comunes, consecuencias de datos incorrectos.</w:t>
      </w:r>
    </w:p>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7. Sistema de Evaluación y Certificación</w:t>
      </w:r>
    </w:p>
    <w:p>
      <w:pPr>
        <w:shd w:fill="3E4D58" w:val="clear"/>
        <w:spacing w:before="0" w:after="240"/>
        <w:ind w:left="240" w:right="240"/>
      </w:pPr>
      <w:r>
        <w:rPr>
          <w:rFonts w:ascii="Arial" w:cs="Arial" w:eastAsia="Arial" w:hAnsi="Arial"/>
          <w:color w:val="FFFFFF"/>
          <w:sz w:val="18"/>
          <w:szCs w:val="18"/>
        </w:rPr>
        <w:t xml:space="preserve">Criterios, instrumentos y certificación interna Biodiversal</w:t>
      </w:r>
    </w:p>
    <w:p>
      <w:pPr>
        <w:spacing w:before="80" w:after="0"/>
      </w:pPr>
      <w:r>
        <w:t xml:space="preserve"/>
      </w:r>
    </w:p>
    <w:p>
      <w:pPr>
        <w:pStyle w:val="Heading2"/>
        <w:pBdr>
          <w:bottom w:val="single" w:color="DA7052" w:sz="6"/>
        </w:pBdr>
        <w:spacing w:before="320" w:after="100"/>
      </w:pPr>
      <w:r>
        <w:rPr>
          <w:rFonts w:ascii="Georgia" w:cs="Georgia" w:eastAsia="Georgia" w:hAnsi="Georgia"/>
          <w:b/>
          <w:bCs/>
          <w:color w:val="3E4D58"/>
          <w:sz w:val="30"/>
          <w:szCs w:val="30"/>
        </w:rPr>
        <w:t xml:space="preserve">7.1 Evaluaciones por módulo</w:t>
      </w:r>
    </w:p>
    <w:p>
      <w:pPr>
        <w:spacing w:before="80" w:after="80"/>
      </w:pPr>
      <w:r>
        <w:rPr>
          <w:rFonts w:ascii="Arial" w:cs="Arial" w:eastAsia="Arial" w:hAnsi="Arial"/>
          <w:color w:val="1A1A1A"/>
          <w:sz w:val="22"/>
          <w:szCs w:val="22"/>
        </w:rPr>
        <w:t xml:space="preserve">Cada módulo incluye una evaluación de 10 preguntas en formato mixto (selección múltiple, verdadero/falso y casos de aplicación). La nota mínima de aprobación es 70%. Un extensionista que no aprueba puede presentar nuevamente la evaluación una vez, con material de estudio adicional asignado por el facilitador.</w:t>
      </w:r>
    </w:p>
    <w:p>
      <w:pPr>
        <w:pStyle w:val="Heading2"/>
        <w:pBdr>
          <w:bottom w:val="single" w:color="DA7052" w:sz="6"/>
        </w:pBdr>
        <w:spacing w:before="320" w:after="100"/>
      </w:pPr>
      <w:r>
        <w:rPr>
          <w:rFonts w:ascii="Georgia" w:cs="Georgia" w:eastAsia="Georgia" w:hAnsi="Georgia"/>
          <w:b/>
          <w:bCs/>
          <w:color w:val="3E4D58"/>
          <w:sz w:val="30"/>
          <w:szCs w:val="30"/>
        </w:rPr>
        <w:t xml:space="preserve">7.2 Evaluación en campo — 30 y 60 días</w:t>
      </w:r>
    </w:p>
    <w:p>
      <w:pPr>
        <w:spacing w:before="80" w:after="80"/>
      </w:pPr>
      <w:r>
        <w:rPr>
          <w:rFonts w:ascii="Arial" w:cs="Arial" w:eastAsia="Arial" w:hAnsi="Arial"/>
          <w:color w:val="1A1A1A"/>
          <w:sz w:val="22"/>
          <w:szCs w:val="22"/>
        </w:rPr>
        <w:t xml:space="preserve">Adicionalmente a las evaluaciones teóricas, se realizan dos evaluaciones de desempeño en campo: una a los 30 días y otra a los 60 días de completada la formación. El coordinador del clúster observa directamente una visita técnica y una quema supervisada, y evalúa con una rúbrica estandarizada.</w:t>
      </w:r>
    </w:p>
    <w:p>
      <w:pPr>
        <w:pStyle w:val="Heading2"/>
        <w:pBdr>
          <w:bottom w:val="single" w:color="DA7052" w:sz="6"/>
        </w:pBdr>
        <w:spacing w:before="320" w:after="100"/>
      </w:pPr>
      <w:r>
        <w:rPr>
          <w:rFonts w:ascii="Georgia" w:cs="Georgia" w:eastAsia="Georgia" w:hAnsi="Georgia"/>
          <w:b/>
          <w:bCs/>
          <w:color w:val="3E4D58"/>
          <w:sz w:val="30"/>
          <w:szCs w:val="30"/>
        </w:rPr>
        <w:t xml:space="preserve">7.3 Certificación interna</w:t>
      </w:r>
    </w:p>
    <w:p>
      <w:pPr>
        <w:pBdr>
          <w:left w:val="single" w:color="DA7052" w:sz="16"/>
        </w:pBdr>
        <w:shd w:fill="FAF0EC" w:val="clear"/>
        <w:spacing w:before="140" w:after="140"/>
        <w:ind w:left="240" w:right="240"/>
      </w:pPr>
      <w:r>
        <w:rPr>
          <w:rFonts w:ascii="Arial" w:cs="Arial" w:eastAsia="Arial" w:hAnsi="Arial"/>
          <w:i w:val="false"/>
          <w:iCs w:val="false"/>
          <w:color w:val="5C2B18"/>
          <w:sz w:val="22"/>
          <w:szCs w:val="22"/>
        </w:rPr>
        <w:t xml:space="preserve">El extensionista que aprueba los 6 módulos con nota mínima de 70% y supera satisfactoriamente las evaluaciones en campo de 30 y 60 días recibe la Certificación Interna como Extensionista Certificado Coffee Biochar — Bioimpacto, avalada por Biodiversal SAS BIC.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960"/>
        <w:gridCol w:w="2600"/>
      </w:tblGrid>
      <w:tr>
        <w:trPr>
          <w:tblHeader/>
        </w:trPr>
        <w:tc>
          <w:tcPr>
            <w:tcW w:type="dxa" w:w="38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Criterio de evaluación</w:t>
            </w:r>
          </w:p>
        </w:tc>
        <w:tc>
          <w:tcPr>
            <w:tcW w:type="dxa" w:w="296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Instrumento</w:t>
            </w:r>
          </w:p>
        </w:tc>
        <w:tc>
          <w:tcPr>
            <w:tcW w:type="dxa" w:w="2600"/>
            <w:tcBorders>
              <w:top w:val="single" w:color="BDE0D6" w:sz="2"/>
              <w:left w:val="single" w:color="BDE0D6" w:sz="2"/>
              <w:bottom w:val="single" w:color="BDE0D6" w:sz="2"/>
              <w:right w:val="single" w:color="BDE0D6" w:sz="2"/>
            </w:tcBorders>
            <w:shd w:fill="3E4D5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Ponderación</w:t>
            </w:r>
          </w:p>
        </w:tc>
      </w:tr>
      <w:tr>
        <w:tc>
          <w:tcPr>
            <w:tcW w:type="dxa" w:w="38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Evaluaciones módulos 1 al 5 (10 preguntas c/u)</w:t>
            </w:r>
          </w:p>
        </w:tc>
        <w:tc>
          <w:tcPr>
            <w:tcW w:type="dxa" w:w="2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Test virtual sincrónico</w:t>
            </w:r>
          </w:p>
        </w:tc>
        <w:tc>
          <w:tcPr>
            <w:tcW w:type="dxa" w:w="26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w:t>
            </w:r>
          </w:p>
        </w:tc>
      </w:tr>
      <w:tr>
        <w:tc>
          <w:tcPr>
            <w:tcW w:type="dxa" w:w="38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Simulacro de auditoría (Módulo 6)</w:t>
            </w:r>
          </w:p>
        </w:tc>
        <w:tc>
          <w:tcPr>
            <w:tcW w:type="dxa" w:w="2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Rúbrica de desempeño</w:t>
            </w:r>
          </w:p>
        </w:tc>
        <w:tc>
          <w:tcPr>
            <w:tcW w:type="dxa" w:w="26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w:t>
            </w:r>
          </w:p>
        </w:tc>
      </w:tr>
      <w:tr>
        <w:tc>
          <w:tcPr>
            <w:tcW w:type="dxa" w:w="38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Evaluación práctica en campo — 30 días</w:t>
            </w:r>
          </w:p>
        </w:tc>
        <w:tc>
          <w:tcPr>
            <w:tcW w:type="dxa" w:w="296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Rúbrica de visita técnica</w:t>
            </w:r>
          </w:p>
        </w:tc>
        <w:tc>
          <w:tcPr>
            <w:tcW w:type="dxa" w:w="2600"/>
            <w:tcBorders>
              <w:top w:val="single" w:color="BDE0D6" w:sz="2"/>
              <w:left w:val="single" w:color="BDE0D6" w:sz="2"/>
              <w:bottom w:val="single" w:color="BDE0D6" w:sz="2"/>
              <w:right w:val="single" w:color="BDE0D6" w:sz="2"/>
            </w:tcBorders>
            <w:shd w:fill="EDF0F2"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w:t>
            </w:r>
          </w:p>
        </w:tc>
      </w:tr>
      <w:tr>
        <w:tc>
          <w:tcPr>
            <w:tcW w:type="dxa" w:w="38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Evaluación práctica en campo — 60 días</w:t>
            </w:r>
          </w:p>
        </w:tc>
        <w:tc>
          <w:tcPr>
            <w:tcW w:type="dxa" w:w="296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Rúbrica de visita técnica</w:t>
            </w:r>
          </w:p>
        </w:tc>
        <w:tc>
          <w:tcPr>
            <w:tcW w:type="dxa" w:w="2600"/>
            <w:tcBorders>
              <w:top w:val="single" w:color="BDE0D6" w:sz="2"/>
              <w:left w:val="single" w:color="BDE0D6" w:sz="2"/>
              <w:bottom w:val="single" w:color="BDE0D6" w:sz="2"/>
              <w:right w:val="single" w:color="BDE0D6" w:sz="2"/>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w:t>
            </w:r>
          </w:p>
        </w:tc>
      </w:tr>
    </w:tbl>
    <w:p>
      <w:r>
        <w:br w:type="page"/>
      </w:r>
    </w:p>
    <w:p>
      <w:pPr>
        <w:pStyle w:val="Heading1"/>
        <w:shd w:fill="DA7052" w:val="clear"/>
        <w:spacing w:before="360" w:after="0"/>
        <w:ind w:left="240" w:right="240"/>
      </w:pPr>
      <w:r>
        <w:rPr>
          <w:rFonts w:ascii="Georgia" w:cs="Georgia" w:eastAsia="Georgia" w:hAnsi="Georgia"/>
          <w:b/>
          <w:bCs/>
          <w:color w:val="FFFFFF"/>
          <w:sz w:val="40"/>
          <w:szCs w:val="40"/>
        </w:rPr>
        <w:t xml:space="preserve">8. Replicabilidad por Clúster</w:t>
      </w:r>
    </w:p>
    <w:p>
      <w:pPr>
        <w:shd w:fill="3E4D58" w:val="clear"/>
        <w:spacing w:before="0" w:after="240"/>
        <w:ind w:left="240" w:right="240"/>
      </w:pPr>
      <w:r>
        <w:rPr>
          <w:rFonts w:ascii="Arial" w:cs="Arial" w:eastAsia="Arial" w:hAnsi="Arial"/>
          <w:color w:val="FFFFFF"/>
          <w:sz w:val="18"/>
          <w:szCs w:val="18"/>
        </w:rPr>
        <w:t xml:space="preserve">Cómo adaptar este plan a cualquier clúster del proyecto</w:t>
      </w:r>
    </w:p>
    <w:p>
      <w:pPr>
        <w:spacing w:before="80" w:after="0"/>
      </w:pPr>
      <w:r>
        <w:t xml:space="preserve"/>
      </w:r>
    </w:p>
    <w:p>
      <w:pPr>
        <w:spacing w:before="80" w:after="80"/>
      </w:pPr>
      <w:r>
        <w:rPr>
          <w:rFonts w:ascii="Arial" w:cs="Arial" w:eastAsia="Arial" w:hAnsi="Arial"/>
          <w:color w:val="1A1A1A"/>
          <w:sz w:val="22"/>
          <w:szCs w:val="22"/>
        </w:rPr>
        <w:t xml:space="preserve">El plan está diseñado para ser replicado en cualquier clúster del proyecto con ajustes mínimos. Los elementos que varían por clúster son los datos específicos del territorio (municipio, veredas, número de productores, hectáreas, KPIs del período), pero los contenidos técnicos y pedagógicos son universales.</w:t>
      </w:r>
    </w:p>
    <w:p>
      <w:pPr>
        <w:pStyle w:val="ListParagraph"/>
        <w:numPr>
          <w:ilvl w:val="0"/>
          <w:numId w:val="2"/>
        </w:numPr>
        <w:spacing w:before="40" w:after="40"/>
      </w:pPr>
      <w:r>
        <w:rPr>
          <w:rFonts w:ascii="Arial" w:cs="Arial" w:eastAsia="Arial" w:hAnsi="Arial"/>
          <w:b/>
          <w:bCs/>
          <w:color w:val="DA7052"/>
          <w:sz w:val="22"/>
          <w:szCs w:val="22"/>
        </w:rPr>
        <w:t xml:space="preserve">Variable: </w:t>
      </w:r>
      <w:r>
        <w:rPr>
          <w:rFonts w:ascii="Arial" w:cs="Arial" w:eastAsia="Arial" w:hAnsi="Arial"/>
          <w:color w:val="1A1A1A"/>
          <w:sz w:val="22"/>
          <w:szCs w:val="22"/>
        </w:rPr>
        <w:t xml:space="preserve">Datos a actualizar por clúster: nombre del municipio, veredas, número de productores, targets de producción del período, nombre del coordinador y equipo.</w:t>
      </w:r>
    </w:p>
    <w:p>
      <w:pPr>
        <w:pStyle w:val="ListParagraph"/>
        <w:numPr>
          <w:ilvl w:val="0"/>
          <w:numId w:val="2"/>
        </w:numPr>
        <w:spacing w:before="40" w:after="40"/>
      </w:pPr>
      <w:r>
        <w:rPr>
          <w:rFonts w:ascii="Arial" w:cs="Arial" w:eastAsia="Arial" w:hAnsi="Arial"/>
          <w:b/>
          <w:bCs/>
          <w:color w:val="DA7052"/>
          <w:sz w:val="22"/>
          <w:szCs w:val="22"/>
        </w:rPr>
        <w:t xml:space="preserve">Constante: </w:t>
      </w:r>
      <w:r>
        <w:rPr>
          <w:rFonts w:ascii="Arial" w:cs="Arial" w:eastAsia="Arial" w:hAnsi="Arial"/>
          <w:color w:val="1A1A1A"/>
          <w:sz w:val="22"/>
          <w:szCs w:val="22"/>
        </w:rPr>
        <w:t xml:space="preserve">Todos los módulos técnicos, el sistema de evaluación, los materiales de apoyo y las guías escritas. Solo se actualizan los ejemplos y casos de estudio con datos del clúster específico.</w:t>
      </w:r>
    </w:p>
    <w:p>
      <w:pPr>
        <w:pStyle w:val="ListParagraph"/>
        <w:numPr>
          <w:ilvl w:val="0"/>
          <w:numId w:val="2"/>
        </w:numPr>
        <w:spacing w:before="40" w:after="40"/>
      </w:pPr>
      <w:r>
        <w:rPr>
          <w:rFonts w:ascii="Arial" w:cs="Arial" w:eastAsia="Arial" w:hAnsi="Arial"/>
          <w:b/>
          <w:bCs/>
          <w:color w:val="DA7052"/>
          <w:sz w:val="22"/>
          <w:szCs w:val="22"/>
        </w:rPr>
        <w:t xml:space="preserve">Adaptación al perfil: </w:t>
      </w:r>
      <w:r>
        <w:rPr>
          <w:rFonts w:ascii="Arial" w:cs="Arial" w:eastAsia="Arial" w:hAnsi="Arial"/>
          <w:color w:val="1A1A1A"/>
          <w:sz w:val="22"/>
          <w:szCs w:val="22"/>
        </w:rPr>
        <w:t xml:space="preserve">Para extensionistas con mayor experiencia técnica, las sesiones 2.1 y 3.1 pueden comprimirse a 1.5h y usar el tiempo ahorrado para profundizar en el Módulo 6. Para grupos de recién egresados, se recomienda agregar una sesión introductoria de 1.5h antes del Módulo 1 con lectura del PDD y del ICSM.</w:t>
      </w:r>
    </w:p>
    <w:p>
      <w:pPr>
        <w:pBdr>
          <w:bottom w:val="single" w:color="CDC4B4" w:sz="6"/>
        </w:pBdr>
        <w:spacing w:before="200" w:after="0"/>
      </w:pPr>
      <w:r>
        <w:t xml:space="preserve"/>
      </w:r>
    </w:p>
    <w:p>
      <w:pPr>
        <w:spacing w:before="80" w:after="0"/>
      </w:pPr>
      <w:r>
        <w:t xml:space="preserve"/>
      </w:r>
    </w:p>
    <w:p>
      <w:pPr>
        <w:spacing w:before="0" w:after="40"/>
        <w:jc w:val="center"/>
      </w:pPr>
      <w:r>
        <w:rPr>
          <w:rFonts w:ascii="Georgia" w:cs="Georgia" w:eastAsia="Georgia" w:hAnsi="Georgia"/>
          <w:b/>
          <w:bCs/>
          <w:color w:val="3E4D58"/>
          <w:sz w:val="20"/>
          <w:szCs w:val="20"/>
        </w:rPr>
        <w:t xml:space="preserve">BIODIVERSAL SAS BIC  —  Agricultura Regenerativa</w:t>
      </w:r>
    </w:p>
    <w:p>
      <w:pPr>
        <w:spacing w:before="0" w:after="0"/>
        <w:jc w:val="center"/>
      </w:pPr>
      <w:r>
        <w:rPr>
          <w:rFonts w:ascii="Arial" w:cs="Arial" w:eastAsia="Arial" w:hAnsi="Arial"/>
          <w:color w:val="6B6B6B"/>
          <w:sz w:val="16"/>
          <w:szCs w:val="16"/>
        </w:rPr>
        <w:t xml:space="preserve">Línea Bioimpacto  |  Proyecto Coffee Biochar  |  Plan de Formación Extensionistas v1.0  —  2025</w:t>
      </w:r>
    </w:p>
    <w:p>
      <w:pPr>
        <w:spacing w:before="80" w:after="0"/>
        <w:jc w:val="center"/>
      </w:pPr>
      <w:r>
        <w:rPr>
          <w:rFonts w:ascii="Arial" w:cs="Arial" w:eastAsia="Arial" w:hAnsi="Arial"/>
          <w:color w:val="DA7052"/>
          <w:sz w:val="16"/>
          <w:szCs w:val="16"/>
        </w:rPr>
        <w:t xml:space="preserv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C4B4" w:sz="4"/>
      </w:pBdr>
      <w:jc w:val="center"/>
    </w:pPr>
    <w:r>
      <w:rPr>
        <w:rFonts w:ascii="Arial" w:cs="Arial" w:eastAsia="Arial" w:hAnsi="Arial"/>
        <w:color w:val="6B6B6B"/>
        <w:sz w:val="16"/>
        <w:szCs w:val="16"/>
      </w:rPr>
      <w:t xml:space="preserve">Biodiversal SAS BIC  ·  Bioimpacto  ·  Coffee Biochar  ·  Plan de Formación Extensionistas  ·  v1.0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80" w:hanging="300"/>
      </w:pPr>
    </w:lvl>
  </w:abstractNum>
  <w:abstractNum w:abstractNumId="3" w15:restartNumberingAfterBreak="0">
    <w:multiLevelType w:val="hybridMultilevel"/>
    <w:lvl w:ilvl="0" w15:tentative="1">
      <w:start w:val="1"/>
      <w:numFmt w:val="bullet"/>
      <w:lvlText w:val="–"/>
      <w:lvlJc w:val="left"/>
      <w:pPr>
        <w:spacing w:before="20" w:after="20"/>
        <w:ind w:left="10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0"/>
      <w:outlineLvl w:val="0"/>
    </w:pPr>
    <w:rPr>
      <w:rFonts w:ascii="Georgia" w:cs="Georgia" w:eastAsia="Georgia" w:hAnsi="Georgia"/>
      <w:b/>
      <w:bCs/>
      <w:color w:val="FFFFFF"/>
      <w:sz w:val="40"/>
      <w:szCs w:val="40"/>
    </w:rPr>
  </w:style>
  <w:style w:type="paragraph" w:styleId="Heading2">
    <w:name w:val="Heading 2"/>
    <w:basedOn w:val="Normal"/>
    <w:next w:val="Normal"/>
    <w:qFormat/>
    <w:pPr>
      <w:spacing w:before="320" w:after="100"/>
      <w:outlineLvl w:val="1"/>
    </w:pPr>
    <w:rPr>
      <w:rFonts w:ascii="Georgia" w:cs="Georgia" w:eastAsia="Georgia" w:hAnsi="Georgia"/>
      <w:b/>
      <w:bCs/>
      <w:color w:val="3E4D58"/>
      <w:sz w:val="30"/>
      <w:szCs w:val="30"/>
    </w:rPr>
  </w:style>
  <w:style w:type="paragraph" w:styleId="Heading3">
    <w:name w:val="Heading 3"/>
    <w:basedOn w:val="Normal"/>
    <w:next w:val="Normal"/>
    <w:qFormat/>
    <w:pPr>
      <w:spacing w:before="240" w:after="80"/>
      <w:outlineLvl w:val="2"/>
    </w:pPr>
    <w:rPr>
      <w:rFonts w:ascii="Arial" w:cs="Arial" w:eastAsia="Arial" w:hAnsi="Arial"/>
      <w:b/>
      <w:bCs/>
      <w:color w:val="5082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2026-03-04T15:40:40.038Z</dcterms:created>
  <dcterms:modified xsi:type="dcterms:W3CDTF">2026-03-04T15:40:40.039Z</dcterms:modified>
</cp:coreProperties>
</file>

<file path=docProps/custom.xml><?xml version="1.0" encoding="utf-8"?>
<Properties xmlns="http://schemas.openxmlformats.org/officeDocument/2006/custom-properties" xmlns:vt="http://schemas.openxmlformats.org/officeDocument/2006/docPropsVTypes"/>
</file>