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LTVIP2026TMIDS35203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after="240" w:before="240" w:lineRule="auto"/>
              <w:rPr/>
            </w:pPr>
            <w:r w:rsidDel="00000000" w:rsidR="00000000" w:rsidRPr="00000000">
              <w:rPr>
                <w:rtl w:val="0"/>
              </w:rPr>
              <w:t xml:space="preserve">visualization tool for electric vehicle charge and range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r w:rsidDel="00000000" w:rsidR="00000000" w:rsidRPr="00000000">
        <w:rPr>
          <w:rtl w:val="0"/>
        </w:rPr>
        <w:t xml:space="preserve"> </w:t>
      </w:r>
      <w:r w:rsidDel="00000000" w:rsidR="00000000" w:rsidRPr="00000000">
        <w:rPr>
          <w:b w:val="1"/>
          <w:bCs w:val="1"/>
          <w:sz w:val="24"/>
          <w:szCs w:val="24"/>
          <w:rtl w:val="0"/>
        </w:rPr>
        <w:t xml:space="preserve">Wind Turbine Energy Prediction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rtl w:val="0"/>
        </w:rPr>
        <w:t xml:space="preserve">Empathy Statement:</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r>
    </w:tbl>
    <w:p w:rsidR="00000000" w:rsidDel="00000000" w:rsidP="00000000" w:rsidRDefault="00000000" w:rsidRPr="00000000" w14:paraId="00000027">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